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0"/>
        <w:jc w:val="center"/>
        <w:textAlignment w:val="auto"/>
        <w:rPr>
          <w:sz w:val="44"/>
          <w:szCs w:val="44"/>
        </w:rPr>
      </w:pPr>
      <w:r>
        <w:rPr>
          <w:rFonts w:ascii="Calibri" w:hAnsi="Calibri" w:eastAsia="微软雅黑"/>
          <w:b/>
          <w:color w:val="1E3A5F"/>
          <w:sz w:val="44"/>
          <w:szCs w:val="44"/>
        </w:rPr>
        <w:t>鲁山县先进制造业开发区微电网（群）与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0"/>
        <w:jc w:val="center"/>
        <w:textAlignment w:val="auto"/>
        <w:rPr>
          <w:sz w:val="44"/>
          <w:szCs w:val="44"/>
        </w:rPr>
      </w:pPr>
      <w:r>
        <w:rPr>
          <w:rFonts w:ascii="Calibri" w:hAnsi="Calibri" w:eastAsia="微软雅黑"/>
          <w:b/>
          <w:color w:val="1E3A5F"/>
          <w:sz w:val="44"/>
          <w:szCs w:val="44"/>
        </w:rPr>
        <w:t>虚拟电厂一体化项目框架方案</w:t>
      </w:r>
    </w:p>
    <w:p>
      <w:r>
        <w:t>本项目以鲁山县先进制造业开发区为核心，建设分布式光伏14MW、储能5MW/20MWh、充电桩39台及智能管控系统，构建园区级微电网体系，总投资约7101万元。项目采用"源网荷储"一体化架构，通过"自发自用、余电上网"并行模式运营，年营业收入约749万元，财务内部收益率（税后）7.12%，投资回收期约9.66年。项目旨在实现新能源就近消纳，降低企业用电成本10%-20%，提升绿电使用比例，逐步打造全县区域微电网覆盖，为平台公司提供稳定现金流支持化债工作，兼具财务收益和战略价值。</w:t>
      </w: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/>
        <w:textAlignment w:val="auto"/>
      </w:pPr>
      <w:r>
        <w:t>一、项目背景</w:t>
      </w:r>
    </w:p>
    <w:p>
      <w:r>
        <w:t>2025年12月，国家发展改革委、国家能源局发布的《关于促进电网高质量发展的指导意见》（发改能源〔2025〕1710号）首次从国家层面明确未来电网发展格局为"电力主网—配电网—微电网"协同发展的三级架构，微电网将成为新能源电力就近消纳的主要形式。</w:t>
      </w:r>
    </w:p>
    <w:p>
      <w:r>
        <w:t>鲁山县是国家整县屋顶分布式光伏开发试点县。根据鲁山县2026年政府工作报告，"十四五"期间全县光伏、风电、生物质等新能源装机容量达到115万千瓦，位居前列。其中鲁山抽水蓄能电站130万千瓦项目已获核准，预计2027年首台机组投产、2028年全容量投产。</w:t>
      </w:r>
    </w:p>
    <w:p>
      <w:r>
        <w:t>2024年全县全社会用电量15.24亿千瓦时，同比增长9.6%。全县新能源年发电量约20-25亿千瓦时，已超过用电量。目前所有增量光伏和风电项目全部进入电力市场，上网电价持续走低甚至出现负电价，上网消纳模式已不再具有经济可行性。同时，光伏发电集中在白天而用电高峰在上午和晚间，峰谷错配严重；新能源项目多分布在偏远地区，远距离输送成本高、损耗大。建设微电网正是为解决这些不匹配问题，通过储能时移和就近消纳，实现新能源的高效利用。</w:t>
      </w: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/>
        <w:textAlignment w:val="auto"/>
        <w:rPr>
          <w:rFonts w:cstheme="minorBidi"/>
        </w:rPr>
      </w:pPr>
      <w:r>
        <w:rPr>
          <w:rFonts w:cstheme="minorBidi"/>
        </w:rPr>
        <w:t>二、项目面临的政策环境和市场环境</w:t>
      </w:r>
    </w:p>
    <w:p>
      <w:pPr>
        <w:pStyle w:val="3"/>
      </w:pPr>
      <w:r>
        <w:t>（一）政策环境</w:t>
      </w:r>
    </w:p>
    <w:p>
      <w:r>
        <w:t>《关于深化新能源上网电价市场化改革促进新能源高质量发展的通知》（发改价格〔2025〕136号）推动新能源上网电量全面进入电力市场，建立机制电价和差价结算机制，新能源上网收益持续走低。《关于完善价格机制促进新能源发电就近消纳的通知》（发改价格〔2025〕1192号）明确就近消纳项目采用"单一容量制电价"，按接入电网容量缴纳输配电费，下网电量免缴备用费和输配电环节电量电费，自发自用比例不低于60%即可享受输配电成本降低30%-50%的优惠。</w:t>
      </w:r>
    </w:p>
    <w:p>
      <w:r>
        <w:t>《河南省加快推进源网荷储一体化实施方案》（豫政办〔2024〕72号）明确到2027年建成1000个源网荷储一体化示范项目，鼓励建设绿电专用变压器和智能微电网。136号文解决新能源"如何卖出去"的问题，推动全面市场化；1192号文解决新能源"如何用起来"的问题，鼓励就近消纳。在这一政策框架下，建设微电网、实现新能源本地消纳成为最优选择。</w:t>
      </w:r>
    </w:p>
    <w:p>
      <w:pPr>
        <w:pStyle w:val="3"/>
      </w:pPr>
      <w:r>
        <w:t>（二）市场环境</w:t>
      </w:r>
    </w:p>
    <w:p>
      <w:r>
        <w:t>根据河南、山东两省现货市场情况，光伏大发时段电价已出现零电价和负电价，光伏项目上网消纳的收益模式不再具有经济可行性。就近消纳与微电网成为最佳载体，上网已经不再是最优选项。鲁山县2024年全社会用电量15.24亿千瓦时，同比增长9.6%，用电需求持续增长。全县新能源装机容量115万千瓦，年发电量已超过用电量，为微电网就近消纳提供了充足的电源基础。</w:t>
      </w:r>
    </w:p>
    <w:p>
      <w:pPr>
        <w:pStyle w:val="3"/>
      </w:pPr>
      <w:r>
        <w:t>（三）自身条件</w:t>
      </w:r>
    </w:p>
    <w:p>
      <w:r>
        <w:t>平顶山市行政审批和政务信息管理局在对市十二届人大三次会议第135号建议的答复中明确指出，平顶山市鲁山县源网荷储试点建设已成熟，以核心项目为半径20公里范围内可配建源网荷储一体化项目，争取纳入试点工程享受政策优惠，实现显著降低电力成本。鲁山县已核准风电项目15个、总装机56.46万千瓦，并网光伏发电56.52万千瓦，生物质热电联产装机4.2万千瓦，电网建有220千伏变电站3座、110千伏变电站9座、35千伏变电站24座，电力基础设施完善。鲁山花园沟抽水蓄能电站130万千瓦预计2026年建成并网，可为区域微电网提供强大调节支撑，形成"新能源本地消纳+抽水蓄能调节"的协同模式。</w:t>
      </w: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/>
        <w:textAlignment w:val="auto"/>
        <w:rPr>
          <w:rFonts w:cstheme="minorBidi"/>
        </w:rPr>
      </w:pPr>
      <w:r>
        <w:rPr>
          <w:rFonts w:cstheme="minorBidi"/>
        </w:rPr>
        <w:t>三、项目主要内容、总投资和财务评估</w:t>
      </w:r>
    </w:p>
    <w:p>
      <w:pPr>
        <w:pStyle w:val="3"/>
      </w:pPr>
      <w:r>
        <w:t>（一）项目主要内容</w:t>
      </w:r>
    </w:p>
    <w:p>
      <w:r>
        <w:t>一期建设内容包括：分布式光伏14MW（光储充场地2MW+产业园屋顶光伏12MW）；储能5MW/20MWh；充电设施39个充电桩（250kW×25台、400kW×10台、600kW超充×4台），配套光伏车棚；智能管控平台（微电网能量管理系统）；配套工程包括2×3150kVA箱变、变压器、10kV联络线等。项目采用"源网荷储"一体化架构，将光伏、储能与负荷端有机整合，通过EMS实现智能化调度。</w:t>
      </w:r>
    </w:p>
    <w:p>
      <w:pPr>
        <w:pStyle w:val="3"/>
      </w:pPr>
      <w:r>
        <w:t>（二）总投资</w:t>
      </w:r>
    </w:p>
    <w:p>
      <w:r>
        <w:t>项目总投资约7101万元，其中：工程费用6234万元（光伏系统3780万元、储能系统1745万元、充电桩工程1110万元、配套工程995万元），工程建设其他费用290万元，预备费522万元，建设期利息55万元。资金筹措方案为：项目资本金约2100万元（占30%），银行融资约5000万元（占70%）。</w:t>
      </w:r>
    </w:p>
    <w:p>
      <w:pPr>
        <w:pStyle w:val="3"/>
      </w:pPr>
      <w:r>
        <w:t>（三）财务评估</w:t>
      </w:r>
    </w:p>
    <w:p>
      <w:r>
        <w:t>项目计算期10年（含建设期1年），财务基准收益率5%。一期项目投产后年发电量约1680万千瓦时，运营期年均收入约749万元，年均成本约519万元。主要财务指标如下：财务内部收益率（所得税前）8.45%，（所得税后）7.12%，均高于基准收益率；财务净现值（所得税前，ic=5%）1225万元，（所得税后）676万元，均大于零；投资回收期（所得税前）9.43年，（所得税后）9.66年；综合利息备付率6.56，综合偿债备付率1.23，具有较强的偿债能力。项目在财务上可行，具备较强的盈利能力和抗风险能力。</w:t>
      </w:r>
    </w:p>
    <w:tbl>
      <w:tblPr>
        <w:tblStyle w:val="4"/>
        <w:tblW w:w="5000" w:type="pct"/>
        <w:tblInd w:w="0" w:type="dxa"/>
        <w:tblBorders>
          <w:top w:val="single" w:color="1E3A5F" w:sz="8" w:space="0"/>
          <w:left w:val="none" w:color="auto" w:sz="0" w:space="0"/>
          <w:bottom w:val="single" w:color="1E3A5F" w:sz="8" w:space="0"/>
          <w:right w:val="none" w:color="auto" w:sz="0" w:space="0"/>
          <w:insideH w:val="single" w:color="BDC3C7" w:sz="4" w:space="0"/>
          <w:insideV w:val="none" w:color="auto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3600"/>
        <w:gridCol w:w="2724"/>
        <w:gridCol w:w="2722"/>
      </w:tblGrid>
      <w:tr>
        <w:tblPrEx>
          <w:tblBorders>
            <w:top w:val="single" w:color="1E3A5F" w:sz="8" w:space="0"/>
            <w:left w:val="none" w:color="auto" w:sz="0" w:space="0"/>
            <w:bottom w:val="single" w:color="1E3A5F" w:sz="8" w:space="0"/>
            <w:right w:val="none" w:color="auto" w:sz="0" w:space="0"/>
            <w:insideH w:val="single" w:color="BDC3C7" w:sz="4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4000" w:type="dxa"/>
            <w:shd w:val="clear" w:color="auto" w:fill="EBF0F5"/>
          </w:tcPr>
          <w:p>
            <w:pPr>
              <w:spacing w:before="60" w:after="60"/>
              <w:ind w:firstLine="0"/>
              <w:jc w:val="center"/>
            </w:pPr>
            <w:r>
              <w:rPr>
                <w:rFonts w:ascii="Calibri" w:hAnsi="Calibri" w:eastAsia="微软雅黑"/>
                <w:b/>
                <w:color w:val="2C3E50"/>
                <w:sz w:val="21"/>
              </w:rPr>
              <w:t>指标名称</w:t>
            </w:r>
          </w:p>
        </w:tc>
        <w:tc>
          <w:tcPr>
            <w:tcW w:w="3000" w:type="dxa"/>
            <w:shd w:val="clear" w:color="auto" w:fill="EBF0F5"/>
          </w:tcPr>
          <w:p>
            <w:pPr>
              <w:spacing w:before="60" w:after="60"/>
              <w:ind w:firstLine="0"/>
              <w:jc w:val="center"/>
            </w:pPr>
            <w:r>
              <w:rPr>
                <w:rFonts w:ascii="Calibri" w:hAnsi="Calibri" w:eastAsia="微软雅黑"/>
                <w:b/>
                <w:color w:val="2C3E50"/>
                <w:sz w:val="21"/>
              </w:rPr>
              <w:t>数值</w:t>
            </w:r>
          </w:p>
        </w:tc>
        <w:tc>
          <w:tcPr>
            <w:tcW w:w="3000" w:type="dxa"/>
            <w:shd w:val="clear" w:color="auto" w:fill="EBF0F5"/>
          </w:tcPr>
          <w:p>
            <w:pPr>
              <w:spacing w:before="60" w:after="60"/>
              <w:ind w:firstLine="0"/>
              <w:jc w:val="center"/>
            </w:pPr>
            <w:r>
              <w:rPr>
                <w:rFonts w:ascii="Calibri" w:hAnsi="Calibri" w:eastAsia="微软雅黑"/>
                <w:b/>
                <w:color w:val="2C3E50"/>
                <w:sz w:val="21"/>
              </w:rPr>
              <w:t>备注</w:t>
            </w:r>
          </w:p>
        </w:tc>
      </w:tr>
      <w:tr>
        <w:tblPrEx>
          <w:tblBorders>
            <w:top w:val="single" w:color="1E3A5F" w:sz="8" w:space="0"/>
            <w:left w:val="none" w:color="auto" w:sz="0" w:space="0"/>
            <w:bottom w:val="single" w:color="1E3A5F" w:sz="8" w:space="0"/>
            <w:right w:val="none" w:color="auto" w:sz="0" w:space="0"/>
            <w:insideH w:val="single" w:color="BDC3C7" w:sz="4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000" w:type="dxa"/>
          </w:tcPr>
          <w:p>
            <w:pPr>
              <w:spacing w:before="60" w:after="60"/>
              <w:ind w:firstLine="0"/>
              <w:jc w:val="center"/>
            </w:pPr>
            <w:r>
              <w:rPr>
                <w:rFonts w:ascii="Calibri" w:hAnsi="Calibri" w:eastAsia="微软雅黑"/>
                <w:color w:val="5D6D7E"/>
                <w:sz w:val="21"/>
              </w:rPr>
              <w:t>项目总投资</w:t>
            </w:r>
          </w:p>
        </w:tc>
        <w:tc>
          <w:tcPr>
            <w:tcW w:w="3000" w:type="dxa"/>
          </w:tcPr>
          <w:p>
            <w:pPr>
              <w:spacing w:before="60" w:after="60"/>
              <w:ind w:firstLine="0"/>
              <w:jc w:val="center"/>
            </w:pPr>
            <w:r>
              <w:rPr>
                <w:rFonts w:ascii="Calibri" w:hAnsi="Calibri" w:eastAsia="微软雅黑"/>
                <w:color w:val="5D6D7E"/>
                <w:sz w:val="21"/>
              </w:rPr>
              <w:t>7101万元</w:t>
            </w:r>
          </w:p>
        </w:tc>
        <w:tc>
          <w:tcPr>
            <w:tcW w:w="3000" w:type="dxa"/>
          </w:tcPr>
          <w:p>
            <w:pPr>
              <w:spacing w:before="60" w:after="60"/>
              <w:ind w:firstLine="0"/>
              <w:jc w:val="center"/>
            </w:pPr>
            <w:r>
              <w:rPr>
                <w:rFonts w:ascii="Calibri" w:hAnsi="Calibri" w:eastAsia="微软雅黑"/>
                <w:color w:val="5D6D7E"/>
                <w:sz w:val="21"/>
              </w:rPr>
              <w:t>含建设期利息</w:t>
            </w:r>
          </w:p>
        </w:tc>
      </w:tr>
      <w:tr>
        <w:tblPrEx>
          <w:tblBorders>
            <w:top w:val="single" w:color="1E3A5F" w:sz="8" w:space="0"/>
            <w:left w:val="none" w:color="auto" w:sz="0" w:space="0"/>
            <w:bottom w:val="single" w:color="1E3A5F" w:sz="8" w:space="0"/>
            <w:right w:val="none" w:color="auto" w:sz="0" w:space="0"/>
            <w:insideH w:val="single" w:color="BDC3C7" w:sz="4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000" w:type="dxa"/>
          </w:tcPr>
          <w:p>
            <w:pPr>
              <w:spacing w:before="60" w:after="60"/>
              <w:ind w:firstLine="0"/>
              <w:jc w:val="center"/>
            </w:pPr>
            <w:r>
              <w:rPr>
                <w:rFonts w:ascii="Calibri" w:hAnsi="Calibri" w:eastAsia="微软雅黑"/>
                <w:color w:val="5D6D7E"/>
                <w:sz w:val="21"/>
              </w:rPr>
              <w:t>年均营业收入</w:t>
            </w:r>
          </w:p>
        </w:tc>
        <w:tc>
          <w:tcPr>
            <w:tcW w:w="3000" w:type="dxa"/>
          </w:tcPr>
          <w:p>
            <w:pPr>
              <w:spacing w:before="60" w:after="60"/>
              <w:ind w:firstLine="0"/>
              <w:jc w:val="center"/>
            </w:pPr>
            <w:r>
              <w:rPr>
                <w:rFonts w:ascii="Calibri" w:hAnsi="Calibri" w:eastAsia="微软雅黑"/>
                <w:color w:val="5D6D7E"/>
                <w:sz w:val="21"/>
              </w:rPr>
              <w:t>749万元</w:t>
            </w:r>
          </w:p>
        </w:tc>
        <w:tc>
          <w:tcPr>
            <w:tcW w:w="3000" w:type="dxa"/>
          </w:tcPr>
          <w:p>
            <w:pPr>
              <w:spacing w:before="60" w:after="60"/>
              <w:ind w:firstLine="0"/>
              <w:jc w:val="center"/>
            </w:pPr>
            <w:r>
              <w:rPr>
                <w:rFonts w:ascii="Calibri" w:hAnsi="Calibri" w:eastAsia="微软雅黑"/>
                <w:color w:val="5D6D7E"/>
                <w:sz w:val="21"/>
              </w:rPr>
              <w:t>运营期平均</w:t>
            </w:r>
          </w:p>
        </w:tc>
      </w:tr>
      <w:tr>
        <w:tblPrEx>
          <w:tblBorders>
            <w:top w:val="single" w:color="1E3A5F" w:sz="8" w:space="0"/>
            <w:left w:val="none" w:color="auto" w:sz="0" w:space="0"/>
            <w:bottom w:val="single" w:color="1E3A5F" w:sz="8" w:space="0"/>
            <w:right w:val="none" w:color="auto" w:sz="0" w:space="0"/>
            <w:insideH w:val="single" w:color="BDC3C7" w:sz="4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000" w:type="dxa"/>
          </w:tcPr>
          <w:p>
            <w:pPr>
              <w:spacing w:before="60" w:after="60"/>
              <w:ind w:firstLine="0"/>
              <w:jc w:val="center"/>
            </w:pPr>
            <w:r>
              <w:rPr>
                <w:rFonts w:ascii="Calibri" w:hAnsi="Calibri" w:eastAsia="微软雅黑"/>
                <w:color w:val="5D6D7E"/>
                <w:sz w:val="21"/>
              </w:rPr>
              <w:t>年均总成本</w:t>
            </w:r>
          </w:p>
        </w:tc>
        <w:tc>
          <w:tcPr>
            <w:tcW w:w="3000" w:type="dxa"/>
          </w:tcPr>
          <w:p>
            <w:pPr>
              <w:spacing w:before="60" w:after="60"/>
              <w:ind w:firstLine="0"/>
              <w:jc w:val="center"/>
            </w:pPr>
            <w:r>
              <w:rPr>
                <w:rFonts w:ascii="Calibri" w:hAnsi="Calibri" w:eastAsia="微软雅黑"/>
                <w:color w:val="5D6D7E"/>
                <w:sz w:val="21"/>
              </w:rPr>
              <w:t>519万元</w:t>
            </w:r>
          </w:p>
        </w:tc>
        <w:tc>
          <w:tcPr>
            <w:tcW w:w="3000" w:type="dxa"/>
          </w:tcPr>
          <w:p>
            <w:pPr>
              <w:spacing w:before="60" w:after="60"/>
              <w:ind w:firstLine="0"/>
              <w:jc w:val="center"/>
            </w:pPr>
            <w:r>
              <w:rPr>
                <w:rFonts w:ascii="Calibri" w:hAnsi="Calibri" w:eastAsia="微软雅黑"/>
                <w:color w:val="5D6D7E"/>
                <w:sz w:val="21"/>
              </w:rPr>
              <w:t>运营期平均</w:t>
            </w:r>
          </w:p>
        </w:tc>
      </w:tr>
      <w:tr>
        <w:tblPrEx>
          <w:tblBorders>
            <w:top w:val="single" w:color="1E3A5F" w:sz="8" w:space="0"/>
            <w:left w:val="none" w:color="auto" w:sz="0" w:space="0"/>
            <w:bottom w:val="single" w:color="1E3A5F" w:sz="8" w:space="0"/>
            <w:right w:val="none" w:color="auto" w:sz="0" w:space="0"/>
            <w:insideH w:val="single" w:color="BDC3C7" w:sz="4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000" w:type="dxa"/>
          </w:tcPr>
          <w:p>
            <w:pPr>
              <w:spacing w:before="60" w:after="60"/>
              <w:ind w:firstLine="0"/>
              <w:jc w:val="center"/>
            </w:pPr>
            <w:r>
              <w:rPr>
                <w:rFonts w:ascii="Calibri" w:hAnsi="Calibri" w:eastAsia="微软雅黑"/>
                <w:color w:val="5D6D7E"/>
                <w:sz w:val="21"/>
              </w:rPr>
              <w:t>财务内部收益率（税前）</w:t>
            </w:r>
          </w:p>
        </w:tc>
        <w:tc>
          <w:tcPr>
            <w:tcW w:w="3000" w:type="dxa"/>
          </w:tcPr>
          <w:p>
            <w:pPr>
              <w:spacing w:before="60" w:after="60"/>
              <w:ind w:firstLine="0"/>
              <w:jc w:val="center"/>
            </w:pPr>
            <w:r>
              <w:rPr>
                <w:rFonts w:ascii="Calibri" w:hAnsi="Calibri" w:eastAsia="微软雅黑"/>
                <w:color w:val="5D6D7E"/>
                <w:sz w:val="21"/>
              </w:rPr>
              <w:t>8.45%</w:t>
            </w:r>
          </w:p>
        </w:tc>
        <w:tc>
          <w:tcPr>
            <w:tcW w:w="3000" w:type="dxa"/>
          </w:tcPr>
          <w:p>
            <w:pPr>
              <w:spacing w:before="60" w:after="60"/>
              <w:ind w:firstLine="0"/>
              <w:jc w:val="center"/>
            </w:pPr>
            <w:r>
              <w:rPr>
                <w:rFonts w:ascii="Calibri" w:hAnsi="Calibri" w:eastAsia="微软雅黑"/>
                <w:color w:val="5D6D7E"/>
                <w:sz w:val="21"/>
              </w:rPr>
              <w:t>高于基准5%</w:t>
            </w:r>
          </w:p>
        </w:tc>
      </w:tr>
      <w:tr>
        <w:tblPrEx>
          <w:tblBorders>
            <w:top w:val="single" w:color="1E3A5F" w:sz="8" w:space="0"/>
            <w:left w:val="none" w:color="auto" w:sz="0" w:space="0"/>
            <w:bottom w:val="single" w:color="1E3A5F" w:sz="8" w:space="0"/>
            <w:right w:val="none" w:color="auto" w:sz="0" w:space="0"/>
            <w:insideH w:val="single" w:color="BDC3C7" w:sz="4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000" w:type="dxa"/>
          </w:tcPr>
          <w:p>
            <w:pPr>
              <w:spacing w:before="60" w:after="60"/>
              <w:ind w:firstLine="0"/>
              <w:jc w:val="center"/>
            </w:pPr>
            <w:r>
              <w:rPr>
                <w:rFonts w:ascii="Calibri" w:hAnsi="Calibri" w:eastAsia="微软雅黑"/>
                <w:color w:val="5D6D7E"/>
                <w:sz w:val="21"/>
              </w:rPr>
              <w:t>财务内部收益率（税后）</w:t>
            </w:r>
          </w:p>
        </w:tc>
        <w:tc>
          <w:tcPr>
            <w:tcW w:w="3000" w:type="dxa"/>
          </w:tcPr>
          <w:p>
            <w:pPr>
              <w:spacing w:before="60" w:after="60"/>
              <w:ind w:firstLine="0"/>
              <w:jc w:val="center"/>
            </w:pPr>
            <w:r>
              <w:rPr>
                <w:rFonts w:ascii="Calibri" w:hAnsi="Calibri" w:eastAsia="微软雅黑"/>
                <w:color w:val="5D6D7E"/>
                <w:sz w:val="21"/>
              </w:rPr>
              <w:t>7.12%</w:t>
            </w:r>
          </w:p>
        </w:tc>
        <w:tc>
          <w:tcPr>
            <w:tcW w:w="3000" w:type="dxa"/>
          </w:tcPr>
          <w:p>
            <w:pPr>
              <w:spacing w:before="60" w:after="60"/>
              <w:ind w:firstLine="0"/>
              <w:jc w:val="center"/>
            </w:pPr>
            <w:r>
              <w:rPr>
                <w:rFonts w:ascii="Calibri" w:hAnsi="Calibri" w:eastAsia="微软雅黑"/>
                <w:color w:val="5D6D7E"/>
                <w:sz w:val="21"/>
              </w:rPr>
              <w:t>高于基准5%</w:t>
            </w:r>
          </w:p>
        </w:tc>
      </w:tr>
      <w:tr>
        <w:tblPrEx>
          <w:tblBorders>
            <w:top w:val="single" w:color="1E3A5F" w:sz="8" w:space="0"/>
            <w:left w:val="none" w:color="auto" w:sz="0" w:space="0"/>
            <w:bottom w:val="single" w:color="1E3A5F" w:sz="8" w:space="0"/>
            <w:right w:val="none" w:color="auto" w:sz="0" w:space="0"/>
            <w:insideH w:val="single" w:color="BDC3C7" w:sz="4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000" w:type="dxa"/>
          </w:tcPr>
          <w:p>
            <w:pPr>
              <w:spacing w:before="60" w:after="60"/>
              <w:ind w:firstLine="0"/>
              <w:jc w:val="center"/>
            </w:pPr>
            <w:r>
              <w:rPr>
                <w:rFonts w:ascii="Calibri" w:hAnsi="Calibri" w:eastAsia="微软雅黑"/>
                <w:color w:val="5D6D7E"/>
                <w:sz w:val="21"/>
              </w:rPr>
              <w:t>投资回收期（税前）</w:t>
            </w:r>
          </w:p>
        </w:tc>
        <w:tc>
          <w:tcPr>
            <w:tcW w:w="3000" w:type="dxa"/>
          </w:tcPr>
          <w:p>
            <w:pPr>
              <w:spacing w:before="60" w:after="60"/>
              <w:ind w:firstLine="0"/>
              <w:jc w:val="center"/>
            </w:pPr>
            <w:r>
              <w:rPr>
                <w:rFonts w:ascii="Calibri" w:hAnsi="Calibri" w:eastAsia="微软雅黑"/>
                <w:color w:val="5D6D7E"/>
                <w:sz w:val="21"/>
              </w:rPr>
              <w:t>9.43年</w:t>
            </w:r>
          </w:p>
        </w:tc>
        <w:tc>
          <w:tcPr>
            <w:tcW w:w="3000" w:type="dxa"/>
          </w:tcPr>
          <w:p>
            <w:pPr>
              <w:spacing w:before="60" w:after="60"/>
              <w:ind w:firstLine="0"/>
              <w:jc w:val="center"/>
            </w:pPr>
            <w:r>
              <w:rPr>
                <w:rFonts w:ascii="Calibri" w:hAnsi="Calibri" w:eastAsia="微软雅黑"/>
                <w:color w:val="5D6D7E"/>
                <w:sz w:val="21"/>
              </w:rPr>
              <w:t>含建设期</w:t>
            </w:r>
          </w:p>
        </w:tc>
      </w:tr>
      <w:tr>
        <w:tblPrEx>
          <w:tblBorders>
            <w:top w:val="single" w:color="1E3A5F" w:sz="8" w:space="0"/>
            <w:left w:val="none" w:color="auto" w:sz="0" w:space="0"/>
            <w:bottom w:val="single" w:color="1E3A5F" w:sz="8" w:space="0"/>
            <w:right w:val="none" w:color="auto" w:sz="0" w:space="0"/>
            <w:insideH w:val="single" w:color="BDC3C7" w:sz="4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000" w:type="dxa"/>
          </w:tcPr>
          <w:p>
            <w:pPr>
              <w:spacing w:before="60" w:after="60"/>
              <w:ind w:firstLine="0"/>
              <w:jc w:val="center"/>
            </w:pPr>
            <w:r>
              <w:rPr>
                <w:rFonts w:ascii="Calibri" w:hAnsi="Calibri" w:eastAsia="微软雅黑"/>
                <w:color w:val="5D6D7E"/>
                <w:sz w:val="21"/>
              </w:rPr>
              <w:t>投资回收期（税后）</w:t>
            </w:r>
          </w:p>
        </w:tc>
        <w:tc>
          <w:tcPr>
            <w:tcW w:w="3000" w:type="dxa"/>
          </w:tcPr>
          <w:p>
            <w:pPr>
              <w:spacing w:before="60" w:after="60"/>
              <w:ind w:firstLine="0"/>
              <w:jc w:val="center"/>
            </w:pPr>
            <w:r>
              <w:rPr>
                <w:rFonts w:ascii="Calibri" w:hAnsi="Calibri" w:eastAsia="微软雅黑"/>
                <w:color w:val="5D6D7E"/>
                <w:sz w:val="21"/>
              </w:rPr>
              <w:t>9.66年</w:t>
            </w:r>
          </w:p>
        </w:tc>
        <w:tc>
          <w:tcPr>
            <w:tcW w:w="3000" w:type="dxa"/>
          </w:tcPr>
          <w:p>
            <w:pPr>
              <w:spacing w:before="60" w:after="60"/>
              <w:ind w:firstLine="0"/>
              <w:jc w:val="center"/>
            </w:pPr>
            <w:r>
              <w:rPr>
                <w:rFonts w:ascii="Calibri" w:hAnsi="Calibri" w:eastAsia="微软雅黑"/>
                <w:color w:val="5D6D7E"/>
                <w:sz w:val="21"/>
              </w:rPr>
              <w:t>含建设期</w:t>
            </w:r>
          </w:p>
        </w:tc>
      </w:tr>
      <w:tr>
        <w:tblPrEx>
          <w:tblBorders>
            <w:top w:val="single" w:color="1E3A5F" w:sz="8" w:space="0"/>
            <w:left w:val="none" w:color="auto" w:sz="0" w:space="0"/>
            <w:bottom w:val="single" w:color="1E3A5F" w:sz="8" w:space="0"/>
            <w:right w:val="none" w:color="auto" w:sz="0" w:space="0"/>
            <w:insideH w:val="single" w:color="BDC3C7" w:sz="4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000" w:type="dxa"/>
          </w:tcPr>
          <w:p>
            <w:pPr>
              <w:spacing w:before="60" w:after="60"/>
              <w:ind w:firstLine="0"/>
              <w:jc w:val="center"/>
            </w:pPr>
            <w:r>
              <w:rPr>
                <w:rFonts w:ascii="Calibri" w:hAnsi="Calibri" w:eastAsia="微软雅黑"/>
                <w:color w:val="5D6D7E"/>
                <w:sz w:val="21"/>
              </w:rPr>
              <w:t>财务净现值（税后）</w:t>
            </w:r>
          </w:p>
        </w:tc>
        <w:tc>
          <w:tcPr>
            <w:tcW w:w="3000" w:type="dxa"/>
          </w:tcPr>
          <w:p>
            <w:pPr>
              <w:spacing w:before="60" w:after="60"/>
              <w:ind w:firstLine="0"/>
              <w:jc w:val="center"/>
            </w:pPr>
            <w:r>
              <w:rPr>
                <w:rFonts w:ascii="Calibri" w:hAnsi="Calibri" w:eastAsia="微软雅黑"/>
                <w:color w:val="5D6D7E"/>
                <w:sz w:val="21"/>
              </w:rPr>
              <w:t>676万元</w:t>
            </w:r>
          </w:p>
        </w:tc>
        <w:tc>
          <w:tcPr>
            <w:tcW w:w="3000" w:type="dxa"/>
          </w:tcPr>
          <w:p>
            <w:pPr>
              <w:spacing w:before="60" w:after="60"/>
              <w:ind w:firstLine="0"/>
              <w:jc w:val="center"/>
            </w:pPr>
            <w:r>
              <w:rPr>
                <w:rFonts w:ascii="Calibri" w:hAnsi="Calibri" w:eastAsia="微软雅黑"/>
                <w:color w:val="5D6D7E"/>
                <w:sz w:val="21"/>
              </w:rPr>
              <w:t>ic=5%</w:t>
            </w:r>
          </w:p>
        </w:tc>
      </w:tr>
      <w:tr>
        <w:tblPrEx>
          <w:tblBorders>
            <w:top w:val="single" w:color="1E3A5F" w:sz="8" w:space="0"/>
            <w:left w:val="none" w:color="auto" w:sz="0" w:space="0"/>
            <w:bottom w:val="single" w:color="1E3A5F" w:sz="8" w:space="0"/>
            <w:right w:val="none" w:color="auto" w:sz="0" w:space="0"/>
            <w:insideH w:val="single" w:color="BDC3C7" w:sz="4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000" w:type="dxa"/>
          </w:tcPr>
          <w:p>
            <w:pPr>
              <w:spacing w:before="60" w:after="60"/>
              <w:ind w:firstLine="0"/>
              <w:jc w:val="center"/>
            </w:pPr>
            <w:r>
              <w:rPr>
                <w:rFonts w:ascii="Calibri" w:hAnsi="Calibri" w:eastAsia="微软雅黑"/>
                <w:color w:val="5D6D7E"/>
                <w:sz w:val="21"/>
              </w:rPr>
              <w:t>综合偿债备付率</w:t>
            </w:r>
          </w:p>
        </w:tc>
        <w:tc>
          <w:tcPr>
            <w:tcW w:w="3000" w:type="dxa"/>
          </w:tcPr>
          <w:p>
            <w:pPr>
              <w:spacing w:before="60" w:after="60"/>
              <w:ind w:firstLine="0"/>
              <w:jc w:val="center"/>
            </w:pPr>
            <w:r>
              <w:rPr>
                <w:rFonts w:ascii="Calibri" w:hAnsi="Calibri" w:eastAsia="微软雅黑"/>
                <w:color w:val="5D6D7E"/>
                <w:sz w:val="21"/>
              </w:rPr>
              <w:t>1.23</w:t>
            </w:r>
          </w:p>
        </w:tc>
        <w:tc>
          <w:tcPr>
            <w:tcW w:w="3000" w:type="dxa"/>
          </w:tcPr>
          <w:p>
            <w:pPr>
              <w:spacing w:before="60" w:after="60"/>
              <w:ind w:firstLine="0"/>
              <w:jc w:val="center"/>
            </w:pPr>
            <w:r>
              <w:rPr>
                <w:rFonts w:ascii="Calibri" w:hAnsi="Calibri" w:eastAsia="微软雅黑"/>
                <w:color w:val="5D6D7E"/>
                <w:sz w:val="21"/>
              </w:rPr>
              <w:t>大于1</w:t>
            </w:r>
          </w:p>
        </w:tc>
      </w:tr>
    </w:tbl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/>
        <w:textAlignment w:val="auto"/>
        <w:rPr>
          <w:rFonts w:cstheme="minorBidi"/>
        </w:rPr>
      </w:pPr>
      <w:r>
        <w:rPr>
          <w:rFonts w:cstheme="minorBidi"/>
        </w:rPr>
        <w:t>四、项</w:t>
      </w:r>
      <w:r>
        <w:rPr>
          <w:rFonts w:cstheme="minorBidi"/>
        </w:rPr>
        <w:t>目可以获得的收益</w:t>
      </w:r>
    </w:p>
    <w:p>
      <w:pPr>
        <w:pStyle w:val="3"/>
      </w:pPr>
      <w:r>
        <w:t>（一）财务收益</w:t>
      </w:r>
    </w:p>
    <w:p>
      <w:r>
        <w:t>项目运营期年均收入约749万元，收入来源包括：光伏自发电费节约、储能峰谷套利、充电桩服务费、需求响应收益等。通过微电网就近供电，企业用电价格可较市场电价降低10%-20%，直接降低园区内企业用电成本，显著增强企业竞争力。项目税后财务内部收益率7.12%，高于行业基准，各项评价指标均优于同行业平均水平，可为平台公司提供持续现金流，支持化债工作推进。</w:t>
      </w:r>
    </w:p>
    <w:p>
      <w:pPr>
        <w:pStyle w:val="3"/>
      </w:pPr>
      <w:r>
        <w:t>（二）战略收益</w:t>
      </w:r>
    </w:p>
    <w:p>
      <w:r>
        <w:t>一是助力平台公司化债。项目具备良好的盈利能力和偿债能力，可为平台公司提供持续稳定的现金流收入，支持化债工作推进。二是对接省级示范政策。一期项目建成后可申请纳入河南省源网荷储一体化示范项目（目标2027年建成1000个），获取政策支持和资金补贴。三是为抽水蓄能电站投产做准备。鲁山花园沟抽水蓄能电站130万千瓦预计2026年建成并网，区域微电网的建设可为抽水蓄能电站提供稳定的本地负荷基础。四是打造绿色低碳园区品牌。绿电供应成为企业选址的重要考量因素，微电网覆盖园区可提供低成本、高比例的绿色电力，形成显著的招商引资优势。</w:t>
      </w:r>
    </w:p>
    <w:p>
      <w:pPr>
        <w:pStyle w:val="3"/>
      </w:pPr>
      <w:r>
        <w:t>（三）其他综合收益</w:t>
      </w:r>
    </w:p>
    <w:p>
      <w:r>
        <w:t>一是降低区域能源成本。微电网覆盖范围扩展后，区域能源自给率大幅提升，在1192号文政策下自发自用比例不低于60%即可享受输配电成本降低30%-50%的优惠。二是消纳弃光弃风电量。全县新能源年发电量已超过用电量，区域微电网可将弃用的光伏和风电电量就近消纳，变"废电"为"宝"。三是接收退网光伏兜底消纳。全县已安装分布式光伏全部为全额上网模式，未来上网收益下降后将逐步退网，本微电网体系可作为退网光伏的兜底消纳载体。四是培育本地运营能力，为后续大规模推进奠定组织基础。</w:t>
      </w: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/>
        <w:textAlignment w:val="auto"/>
        <w:rPr>
          <w:rFonts w:cstheme="minorBidi"/>
        </w:rPr>
      </w:pPr>
      <w:bookmarkStart w:id="0" w:name="_GoBack"/>
      <w:r>
        <w:rPr>
          <w:rFonts w:cstheme="minorBidi"/>
        </w:rPr>
        <w:t>五、项目推进需要解决的问题</w:t>
      </w:r>
    </w:p>
    <w:bookmarkEnd w:id="0"/>
    <w:p>
      <w:r>
        <w:t>一是需进一步收集园区用电数据。需要收集目标园区近三年用电数据（月度用电量、峰谷时段、负荷曲线等），精确匹配光伏出力和储能策略；调研企业用电特性，识别可参与需求响应的灵活负荷资源；了解周边潜在用电增量，为二期、三期预留扩展空间。</w:t>
      </w:r>
    </w:p>
    <w:p>
      <w:r>
        <w:t>二是需对接电力部门推进接入方案。向当地电网公司提交分布式光伏和储能系统的接入申请，明确接入电压等级、接入点和计量方式；按照电网公司要求办理微电网并网所需的技术评审、安全评估和并网协议签订等手续；与电网公司确认园区现有变压器容量和增容方案，确保微电网系统可顺利接入并实现余电上网。</w:t>
      </w:r>
    </w:p>
    <w:p>
      <w:r>
        <w:t>三是需沟通政策实施细则。就1192号文"单一容量制电价"的具体实施细则与电网公司和发改委进行沟通，明确输配电费减免的申请流程和认定标准，确保项目能够充分享受政策红利。</w:t>
      </w:r>
    </w:p>
    <w:sectPr>
      <w:headerReference r:id="rId5" w:type="default"/>
      <w:footerReference r:id="rId6" w:type="default"/>
      <w:pgSz w:w="11906" w:h="16838"/>
      <w:pgMar w:top="180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ascii="Calibri" w:hAnsi="Calibri" w:eastAsia="微软雅黑"/>
        <w:color w:val="85929E"/>
        <w:sz w:val="18"/>
      </w:rPr>
      <w:t xml:space="preserve">第 </w:t>
    </w:r>
    <w:r>
      <w:rPr>
        <w:rFonts w:ascii="Calibri" w:hAnsi="Calibri" w:eastAsia="微软雅黑"/>
        <w:color w:val="85929E"/>
        <w:sz w:val="18"/>
      </w:rPr>
      <w:fldChar w:fldCharType="begin"/>
    </w:r>
    <w:r>
      <w:rPr>
        <w:rFonts w:ascii="Calibri" w:hAnsi="Calibri" w:eastAsia="微软雅黑"/>
        <w:color w:val="85929E"/>
        <w:sz w:val="18"/>
      </w:rPr>
      <w:instrText xml:space="preserve"> PAGE </w:instrText>
    </w:r>
    <w:r>
      <w:rPr>
        <w:rFonts w:ascii="Calibri" w:hAnsi="Calibri" w:eastAsia="微软雅黑"/>
        <w:color w:val="85929E"/>
        <w:sz w:val="18"/>
      </w:rPr>
      <w:fldChar w:fldCharType="separate"/>
    </w:r>
    <w:r>
      <w:rPr>
        <w:rFonts w:ascii="Calibri" w:hAnsi="Calibri" w:eastAsia="微软雅黑"/>
        <w:color w:val="85929E"/>
        <w:sz w:val="18"/>
      </w:rPr>
      <w:t>1</w:t>
    </w:r>
    <w:r>
      <w:rPr>
        <w:rFonts w:ascii="Calibri" w:hAnsi="Calibri" w:eastAsia="微软雅黑"/>
        <w:color w:val="85929E"/>
        <w:sz w:val="18"/>
      </w:rPr>
      <w:fldChar w:fldCharType="end"/>
    </w:r>
    <w:r>
      <w:rPr>
        <w:rFonts w:ascii="Calibri" w:hAnsi="Calibri" w:eastAsia="微软雅黑"/>
        <w:color w:val="85929E"/>
        <w:sz w:val="18"/>
      </w:rPr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ascii="Calibri" w:hAnsi="Calibri" w:eastAsia="微软雅黑"/>
        <w:color w:val="85929E"/>
        <w:sz w:val="18"/>
      </w:rPr>
      <w:t>鲁山县先进制造业开发区微电网（群）与虚拟电厂一体化项目框架方案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footnotePr>
    <w:footnote w:id="0"/>
    <w:footnote w:id="1"/>
  </w:footnotePr>
  <w:endnotePr>
    <w:endnote w:id="0"/>
    <w:endnote w:id="1"/>
  </w:endnotePr>
  <w:compat>
    <w:useFELayout/>
    <w:splitPgBreakAndParaMark/>
    <w:compatSetting w:name="compatibilityMode" w:uri="http://schemas.microsoft.com/office/word" w:val="12"/>
  </w:compat>
  <w:docVars>
    <w:docVar w:name="commondata" w:val="eyJoZGlkIjoiMjg5Y2I0MjJhNjk2YTNkNTBmZDQzOWRjNmQ4ZWQxMjUifQ=="/>
  </w:docVars>
  <w:rsids>
    <w:rsidRoot w:val="00000000"/>
    <w:rsid w:val="5ACA16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after="160" w:line="360" w:lineRule="auto"/>
      <w:ind w:firstLine="480"/>
    </w:pPr>
    <w:rPr>
      <w:rFonts w:ascii="Calibri" w:hAnsi="Calibri" w:eastAsia="微软雅黑"/>
      <w:color w:val="2C3E50"/>
      <w:sz w:val="24"/>
      <w:szCs w:val="22"/>
    </w:rPr>
  </w:style>
  <w:style w:type="paragraph" w:styleId="2">
    <w:name w:val="heading 1"/>
    <w:basedOn w:val="1"/>
    <w:next w:val="1"/>
    <w:uiPriority w:val="0"/>
    <w:pPr>
      <w:keepNext/>
      <w:keepLines/>
      <w:spacing w:before="480" w:after="240"/>
      <w:ind w:firstLine="0"/>
      <w:outlineLvl w:val="0"/>
    </w:pPr>
    <w:rPr>
      <w:rFonts w:ascii="Calibri" w:hAnsi="Calibri" w:eastAsia="微软雅黑"/>
      <w:b/>
      <w:color w:val="1E3A5F"/>
      <w:sz w:val="32"/>
    </w:rPr>
  </w:style>
  <w:style w:type="paragraph" w:styleId="3">
    <w:name w:val="heading 2"/>
    <w:basedOn w:val="1"/>
    <w:next w:val="1"/>
    <w:uiPriority w:val="0"/>
    <w:pPr>
      <w:keepNext/>
      <w:keepLines/>
      <w:spacing w:before="320" w:after="160"/>
      <w:ind w:firstLine="0"/>
      <w:outlineLvl w:val="1"/>
    </w:pPr>
    <w:rPr>
      <w:rFonts w:ascii="Calibri" w:hAnsi="Calibri" w:eastAsia="微软雅黑"/>
      <w:b/>
      <w:color w:val="2C3E50"/>
      <w:sz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3152</Words>
  <Characters>3479</Characters>
  <TotalTime>2</TotalTime>
  <ScaleCrop>false</ScaleCrop>
  <LinksUpToDate>false</LinksUpToDate>
  <CharactersWithSpaces>3479</CharactersWithSpaces>
  <Application>WPS Office_11.1.0.15319_F1E327BC-269C-435d-A152-05C5408002CA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2026-06-03T01:13:16Z</dcterms:created>
  <dc:creator>lenovo</dc:creator>
  <cp:lastModifiedBy>超</cp:lastModifiedBy>
  <dcterms:modified xsi:type="dcterms:W3CDTF">2026-06-03T01:15:32Z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1DFC1AB301E7450DBF312D3455403C42_12</vt:lpwstr>
  </property>
</Properties>
</file>