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C5C33">
      <w:pPr>
        <w:keepNext w:val="0"/>
        <w:keepLines w:val="0"/>
        <w:pageBreakBefore w:val="0"/>
        <w:widowControl/>
        <w:kinsoku w:val="0"/>
        <w:wordWrap/>
        <w:overflowPunct/>
        <w:topLinePunct w:val="0"/>
        <w:autoSpaceDE w:val="0"/>
        <w:autoSpaceDN w:val="0"/>
        <w:bidi w:val="0"/>
        <w:adjustRightInd/>
        <w:snapToGrid/>
        <w:spacing w:before="0" w:beforeLines="100" w:after="0" w:afterLines="100" w:line="360" w:lineRule="auto"/>
        <w:jc w:val="center"/>
        <w:textAlignment w:val="baseline"/>
        <w:outlineLvl w:val="0"/>
        <w:rPr>
          <w:rFonts w:hint="eastAsia" w:ascii="宋体" w:hAnsi="宋体" w:eastAsia="宋体" w:cs="宋体"/>
          <w:b/>
          <w:bCs/>
          <w:sz w:val="36"/>
          <w:szCs w:val="36"/>
          <w:lang w:val="en-US" w:eastAsia="zh-CN"/>
        </w:rPr>
      </w:pPr>
      <w:r>
        <w:rPr>
          <w:rFonts w:hint="eastAsia" w:ascii="宋体" w:hAnsi="宋体" w:eastAsia="宋体" w:cs="宋体"/>
          <w:b/>
          <w:sz w:val="36"/>
          <w:szCs w:val="36"/>
          <w:lang w:val="en-US" w:eastAsia="zh-CN"/>
        </w:rPr>
        <w:t>第五章 项目运营方案</w:t>
      </w:r>
    </w:p>
    <w:p w14:paraId="3F34B1CD">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1"/>
        <w:rPr>
          <w:rFonts w:hint="eastAsia" w:ascii="宋体" w:hAnsi="宋体" w:eastAsia="宋体" w:cs="宋体"/>
          <w:b/>
          <w:bCs/>
          <w:sz w:val="28"/>
          <w:szCs w:val="28"/>
          <w:lang w:val="en-US" w:eastAsia="zh-CN"/>
        </w:rPr>
      </w:pPr>
      <w:bookmarkStart w:id="0" w:name="_Toc18506"/>
      <w:r>
        <w:rPr>
          <w:rFonts w:hint="eastAsia" w:ascii="宋体" w:hAnsi="宋体" w:eastAsia="宋体" w:cs="宋体"/>
          <w:b/>
          <w:sz w:val="28"/>
          <w:szCs w:val="28"/>
          <w:lang w:val="en-US" w:eastAsia="zh-CN"/>
        </w:rPr>
        <w:t>5.1 运营方案</w:t>
      </w:r>
      <w:bookmarkEnd w:id="0"/>
    </w:p>
    <w:p w14:paraId="2ED13845">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5.1.1 运营服务内容</w:t>
      </w:r>
    </w:p>
    <w:p w14:paraId="3ABA83E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 w:bidi="zh-CN"/>
        </w:rPr>
      </w:pPr>
      <w:r>
        <w:rPr>
          <w:rFonts w:hint="eastAsia" w:ascii="宋体" w:hAnsi="宋体" w:eastAsia="宋体" w:cs="宋体"/>
          <w:color w:val="auto"/>
          <w:spacing w:val="0"/>
          <w:sz w:val="28"/>
          <w:szCs w:val="28"/>
          <w:lang w:val="en-US" w:eastAsia="zh" w:bidi="zh-CN"/>
        </w:rPr>
        <w:t>本项目为新能源综合开发利用项目，运营内容涵盖光伏发电、储能调节、微电网调度、虚拟电厂运营及超级芦竹种植五大业务板块。光伏发电板块作为核心业态，通过在尾矿治理形成的林地上建设分布式光伏电站，采用自发自用、就近消纳模式，为金堆城钼业公司提供清洁、低碳、经济的电力供应，年发电量可满足企业部分生产用电需求。储能系统板块配套建设电化学储能设施，通过峰谷充放电策略实现电力时移调节，在午间光伏大发时段储存盈余电能，于用电高峰时段释放，有效降低企业用电成本并提升新能源消纳率。微电网运营板块构建源网荷储一体化微电网系统，实现光伏发电、储能调节与企业用电负荷的实时匹配与优化控制，具备并网与离网双模式运行能力，保障矿区供电可靠性。虚拟电厂运营板块建设智能化运营平台，聚合分布式光伏、储能系统及可控负荷资源，参与电力市场交易和电网辅助服务，拓展项目收益渠道。超级芦竹种植板块在光伏板下方开展能源植物种植，利用光伏板遮阴改善土壤墒情，实现生态修复与能源产出的有机结合，所产生物质可用于燃料或深加工原料。五大板块相互协同、有机融合，形成林光互补、一地两用的综合运营体系，面向用电企业、电力市场和生物质市场提供多元化产品与服务。</w:t>
      </w:r>
    </w:p>
    <w:p w14:paraId="36461E4E">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5.1.2 运营服务标准</w:t>
      </w:r>
    </w:p>
    <w:p w14:paraId="7B736541">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snapToGrid/>
          <w:color w:val="auto"/>
          <w:spacing w:val="0"/>
          <w:w w:val="100"/>
          <w:kern w:val="2"/>
          <w:position w:val="0"/>
          <w:sz w:val="28"/>
          <w:szCs w:val="28"/>
          <w:lang w:val="en-US" w:eastAsia="zh" w:bidi="zh-CN"/>
        </w:rPr>
      </w:pPr>
      <w:r>
        <w:rPr>
          <w:rFonts w:hint="eastAsia" w:ascii="宋体" w:hAnsi="宋体" w:eastAsia="宋体" w:cs="宋体"/>
          <w:b/>
          <w:color w:val="auto"/>
          <w:sz w:val="28"/>
          <w:szCs w:val="28"/>
          <w:lang w:val="en-US" w:eastAsia="zh-CN"/>
        </w:rPr>
        <w:t>5.1.2.1 项目服务标准</w:t>
      </w:r>
    </w:p>
    <w:p w14:paraId="0D8A9E0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1、光伏发电服务标准</w:t>
      </w:r>
    </w:p>
    <w:p w14:paraId="45CC7E8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光伏发电服务遵循《光伏发电站设计规范》《分布式光伏发电并网接口技术规范》等国家及行业强制性标准。服务准则以确保发电系统安全稳定运行、持续提供优质绿色电力为核心。质量要求方面，光伏组件光电转换效率须达到行业主流水平，发电系统年利用小时数须符合河南省太阳能资源区划标准，所发电力电能质量满足国家电能质量标准，电压偏差、频率偏差、谐波等指标均控制在规定范围内。合规要求方面，严格依照国家电力安全生产法规开展运营，定期开展设备检测与预防性试验，确保并网设备满足电网企业技术管理要求。履约规范方面，建立电力供应合同管理机制，按照与用电企业签订的长期供用电协议约定，保障电力持续稳定供应，每月定期向用电企业提供发电量报表和电费结算清单，接受用电企业对供电质量的监督检查。</w:t>
      </w:r>
    </w:p>
    <w:p w14:paraId="5673BB7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2、储能系统服务标准</w:t>
      </w:r>
    </w:p>
    <w:p w14:paraId="1C21259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储能系统服务遵循《电化学储能电站设计规范》《储能电站运行维护规程》等国家及行业标准。服务准则以保障储能系统安全、可靠、高效运行为核心，通过科学的充放电管理延长电池使用寿命。质量要求方面，储能系统充放电转换效率须达到行业先进水平，电池循环寿命须满足设计使用年限，系统响应时间满足电网调度和微电网控制要求，储能容量保持率在规定年限内不低于设定阈值。合规要求方面，严格按照储能电站安全管理规定开展运营，配置完善的电池管理系统和消防安全设施，建立储能设备台账和检测档案，定期开展电池性能检测和安全评估。履约规范方面，根据峰谷电价策略和微电网调度指令精准执行充放电操作，做好储能运行数据记录与分析，及时向运营管理层报告储能系统异常情况和性能衰减趋势。</w:t>
      </w:r>
    </w:p>
    <w:p w14:paraId="2DD7ED6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3、微电网运营服务标准</w:t>
      </w:r>
    </w:p>
    <w:p w14:paraId="102A113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微电网运营遵循《微电网接入电力系统技术规定》《智能微电网技术导则》等国家及行业标准。服务准则以构建安全、稳定、高效的区域供电系统为核心，实现源网荷储协调优化运行。质量要求方面，微电网供电可靠性须达到设计标准，供电可靠率满足工业生产用电需求，电压合格率和频率合格率符合国家电能质量标准，并离网切换时间满足关键负荷不间断供电要求。合规要求方面，按照电网企业分布式电源并网管理规定开展并网运行，遵守电力调度规程接受电网统一调度，定期开展微电网保护定值校核和设备预防性试验。履约规范方面，建立微电网运行值班制度，实行二十四小时运行监控，制定并严格执行微电网操作规程和事故处理预案，确保微电网系统安全稳定运行，为矿区提供高质量供电服务。</w:t>
      </w:r>
    </w:p>
    <w:p w14:paraId="66E407E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4、虚拟电厂平台服务标准</w:t>
      </w:r>
    </w:p>
    <w:p w14:paraId="622D048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虚拟电厂运营遵循《虚拟电厂资源配置与评估技术规范》《电力需求响应系统技术导则》等行业标准。服务准则以高效聚合分布式能源资源、精准参与电力市场交易为核心，实现分布式能源价值最大化。质量要求方面，虚拟电厂平台数据采集准确率、负荷预测精度和交易指令执行率均达到行业先进水平，平台系统可用率满足连续运营要求，响应电网调度指令的时效性符合市场准入条件。合规要求方面，按照电力市场交易规则和辅助服务管理细则开展市场注册与交易申报，建立完善的数据安全管理和用户信息保护机制，确保平台运营合法合规。履约规范方面，建立虚拟电厂运营分析制度，定期评估交易策略有效性和收益水平，按照电力市场结算规则及时完成电费结算，向参与聚合的资源方及时支付应得收益。</w:t>
      </w:r>
    </w:p>
    <w:p w14:paraId="4932F65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5、超级芦竹种植服务标准</w:t>
      </w:r>
    </w:p>
    <w:p w14:paraId="3388728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超级芦竹种植遵循现代农业种植标准和生物质能源原料质量标准。服务准则以科学种植、绿色生产、稳产高产为核心，实现生态修复与能源产出的双重目标。质量要求方面，超级芦竹种苗须选用经国家或省级审定的高产优质品种，种植密度和栽培技术符合丰产栽培规范，年产干生物质产量达到预期目标，所生物质品质满足燃烧热值和环保排放标准。合规要求方面，严格遵守土地管理和环境保护相关法律法规，合理使用农药化肥防止土壤污染，建立种植档案记录田间管理措施和投入品使用情况。履约规范方面，建立标准化种植作业流程，按照农时季节及时完成播种、施肥、灌溉、除草、病虫害防治和收割等生产环节，确保生物质稳定产出，对收割的生物质进行妥善储存和运输，保障下游客户原料供应质量。</w:t>
      </w:r>
    </w:p>
    <w:p w14:paraId="323DE663">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5.1.2.2 项目运营流程标准</w:t>
      </w:r>
    </w:p>
    <w:p w14:paraId="50840AB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2"/>
        </w:rPr>
      </w:pPr>
      <w:r>
        <w:rPr>
          <w:rFonts w:hint="eastAsia" w:ascii="宋体" w:hAnsi="宋体" w:eastAsia="宋体" w:cs="宋体"/>
          <w:color w:val="auto"/>
          <w:spacing w:val="0"/>
          <w:sz w:val="28"/>
          <w:szCs w:val="28"/>
          <w:lang w:val="en-US" w:eastAsia="zh-CN" w:bidi="zh-CN"/>
        </w:rPr>
        <w:t>1、光伏发电运营流程</w:t>
      </w:r>
    </w:p>
    <w:p w14:paraId="3A259A5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光伏发电运营流程涵盖发电计划制定、设备巡检维护、发电数据采集到电费结算归档的全流程管理。每日运营开始前，运营人员根据天气预报和发电系统运行状态制定当日发电计划，通过远程监控系统下发发电控制参数。运营期间，运维人员按照巡检路线和巡检清单开展设备巡检，检查光伏组件表面清洁度、支架紧固状况、电缆连接状态及逆变器运行参数，及时发现并处理设备异常。同时，数据采集系统实时采集各逆变器发电功率、发电量、组件温度等运行数据，上传至集中监控平台进行分析和存储。每月末，运营管理人员汇总当月发电量数据，编制发电月报和电费结算清单，提交财务部门与用电企业进行电费结算，并将运营资料整理归档，形成完整的光伏发电运营记录。</w:t>
      </w:r>
    </w:p>
    <w:p w14:paraId="30891AE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2、储能系统运营流程</w:t>
      </w:r>
    </w:p>
    <w:p w14:paraId="6DE5F93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储能系统运营流程包括充放电策略制定、电池状态监控、温控消防巡检到性能评估优化的闭环管理。每日清晨，能量管理系统根据当日光伏出力预测、企业用电负荷曲线和峰谷电价时段，自动生成日充放电策略并下发至储能控制系统。运营期间，电池管理系统实时监测各电池模块的电压、电流、温度和荷电状态，当检测到异常数据时自动发出告警并启动保护措施。运维人员按照巡检频次检查储能集装箱温控系统运行状态、消防系统压力指示和通风散热状况，确保储能设施运行环境安全可控。每月末，技术人员对储能系统进行充放电性能测试，分析电池容量衰减趋势和充放电效率变化，根据评估结果优化充放电策略，更新储能设备维护计划，确保储能系统在全生命周期内保持优良性能。</w:t>
      </w:r>
    </w:p>
    <w:p w14:paraId="1F0D63D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3、微电网运营流程</w:t>
      </w:r>
    </w:p>
    <w:p w14:paraId="033710F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微电网运营流程从供电调度指令接收、负荷分配执行、电能质量监测到异常故障处理形成完整闭环。运营值班人员通过微电网能量管理系统实时监测光伏发电出力、储能荷电状态和企业用电负荷变化，系统自动生成最优调度方案并下发执行指令。当光伏发电量大于企业用电负荷时，系统自动控制储能系统充电或向电网输送盈余电能；当光伏发电量不足时，系统自动释放储能电能或从大电网补充电力，实现源荷实时平衡。运维人员持续监测微电网电压、频率、功率因数等电能质量指标，确保供电质量满足工业生产标准。当微电网发生故障或接收电网调度指令时，系统自动执行并离网切换操作，运维人员按照事故处理预案开展故障排查和应急处置，及时恢复系统正常运行。</w:t>
      </w:r>
    </w:p>
    <w:p w14:paraId="3C55F19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4、虚拟电厂运营流程</w:t>
      </w:r>
    </w:p>
    <w:p w14:paraId="196BF77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虚拟电厂运营流程涵盖市场信息收集、交易策略制定、竞价申报执行到收益结算分析的全链条管理。运营人员每日关注电力市场交易公告、电网负荷预测和电价走势信息，结合项目光伏出力和储能能力进行市场机会分析。基于市场分析结果，交易策略团队制定次日交易方案，确定参与市场交易时段、申报电量和报价策略。交易时段，运营人员通过虚拟电厂平台向电力市场提交竞价申报，接收市场出清结果后，系统自动分解交易指令至各分布式资源执行。交易结束后，财务人员根据市场交易结算规则和实际执行情况编制收益结算报表，分析交易策略执行效果，评估虚拟电厂运营绩效，持续优化交易策略和运营管理模式。</w:t>
      </w:r>
    </w:p>
    <w:p w14:paraId="089D72F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5、超级芦竹种植运营流程</w:t>
      </w:r>
    </w:p>
    <w:p w14:paraId="319F94E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超级芦竹种植运营流程从种植计划制定、田间管理实施、收割加工处理到销售结算归档建立标准化作业程序。种植季开始前，种植管理人员根据土壤条件和气候特点制定年度种植计划，确定种植面积、种苗用量和农资采购清单。种植期间，田间管理人员按照标准化操作规程开展整地、播种、施肥、灌溉、除草和病虫害防治等农事活动，定期巡查作物生长状况并做好田间管理记录。收割季节，组织人员和机械进行统一收割，将收割的芦竹运至晾晒场地进行干燥处理，达到储存标准后称重入库。销售环节，根据与客户签订的购销合同约定，安排出库装车和运输交付，财务部门依据出库单和验收单与客户办理结算，种植管理人员将全年种植和销售资料整理归档，为下一年度种植计划提供数据支撑。</w:t>
      </w:r>
    </w:p>
    <w:p w14:paraId="724A57D4">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5.1.2.3 安全管理标准</w:t>
      </w:r>
    </w:p>
    <w:p w14:paraId="185E632C">
      <w:pPr>
        <w:keepNext w:val="0"/>
        <w:keepLines w:val="0"/>
        <w:pageBreakBefore w:val="0"/>
        <w:widowControl w:val="0"/>
        <w:numPr>
          <w:ilvl w:val="0"/>
          <w:numId w:val="0"/>
        </w:numPr>
        <w:kinsoku/>
        <w:wordWrap/>
        <w:overflowPunct/>
        <w:topLinePunct/>
        <w:autoSpaceDE w:val="0"/>
        <w:autoSpaceDN/>
        <w:bidi w:val="0"/>
        <w:adjustRightInd/>
        <w:snapToGrid/>
        <w:spacing w:before="157" w:beforeLines="50" w:beforeAutospacing="0" w:after="157" w:afterLines="50" w:afterAutospacing="0" w:line="360" w:lineRule="auto"/>
        <w:ind w:left="0" w:leftChars="0" w:firstLine="560" w:firstLineChars="200"/>
        <w:jc w:val="both"/>
        <w:textAlignment w:val="auto"/>
        <w:outlineLvl w:val="9"/>
        <w:rPr>
          <w:rFonts w:hint="default" w:ascii="宋体" w:hAnsi="宋体" w:eastAsia="宋体" w:cs="宋体"/>
          <w:b w:val="0"/>
          <w:bCs w:val="0"/>
          <w:snapToGrid/>
          <w:color w:val="auto"/>
          <w:spacing w:val="0"/>
          <w:w w:val="100"/>
          <w:kern w:val="2"/>
          <w:position w:val="0"/>
          <w:sz w:val="28"/>
          <w:szCs w:val="28"/>
          <w:lang w:val="en-US" w:eastAsia="zh-CN" w:bidi="zh-CN"/>
        </w:rPr>
      </w:pPr>
      <w:r>
        <w:rPr>
          <w:rFonts w:hint="default" w:ascii="宋体" w:hAnsi="宋体" w:eastAsia="宋体" w:cs="宋体"/>
          <w:b w:val="0"/>
          <w:color w:val="auto"/>
          <w:spacing w:val="0"/>
          <w:sz w:val="28"/>
          <w:szCs w:val="28"/>
          <w:lang w:val="en-US" w:eastAsia="zh-CN" w:bidi="zh-CN"/>
        </w:rPr>
        <w:t>1、消防安全标准</w:t>
      </w:r>
    </w:p>
    <w:p w14:paraId="376073E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项目消防安全严格遵循《建筑设计防火规范》和《电化学储能电站安全规程》要求。储能区域配置自动灭火系统和火灾自动报警装置，光伏阵列周边配备足够数量的灭火器材。定期开展消防设施巡检，确保消防器材完好有效，消防通道畅通无阻。每季度组织全员消防演练，提高员工火灾应急处置能力。</w:t>
      </w:r>
    </w:p>
    <w:p w14:paraId="0E3F119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2、用电及设备安全标准</w:t>
      </w:r>
    </w:p>
    <w:p w14:paraId="79D93A0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电气设备运行遵循《电力安全工作规程》和《用电检查管理办法》规定。建立电气设备定期巡检制度，对变压器、开关柜、电缆线路等进行预防性试验和绝缘检测。高压作业严格执行工作票和操作票制度，操作人员须持证上岗并穿戴绝缘防护用品。设备检修前落实停电、验电、接地等安全措施，确保检修作业安全。</w:t>
      </w:r>
    </w:p>
    <w:p w14:paraId="1FB9235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3、人员作业安全标准</w:t>
      </w:r>
    </w:p>
    <w:p w14:paraId="4136EFD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人员作业安全管理遵循《安全生产法》和《特种作业人员安全技术培训考核管理规定》。特种作业人员须取得相应资格证书后方可上岗，高处作业、带电作业等危险作业须办理审批手续并设专人监护。为员工配备符合标准的劳动防护用品，作业前进行安全技术交底和风险告知。建立违章作业查处机制，杜绝违规操作行为。</w:t>
      </w:r>
    </w:p>
    <w:p w14:paraId="183994B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4、场地及环境安全标准</w:t>
      </w:r>
    </w:p>
    <w:p w14:paraId="0F439F2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场地环境安全管理遵循《工业企业设计卫生标准》和《生产过程安全卫生要求总则》。定期检查光伏支架基础和结构稳固性，监测储能设施运行环境的温度和湿度，确保设备运行环境符合安全要求。及时清理场地杂草和易燃物品，做好排水防涝措施，防止场地积水影响设备安全运行。对尾矿库区域开展地质稳定性监测，防范地质灾害风险。</w:t>
      </w:r>
    </w:p>
    <w:p w14:paraId="654E9D1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5、出入及值守安全标准</w:t>
      </w:r>
    </w:p>
    <w:p w14:paraId="36EA39A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厂区出入管理遵循《企业事业单位内部治安保卫条例》规定。在项目场区出入口设置门禁管理系统，对进出人员和车辆进行登记管理。实行二十四小时值班制度，值班人员定时对场区进行安全巡查，重点检查储能区域和配电设施安全状况。安装视频监控系统对场区实施全覆盖监控，视频资料保存不少于三十天，确保场区安全可控。</w:t>
      </w:r>
    </w:p>
    <w:p w14:paraId="68D333F4">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5.1.3 运营维护与修理</w:t>
      </w:r>
    </w:p>
    <w:p w14:paraId="18ED30E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1、光伏发电系统维护</w:t>
      </w:r>
    </w:p>
    <w:p w14:paraId="2E40058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定期清洁光伏组件表面灰尘和污垢，检查电缆连接和支架紧固状况，监测逆变器运行状态和发电效率，及时更换故障组件和老化电缆，保障发电系统持续高效运行。</w:t>
      </w:r>
    </w:p>
    <w:p w14:paraId="474B336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2、储能系统维护</w:t>
      </w:r>
    </w:p>
    <w:p w14:paraId="48A8F0E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监测电池组充放电性能和容量衰减情况，检查电池管理系统和温控系统运行状态，定期校准储能变流器参数，及时更换异常电池模块，确保储能设施安全可靠运行。</w:t>
      </w:r>
    </w:p>
    <w:p w14:paraId="311E71E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3、微电网系统维护</w:t>
      </w:r>
    </w:p>
    <w:p w14:paraId="6F79528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检查配电设备运行状态和继电保护装置有效性，测试微电网并离网切换功能，维护能量管理系统软硬件，确保调度通讯链路畅通，保障微电网系统供电可靠性。</w:t>
      </w:r>
    </w:p>
    <w:p w14:paraId="21882CF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4、虚拟电厂平台维护</w:t>
      </w:r>
    </w:p>
    <w:p w14:paraId="689FBA6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定期检查数据采集终端和通讯设备运行状态，更新负荷预测算法和交易策略模型，备份平台数据库和应用程序，及时修复系统漏洞和故障，保障平台稳定高效运营。</w:t>
      </w:r>
    </w:p>
    <w:p w14:paraId="4B1D5C6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5、超级芦竹种植维护</w:t>
      </w:r>
    </w:p>
    <w:p w14:paraId="340D37C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定期巡查作物生长状况和病虫害发生情况，适时进行灌溉施肥和除草作业，及时修剪病弱植株和补种缺苗区域，维护灌溉排水设施和农田道路，保障生物质稳产高产。</w:t>
      </w:r>
    </w:p>
    <w:p w14:paraId="07C392F4">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1"/>
        <w:rPr>
          <w:rFonts w:hint="eastAsia" w:ascii="宋体" w:hAnsi="宋体" w:eastAsia="宋体" w:cs="宋体"/>
          <w:b/>
          <w:bCs/>
          <w:sz w:val="28"/>
          <w:szCs w:val="28"/>
          <w:lang w:val="en-US" w:eastAsia="zh-CN"/>
        </w:rPr>
      </w:pPr>
      <w:bookmarkStart w:id="1" w:name="_Toc10326"/>
      <w:r>
        <w:rPr>
          <w:rFonts w:hint="eastAsia" w:ascii="宋体" w:hAnsi="宋体" w:eastAsia="宋体" w:cs="宋体"/>
          <w:b/>
          <w:sz w:val="28"/>
          <w:szCs w:val="28"/>
          <w:lang w:val="en-US" w:eastAsia="zh-CN"/>
        </w:rPr>
        <w:t>5.2 安全保障方案</w:t>
      </w:r>
      <w:bookmarkEnd w:id="1"/>
    </w:p>
    <w:p w14:paraId="16C39A58">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snapToGrid/>
          <w:color w:val="auto"/>
          <w:spacing w:val="0"/>
          <w:w w:val="100"/>
          <w:kern w:val="2"/>
          <w:position w:val="0"/>
          <w:sz w:val="28"/>
          <w:szCs w:val="28"/>
          <w:lang w:val="en-US" w:eastAsia="zh" w:bidi="zh-CN"/>
          <w:woUserID w:val="2"/>
        </w:rPr>
      </w:pPr>
      <w:r>
        <w:rPr>
          <w:rFonts w:hint="eastAsia" w:ascii="宋体" w:hAnsi="宋体" w:eastAsia="宋体" w:cs="宋体"/>
          <w:b/>
          <w:color w:val="auto"/>
          <w:sz w:val="28"/>
          <w:szCs w:val="28"/>
          <w:lang w:val="en-US" w:eastAsia="zh-CN"/>
        </w:rPr>
        <w:t>5.2.1 运营中危险因素及危险程度</w:t>
      </w:r>
    </w:p>
    <w:p w14:paraId="262F73C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1、火灾消防风险</w:t>
      </w:r>
    </w:p>
    <w:p w14:paraId="341CB38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储能电池在过充、过放或热失控情况下存在起火燃烧风险，火势蔓延迅速且难以扑灭；光伏组件和直流电缆在高温天气或电气故障时存在引燃周边杂草等可燃物的风险；电气设备短路、过载也可能引发火灾。影响范围覆盖储能区域、光伏阵列区和配电设施区，危险等级为重大风险。</w:t>
      </w:r>
    </w:p>
    <w:p w14:paraId="73258C3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2、机电设备风险</w:t>
      </w:r>
    </w:p>
    <w:p w14:paraId="2575CC0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变压器、逆变器等电气设备在长期运行中可能出现绝缘老化、接触不良等故障，存在触电和短路风险；光伏支架在强风、暴雨等极端天气下存在结构变形或倒塌风险；电缆线路可能因外力破坏或动物啃咬导致破损漏电。影响范围覆盖整个项目场区，危险等级为较大风险。</w:t>
      </w:r>
    </w:p>
    <w:p w14:paraId="7870002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3、人员作业风险</w:t>
      </w:r>
    </w:p>
    <w:p w14:paraId="0900A23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光伏组件清洗和检修作业需登高操作，存在高处坠落风险；电气设备检修维护涉及带电作业，存在触电伤害风险；储能区域巡检可能接触高温部件或泄漏电解液，存在灼烫和化学伤害风险；田间种植管理涉及农机操作和农药使用，存在机械伤害和中毒风险。危险等级为较大风险。</w:t>
      </w:r>
    </w:p>
    <w:p w14:paraId="71EE86D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4、公共区域安全风险</w:t>
      </w:r>
    </w:p>
    <w:p w14:paraId="73EF2AE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光伏支架基础和立柱存在人员磕碰绊倒风险；储能设施周边区域在设备故障时可能存在高温、有害气体释放风险；配电柜和升压变压器周边存在电磁辐射和触电风险；场区道路在恶劣天气下存在湿滑摔倒风险。影响范围包括项目运营人员和外来访客，危险等级为一般风险。</w:t>
      </w:r>
    </w:p>
    <w:p w14:paraId="6AD56EC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5、治安及外来人员风险</w:t>
      </w:r>
    </w:p>
    <w:p w14:paraId="332B1A7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项目场区地理位置相对偏远，存在不法人员入侵盗窃光伏组件、电缆等贵重设备的风险；外来无关人员擅自进入场区，可能误触电气设施导致触电事故；车辆误入场区可能碰撞损坏设备或引发交通事故。影响范围包括项目资产安全和外来人员人身安全，危险等级为一般风险。</w:t>
      </w:r>
    </w:p>
    <w:p w14:paraId="4398E9CD">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5.2.2 安全生产责任</w:t>
      </w:r>
    </w:p>
    <w:p w14:paraId="1E845C6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项目负责人是安全生产第一责任人，对本项目安全生产工作负总责。其职责包括组织制定并实施安全生产规章制度和操作规程，保障安全生产投入的有效实施，督促检查安全生产工作并及时消除事故隐患，组织制定并实施生产安全事故应急救援预案，及时如实报告生产安全事故。项目负责人须定期主持召开安全生产例会，研究部署安全生产工作，协调解决安全生产重大问题。</w:t>
      </w:r>
    </w:p>
    <w:p w14:paraId="0319316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安全管理人员在项目负责人领导下开展日常安全管理工作，具体负责安全生产制度建设的组织实施，编制安全检查计划和隐患排查方案，组织开展安全教育培训和应急演练活动，监督安全生产责任制落实情况，对违章指挥、违章作业和违反劳动纪律的行为进行制止和纠正，参与事故调查处理并提出整改建议。</w:t>
      </w:r>
    </w:p>
    <w:p w14:paraId="68F1C3C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各业务部门管理人员对本部门业务范围安全生产工作负直接管理责任，须将安全生产与业务工作同部署、同检查、同考核，确保本部门员工严格执行安全操作规程，落实安全防范措施，及时报告和处置安全隐患。一线操作人员对本岗位安全生产工作负直接责任，须严格遵守安全生产规章制度和安全操作规程，正确佩戴和使用劳动防护用品，接受安全生产教育和培训，掌握本岗位安全操作技能和应急处置措施，发现事故隐患或不安全因素须立即报告。</w:t>
      </w:r>
    </w:p>
    <w:p w14:paraId="6273573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woUserID w:val="1"/>
        </w:rPr>
      </w:pPr>
      <w:r>
        <w:rPr>
          <w:rFonts w:hint="eastAsia" w:ascii="宋体" w:hAnsi="宋体" w:eastAsia="宋体" w:cs="宋体"/>
          <w:color w:val="auto"/>
          <w:spacing w:val="0"/>
          <w:sz w:val="28"/>
          <w:szCs w:val="28"/>
          <w:lang w:val="en-US" w:eastAsia="zh-CN" w:bidi="zh-CN"/>
        </w:rPr>
        <w:t>项目建立安全责任传导机制，通过层层签订安全生产责任书，将安全责任分解落实到每个部门、每个岗位和每名员工。建立安全责任考核机制，将安全生产绩效纳入员工绩效考核体系，对认真履行安全职责、在安全生产工作中表现突出的给予表彰奖励，对未履行安全职责导致安全事故的依法依规追究责任。建立安全隐患上报机制，鼓励员工主动报告安全隐患，对及时报告并避免事故发生的给予奖励。建立安全责任追溯机制，对发生的安全事故严格按照四不放过原则进行调查处理，查明原因、分清责任、落实整改、追究责任。</w:t>
      </w:r>
    </w:p>
    <w:p w14:paraId="06284774">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5.2.3 建立安全管理机构</w:t>
      </w:r>
    </w:p>
    <w:p w14:paraId="714E61F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1、安全领导小组</w:t>
      </w:r>
    </w:p>
    <w:p w14:paraId="768FC63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安全领导小组由项目负责人担任组长，成员包括各部门负责人和安全管理骨干，是项目安全生产工作的最高决策机构。负责制定安全管理方针和目标，审批安全管理制度和应急预案，研究解决安全生产重大问题，指挥协调重大事故应急救援工作。</w:t>
      </w:r>
    </w:p>
    <w:p w14:paraId="7B2FD31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2、专职安全管理岗</w:t>
      </w:r>
    </w:p>
    <w:p w14:paraId="1D9F615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配备具有注册安全工程师资格的专职安全管理人员，负责日常安全监督检查、隐患排查治理、安全教育培训和应急管理等工作。每日开展现场安全巡查，每周编制安全检查报告，每月组织安全例会，建立安全管理台账和档案。</w:t>
      </w:r>
    </w:p>
    <w:p w14:paraId="315CE0F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3、各业态安全负责人</w:t>
      </w:r>
    </w:p>
    <w:p w14:paraId="4BBA913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光伏发电、储能系统、微电网运营、虚拟电厂和超级芦竹种植五个业态分别设立兼职安全负责人，负责本业态日常安全管理。组织本部门员工开展安全学习和技能培训，落实安全检查中发现隐患的整改措施，及时向安全领导小组报告安全状况。</w:t>
      </w:r>
    </w:p>
    <w:p w14:paraId="0C47E93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4、现场巡查班组</w:t>
      </w:r>
    </w:p>
    <w:p w14:paraId="53466FB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设立专职安全巡查班组，实行二十四小时轮班巡查制度。巡查范围覆盖光伏阵列区、储能设施区、配电房和种植区域，重点检查设备运行状态、消防设施完好性和场区安全状况。发现异常情况立即上报并采取初步处置措施。</w:t>
      </w:r>
    </w:p>
    <w:p w14:paraId="5455880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5、应急处置小组</w:t>
      </w:r>
    </w:p>
    <w:p w14:paraId="235796E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组建由各部门骨干组成的应急处置小组，下设通讯联络组、抢险救援组、疏散引导组和后勤保障组。负责突发事件现场应急处置和救援工作，定期开展应急演练，检查和维护应急物资储备，确保应急响应快速有效。</w:t>
      </w:r>
    </w:p>
    <w:p w14:paraId="06343D33">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5.2.4 建立安全管理体系</w:t>
      </w:r>
    </w:p>
    <w:p w14:paraId="0A7285B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1、安全制度体系</w:t>
      </w:r>
    </w:p>
    <w:p w14:paraId="5A7661F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建立涵盖安全生产责任制、安全操作规程、设备管理制度、消防安全制度、应急管理制度等内容的制度体系。根据国家法律法规和行业标准，结合项目业态特点，制定具有可操作性的安全管理规章制度，并根据法规变化和运营实践及时修订完善。</w:t>
      </w:r>
    </w:p>
    <w:p w14:paraId="324DCA8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2、日常巡查体系</w:t>
      </w:r>
    </w:p>
    <w:p w14:paraId="0E5BC0C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制定安全巡查路线、巡查内容和巡查频次标准，建立日巡查、周检查和月度综合检查的多层级巡查机制。巡查人员按照标准化检查表开展巡查，发现问题当场记录并下发整改通知，建立巡查问题台账跟踪整改落实情况，实现闭环管理。</w:t>
      </w:r>
    </w:p>
    <w:p w14:paraId="2EBC9FD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3、安全培训体系</w:t>
      </w:r>
    </w:p>
    <w:p w14:paraId="23ACE63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制定年度安全培训计划，实行新员工三级安全教育、转岗人员专项培训和全员定期再教育制度。培训内容涵盖安全生产法律法规、安全操作规程、应急处置技能和职业健康知识，建立培训档案记录培训内容和考核结果，确保员工具备必要的安全知识和技能。</w:t>
      </w:r>
    </w:p>
    <w:p w14:paraId="7DD7E8E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4、隐患整改体系</w:t>
      </w:r>
    </w:p>
    <w:p w14:paraId="2E44855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建立隐患排查治理台账，对排查出的隐患按照严重程度分级分类管理，制定整改方案明确整改责任人、整改措施和整改期限。重大隐患实行挂牌督办，整改完成后组织验收销号。定期统计分析隐患产生原因，从源头预防同类隐患重复出现。</w:t>
      </w:r>
    </w:p>
    <w:p w14:paraId="1E5D61D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5、监督考核体系</w:t>
      </w:r>
    </w:p>
    <w:p w14:paraId="4CD0C9C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建立安全绩效考核评分标准和奖惩办法，将安全指标纳入部门和员工绩效考核体系。安全领导小组每季度对各部门安全管理工作进行考核评价，考核结果与绩效奖金和评优评先挂钩。对安全管理工作不力或发生责任事故的部门和个人实行一票否决。</w:t>
      </w:r>
    </w:p>
    <w:p w14:paraId="7D69BCC8">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5.2.5 安全防范措施</w:t>
      </w:r>
    </w:p>
    <w:p w14:paraId="1356561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1、人员行为防范</w:t>
      </w:r>
    </w:p>
    <w:p w14:paraId="68E027E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建立安全准入制度，特种作业人员须持证上岗，一般岗位人员须经安全培训考核合格后方可上岗作业。规范员工安全行为，作业前进行安全技术交底，作业中正确佩戴劳动防护用品，严禁违章指挥和违章作业。定期开展安全警示教育，提高员工安全意识和自我保护能力。</w:t>
      </w:r>
    </w:p>
    <w:p w14:paraId="22EAAC8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2、设施设备防护</w:t>
      </w:r>
    </w:p>
    <w:p w14:paraId="0DB877B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电气设备配置漏电保护、过载保护和接地保护装置，定期检查维护确保保护功能有效。储能设施配备自动灭火系统和可燃气体监测报警装置，变压器和开关柜设置安全防护围栏和警示标识。光伏支架采用防腐材料和可靠连接方式，定期检查基础稳固性和结构完整性。</w:t>
      </w:r>
    </w:p>
    <w:p w14:paraId="1892D5A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3、物理隔离防范</w:t>
      </w:r>
    </w:p>
    <w:p w14:paraId="1D7F605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储能区域和配电设施区设置实体围墙和安全警示标识，实行封闭式管理。高压设备周边划定安全距离并设置隔离围栏和警告标志，防止无关人员靠近。光伏阵列区周边设置防护网，防止人员和动物进入造成设备损坏或触电事故。</w:t>
      </w:r>
    </w:p>
    <w:p w14:paraId="6CEDEAB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4、智能技防管控</w:t>
      </w:r>
    </w:p>
    <w:p w14:paraId="4B0724E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项目场区安装视频监控系统实现全覆盖监控，配置红外对射和周界报警装置防止非法入侵。储能区域和配电房安装火灾自动报警系统和温湿度在线监测装置，异常情况自动报警并联动处置。建立远程监控中心，实现对设备运行状态和安全状况的实时监控和智能预警。</w:t>
      </w:r>
    </w:p>
    <w:p w14:paraId="2166BAD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5、环境综合整治</w:t>
      </w:r>
    </w:p>
    <w:p w14:paraId="129A4CC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定期清理光伏阵列下方和场区道路两侧的杂草和易燃物品，消除火灾隐患。做好场区排水防涝工作，防止雨水积聚影响设备基础和电气设施安全。对尾矿库区域进行地质稳定性监测和生态恢复治理，防范滑坡、塌陷等地质灾害风险。</w:t>
      </w:r>
    </w:p>
    <w:p w14:paraId="78BB99B6">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5.2.6 项目安全应急管理预案</w:t>
      </w:r>
    </w:p>
    <w:p w14:paraId="5F91D7E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1、应急响应机制</w:t>
      </w:r>
    </w:p>
    <w:p w14:paraId="4DCFECC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根据实际情况建立应急响应机制。该机制包括应急组织架构、应急响应程序、应急调度指挥等方面。应急响应机制中要包括人员责任分工，产生应急事件时，每个应急小组成员要知道自己的职责和任务，并发挥自己的专业优势协助处理应急事件。</w:t>
      </w:r>
    </w:p>
    <w:p w14:paraId="4C960BB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2、应急预案制定</w:t>
      </w:r>
    </w:p>
    <w:p w14:paraId="3DDF868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在应急预案中对可能发生的应急事故进行分类、评估和判断。应急预案的制订要按照应急响应等级，明确应急工作的步骤和措施，以及一次性应急物资采购和物资储备计划、应急复工方案等。</w:t>
      </w:r>
    </w:p>
    <w:p w14:paraId="73A398E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3、应急资源准备</w:t>
      </w:r>
    </w:p>
    <w:p w14:paraId="5748FBE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提前申购和储备物资和设备，准备充分、有序的应急物资，及时更新物资库存数。在应急预案制定的基础上建立物资应急储备体系，合理分配应急物资储备、物资采购和供应商选择及沟通等。预防与应急响应物资有关的问题。</w:t>
      </w:r>
    </w:p>
    <w:p w14:paraId="1D6C07A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4、应急培训措施</w:t>
      </w:r>
    </w:p>
    <w:p w14:paraId="2CABC4F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组织企业内部的应急培训，针对不同岗位的员工，开展不同层次、不同内容的应急培训。企业应急培训内容可以包括防范知识、急救抢救技能、危机公关和虚拟疏散等。</w:t>
      </w:r>
    </w:p>
    <w:p w14:paraId="3343FEF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5、应急调度和信息化</w:t>
      </w:r>
    </w:p>
    <w:p w14:paraId="3C3AF34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建立应急调度与信息化系统，快速响应线上网络安全问题、IT设备故障问题等，并制定应急调度预案，明确应急处置的流程。同时应加强网络安全防御，利用信息化技术加强危险源信息预警和防范。</w:t>
      </w:r>
    </w:p>
    <w:p w14:paraId="2292C37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6、应急演练</w:t>
      </w:r>
    </w:p>
    <w:p w14:paraId="51889A7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定期开展应急演练，包括突发事件处理、防火演练、应急疏散演练等，确保预案的可行性和使用性。演练中的细节和业务流程应与预案的实操情况配合，以最大程度地发挥出应急预案的价值和效果。</w:t>
      </w:r>
    </w:p>
    <w:p w14:paraId="3595F21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7、突发事件处理流程</w:t>
      </w:r>
    </w:p>
    <w:p w14:paraId="5CBCB71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在突发事件处理流程中提前设计应急响应步骤和具体实施方案，建立应急指挥体系，明确人员职责、应急调度、物资储备、应急通讯和技术保障等，确保应急传递的快捷与准确，应急处理的及时与有效性。</w:t>
      </w:r>
    </w:p>
    <w:p w14:paraId="024A302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8、应急通讯和报警系统</w:t>
      </w:r>
    </w:p>
    <w:p w14:paraId="33B9CB4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建立完备、连通的应急通讯和报警系统，综合利用网络通信设备、人员通讯设备等手段，确保应急信息及时传递，应急通讯系统的成功率和通畅度高。预警和警报的判断，能够准确和及时发布，为迅速响应和有效出击提供重要支持。</w:t>
      </w:r>
    </w:p>
    <w:p w14:paraId="4C6896D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9、规范记录和督查</w:t>
      </w:r>
    </w:p>
    <w:p w14:paraId="1B2EB5A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建立应急事件记录和督查制度，对应急情况进行详细记录，及时反馈和沟通。同时实时向管理层汇报应急事件情况，强化督查和检查效果，以不断完善具体的应急处置措施和应对经验。</w:t>
      </w:r>
    </w:p>
    <w:p w14:paraId="6D5E3E1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应急管理预案的详细性和全面性是保障企业安全的重要保障措施。企业应该认真执行应急管理预案，不断加强应急意识和应急响应能力，提高应急处置水平，以保障企业和人员的生命和资产安全。</w:t>
      </w:r>
    </w:p>
    <w:p w14:paraId="29ADEE84">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1"/>
        <w:rPr>
          <w:rFonts w:hint="eastAsia" w:ascii="宋体" w:hAnsi="宋体" w:eastAsia="宋体" w:cs="宋体"/>
          <w:b/>
          <w:bCs/>
          <w:sz w:val="28"/>
          <w:szCs w:val="28"/>
          <w:lang w:val="en-US" w:eastAsia="zh-CN"/>
        </w:rPr>
      </w:pPr>
      <w:bookmarkStart w:id="2" w:name="_Toc8458"/>
      <w:r>
        <w:rPr>
          <w:rFonts w:hint="eastAsia" w:ascii="宋体" w:hAnsi="宋体" w:eastAsia="宋体" w:cs="宋体"/>
          <w:b/>
          <w:sz w:val="28"/>
          <w:szCs w:val="28"/>
          <w:lang w:val="en-US" w:eastAsia="zh-CN"/>
        </w:rPr>
        <w:t>5.3 运营管理方案</w:t>
      </w:r>
      <w:bookmarkEnd w:id="2"/>
    </w:p>
    <w:p w14:paraId="200EA8E7">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5.3.1 运营机构设置方案</w:t>
      </w:r>
    </w:p>
    <w:p w14:paraId="6418C80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为确保项目的建设能够顺利的进行、顺利实施，尽快的投入运营，早日的发挥其重要的价值所在，务必切实加强领导，做好项目的前期准备工作，确保项目的工程质量与进度的完善。</w:t>
      </w:r>
    </w:p>
    <w:p w14:paraId="11A8C9B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本项目在建设期间，由建设单位组建建设领导小组，有效的负责项目的组织、协调与管理，并负责控制项目建设的进度、质量和投资。项目指挥部下设办公室、工程管理部、物资供应部、计划财务部等职能部门。</w:t>
      </w:r>
    </w:p>
    <w:p w14:paraId="50185A87">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b/>
          <w:color w:val="auto"/>
          <w:sz w:val="28"/>
          <w:szCs w:val="28"/>
          <w:lang w:val="en-US" w:eastAsia="zh-CN"/>
        </w:rPr>
        <w:t>5.3.2 运营模式和治理结构</w:t>
      </w:r>
    </w:p>
    <w:p w14:paraId="2A115A0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1、运营模式</w:t>
      </w:r>
    </w:p>
    <w:p w14:paraId="43C3A64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 w:bidi="zh-CN"/>
          <w:woUserID w:val="2"/>
        </w:rPr>
      </w:pPr>
      <w:r>
        <w:rPr>
          <w:rFonts w:hint="eastAsia" w:ascii="宋体" w:hAnsi="宋体" w:eastAsia="宋体" w:cs="宋体"/>
          <w:color w:val="auto"/>
          <w:spacing w:val="0"/>
          <w:sz w:val="28"/>
          <w:szCs w:val="28"/>
          <w:lang w:val="en-US" w:eastAsia="zh" w:bidi="zh-CN"/>
        </w:rPr>
        <w:t>本项目采用统一管理、分区运营、业态差异化服务、一体化运维的整体运营模式，整体实现规范化、常态化、可持续化运营。</w:t>
      </w:r>
    </w:p>
    <w:p w14:paraId="208CC62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1）光伏发电板块采取计划性巡检和预防性维护模式，建立智能化监控平台实时监测各光伏阵列发电数据、组件温度和逆变器运行状态，实施定期组件清洁和设备检修保障发电效率。根据季节变化和天气条件调整运维策略，确保光伏发电系统全年稳定高效运行。</w:t>
      </w:r>
    </w:p>
    <w:p w14:paraId="5072760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2）储能系统板块采取策略化充放电管理模式，根据峰谷电价时段和光伏发电出力预测制定日充放电策略，实现低充高放的套利运营。开展电池健康状态实时监测和预测性维护，建立电池全生命周期管理机制，在保障安全的前提下最大化储能系统经济收益。</w:t>
      </w:r>
    </w:p>
    <w:p w14:paraId="4016A73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3）微电网运营板块采取调度优化模式，通过能量管理系统实现源网荷储协调控制和并离网无缝切换，保障矿区供电可靠性和电能质量。建立微电网运行数据分析制度，持续优化调度策略，降低弃光率和弃电率，提升新能源综合利用效率。</w:t>
      </w:r>
    </w:p>
    <w:p w14:paraId="4CB3A73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4）虚拟电厂板块采取平台化聚合交易模式，整合分布式光伏、储能和可控负荷资源参与电力市场交易和辅助服务，通过智能化算法优化交易策略，最大化能源综合利用效益。建立市场交易风险管控机制，确保虚拟电厂运营合规稳健。</w:t>
      </w:r>
    </w:p>
    <w:p w14:paraId="4C9C279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5）超级芦竹种植板块采取订单化农业生产模式，建立标准化种植技术规程和品质管控体系，按照农时季节规范开展播种、田间管理和收割作业，实现生物质稳定产出和销售。探索光伏农业复合经营模式，提升土地产出综合效益。</w:t>
      </w:r>
    </w:p>
    <w:p w14:paraId="390B5F5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一体化运维模式的核心优势在于通过统一调度平台实现多能协同优化，光伏发电、储能调节和企业负荷的实时匹配降低了整体运营成本，提升了系统综合效率和供电可靠性，同时虚拟电厂运营拓展了项目收益渠道，增强了项目抗风险能力和可持续发展能力。</w:t>
      </w:r>
    </w:p>
    <w:p w14:paraId="64D0AE1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2、治理结构</w:t>
      </w:r>
    </w:p>
    <w:p w14:paraId="68082AD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 w:bidi="zh-CN"/>
        </w:rPr>
        <w:t>（1）决策层由建设单位领导和外部专家组成项目决策委员会，负责制定项目发展战略、审批重大投资计划和监督项目整体运营。决策委员会定期召开会议，审议项目年度经营计划、财务预算和重大合同事项，对项目发展方向和资源配置做出决策，确保项目运营符合国有资产管理规定和企业发展战略。</w:t>
      </w:r>
    </w:p>
    <w:p w14:paraId="35D6550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管理层设立项目总经理和副总经理，下设光伏发电部、储能系统部、微电网运营部、虚拟电厂运营部、超级芦竹种植部和综合管理部六个职能部门，负责各业务板块的日常运营管理和专业技术管理。管理层执行决策层的决议，组织实施年度经营计划，协调各部门工作，对项目运营绩效和安全生产负直接管理责任。</w:t>
      </w:r>
    </w:p>
    <w:p w14:paraId="5227197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3）执行层由各业务部门技术人员和一线操作人员组成，负责具体业务执行和设备运维操作。执行层严格按照管理制度和操作规程开展日常运营工作，落实设备巡检维护、数据采集分析、故障应急处理等各项任务，确保发电、储能、供电和种植业务正常运行，是项目运营的基础力量。</w:t>
      </w:r>
    </w:p>
    <w:p w14:paraId="706803B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4）监督层设立安全监察部和财务审计部，负责对项目运营安全、财务状况和服务质量进行独立监督检查。安全监察部负责安全生产监督检查、隐患排查治理和事故调查处理，财务审计部负责财务收支审计、合同履约监督和国有资产保值增值监管，确保项目运营合法合规、安全可控。</w:t>
      </w:r>
    </w:p>
    <w:p w14:paraId="6EFC9C4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5.3.3 项目绩效考核方案、奖惩机制</w:t>
      </w:r>
    </w:p>
    <w:p w14:paraId="4A584C1F">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5.3.3.1 劳动定员</w:t>
      </w:r>
    </w:p>
    <w:p w14:paraId="22696BC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本项目建成后运营期间，运营公司需新增劳动定员16人。</w:t>
      </w:r>
      <w:r>
        <w:rPr>
          <w:rFonts w:hint="eastAsia" w:ascii="宋体" w:hAnsi="宋体" w:eastAsia="宋体" w:cs="宋体"/>
          <w:color w:val="auto"/>
          <w:spacing w:val="0"/>
          <w:sz w:val="28"/>
          <w:szCs w:val="28"/>
          <w:lang w:val="en-US" w:eastAsia="zh-CN" w:bidi="zh-CN"/>
        </w:rPr>
        <w:t>主要负责项目运营及监管。</w:t>
      </w:r>
    </w:p>
    <w:p w14:paraId="18773C2A">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default"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5.3.3.2 人员素质要求</w:t>
      </w:r>
    </w:p>
    <w:p w14:paraId="146DF76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高级管理人员如总经理、各部门经理、技术人员、管理人员由公司委任；中级管理人员，各部门经理、领班及技术骨干来源主要有三个渠道：一是由企业中挑选进行培训；二是从同行业中聘请，三是从应届专业学校毕业生中直接选拔。一般工作人员由公司内部调配解决，不足部分向社会公开招聘，择优录取。</w:t>
      </w:r>
    </w:p>
    <w:p w14:paraId="65F4D44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在筹建期间要安排好企业员工的培训，以便受训人员可及时投入到设备安装调试和试生产中。</w:t>
      </w:r>
    </w:p>
    <w:p w14:paraId="167BCB9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技术培训主要内容包括全员文化素质培训、生产管理培训、关键技术的应用培训、关键设备的操作与维修培训、产品研制开发培训、质量控制培训、安全培训等。培训对象包括生产工人、技术人员及管理人员。培训方式以国内为主，具体培训措施：</w:t>
      </w:r>
    </w:p>
    <w:p w14:paraId="515C227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1、组织理论知识学习，提高职工文化知识水平。</w:t>
      </w:r>
    </w:p>
    <w:p w14:paraId="39C15F0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2、在本项目投产前组织各类新增人员就地培训，上岗前要组织考核，择优上岗。</w:t>
      </w:r>
    </w:p>
    <w:p w14:paraId="76179EE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3、聘请有实践经验的专家来厂现场指导传授技术。安排有实践经验的技术人员给不同岗位的干部工人上课，提高全员业务素质。</w:t>
      </w:r>
    </w:p>
    <w:p w14:paraId="1283F14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4、企业主要负责人、主管设备、技术、安全的负责人及安全生产管理人员应具有行业相关经验，能够按规范要求进行管理，有能力对工作中出现的各种问题进行良好的处理。</w:t>
      </w:r>
    </w:p>
    <w:p w14:paraId="72F9DD8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5、从业人员上岗前必须经过相关法规教育及相应技术培训，企业应建立培训及考核档案，企业负责人及生产、品质管理部门负责人还应接受相关专业培训。</w:t>
      </w:r>
    </w:p>
    <w:p w14:paraId="2254CB36">
      <w:pPr>
        <w:keepNext w:val="0"/>
        <w:keepLines w:val="0"/>
        <w:pageBreakBefore w:val="0"/>
        <w:widowControl w:val="0"/>
        <w:kinsoku/>
        <w:wordWrap/>
        <w:overflowPunct/>
        <w:topLinePunct/>
        <w:autoSpaceDE w:val="0"/>
        <w:autoSpaceDN/>
        <w:bidi w:val="0"/>
        <w:adjustRightInd/>
        <w:snapToGrid/>
        <w:spacing w:before="0" w:beforeLines="50" w:after="0" w:afterLines="50" w:line="360" w:lineRule="auto"/>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sz w:val="28"/>
          <w:szCs w:val="28"/>
          <w:lang w:val="en-US" w:eastAsia="zh-CN"/>
        </w:rPr>
        <w:t>5.3.3.3 绩效考核与奖惩机制方案</w:t>
      </w:r>
    </w:p>
    <w:p w14:paraId="53797C5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bookmarkStart w:id="3" w:name="_GoBack"/>
      <w:bookmarkEnd w:id="3"/>
      <w:r>
        <w:rPr>
          <w:rFonts w:hint="eastAsia" w:ascii="宋体" w:hAnsi="宋体" w:eastAsia="宋体" w:cs="宋体"/>
          <w:color w:val="auto"/>
          <w:spacing w:val="0"/>
          <w:sz w:val="28"/>
          <w:szCs w:val="28"/>
          <w:lang w:val="en-US" w:eastAsia="zh-CN" w:bidi="zh-CN"/>
        </w:rPr>
        <w:t>1、绩效考核方案</w:t>
      </w:r>
    </w:p>
    <w:p w14:paraId="1F55059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运营效率指标主要考核光伏发电系统年利用小时数、储能系统充放电转换效率、微电网供电可靠率和虚拟电厂交易收益水平，通过对比行业基准值和历史数据，评估各业务板块经济运行质量和资源利用效率，持续优化运营策略。</w:t>
      </w:r>
    </w:p>
    <w:p w14:paraId="4AFA954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（2）安全质量指标主要考核设备可用率、安全事故发生次数、隐患整改完成率和供电质量合格率，将安全生产绩效与部门和个人考核挂钩，强化安全责任意识，确保项目运营安全稳定，杜绝重大安全事故发生。</w:t>
      </w:r>
    </w:p>
    <w:p w14:paraId="69F0A39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（3）客户服务指标主要考核供电可靠性、电费结算及时率、用电企业满意度和投诉处理响应速度，建立客户满意度调查制度，定期收集用电企业反馈意见，持续改进服务质量，维护长期稳定的供用电合作关系。</w:t>
      </w:r>
    </w:p>
    <w:p w14:paraId="70EDD13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（4）团队建设指标主要考核员工培训覆盖率、技能考核合格率、关键岗位人才储备率和员工流失率，建立人才培养激励机制，打造专业化运营团队，为项目可持续发展提供人力资源保障。</w:t>
      </w:r>
    </w:p>
    <w:p w14:paraId="51ABAF2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（5）可持续发展指标主要考核光伏发电等效利用小时数、储能电池容量保持率、超级芦竹年产量增长率和碳减排贡献量，评估项目长期发展潜力和环境社会效益，推动项目绿色低碳可持续发展。</w:t>
      </w:r>
    </w:p>
    <w:p w14:paraId="6BDB76D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2、奖罚机制</w:t>
      </w:r>
    </w:p>
    <w:p w14:paraId="2E650D5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安全生产奖励制度。设立年度安全生产先进集体和先进个人奖项，对全年无安全事故、隐患排查治理成效显著的部门和个人给予表彰奖励。对及时发现重大安全隐患并避免事故发生的员工给予特别奖励，激励员工主动参与安全管理，形成全员重视安全的良好氛围。</w:t>
      </w:r>
    </w:p>
    <w:p w14:paraId="7A3DDC2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2）技术创新奖励制度。鼓励员工开展技术革新和管理创新，对提出合理化建议并被采纳实施、产生显著经济效益的员工给予奖励。对在设备改造、工艺优化、节能降耗等方面做出突出贡献的技术人员给予专项奖励，激发员工创新活力。</w:t>
      </w:r>
    </w:p>
    <w:p w14:paraId="6BAB93E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3）绩效优秀奖励制度。建立年度绩效考核优秀员工评选机制，对绩效考核排名前列的员工给予奖金激励和晋升优先权。对连续考核优秀的员工提供外出培训学习机会，拓展职业发展空间，增强员工归属感和工作积极性。</w:t>
      </w:r>
    </w:p>
    <w:p w14:paraId="3F4E008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4）违章违规处罚制度。对违反安全操作规程、劳动纪律和管理制度的员工，视情节轻重给予警告、罚款、降职或解除劳动合同等处分。因违章作业导致设备损坏或安全事故的，除经济赔偿外依法追究相关责任，形成有力震慑。</w:t>
      </w:r>
    </w:p>
    <w:p w14:paraId="31BBAFE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r>
        <w:rPr>
          <w:rFonts w:hint="default" w:ascii="宋体" w:hAnsi="宋体" w:eastAsia="宋体" w:cs="宋体"/>
          <w:color w:val="auto"/>
          <w:spacing w:val="0"/>
          <w:sz w:val="28"/>
          <w:szCs w:val="28"/>
          <w:lang w:val="en-US" w:eastAsia="zh-CN" w:bidi="zh-CN"/>
        </w:rPr>
        <w:t>（5）绩效考核挂钩制度。将绩效考核结果与薪酬调整、岗位晋升和评优评先直接挂钩，年度考核不合格的员工取消评优资格并降低绩效工资。对连续两年考核不合格的员工予以调岗或解除劳动合同，建立能进能出的用人机制。</w:t>
      </w:r>
    </w:p>
    <w:p w14:paraId="27E54A4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default" w:ascii="宋体" w:hAnsi="宋体" w:eastAsia="宋体" w:cs="宋体"/>
          <w:snapToGrid/>
          <w:color w:val="auto"/>
          <w:spacing w:val="0"/>
          <w:w w:val="100"/>
          <w:kern w:val="2"/>
          <w:position w:val="0"/>
          <w:sz w:val="28"/>
          <w:szCs w:val="28"/>
          <w:lang w:val="en-US" w:eastAsia="zh-CN" w:bidi="zh-CN"/>
        </w:rPr>
      </w:pPr>
    </w:p>
    <w:p w14:paraId="03E36C1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auto"/>
        <w:outlineLvl w:val="9"/>
        <w:rPr>
          <w:rFonts w:hint="eastAsia" w:ascii="宋体" w:hAnsi="宋体" w:eastAsia="宋体" w:cs="宋体"/>
          <w:snapToGrid/>
          <w:color w:val="auto"/>
          <w:spacing w:val="0"/>
          <w:w w:val="100"/>
          <w:kern w:val="2"/>
          <w:position w:val="0"/>
          <w:sz w:val="28"/>
          <w:szCs w:val="28"/>
          <w:lang w:val="en-US" w:eastAsia="zh-CN" w:bidi="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506"/>
    <w:rsid w:val="02820281"/>
    <w:rsid w:val="054E1D04"/>
    <w:rsid w:val="0816278C"/>
    <w:rsid w:val="093323A4"/>
    <w:rsid w:val="0DD145E6"/>
    <w:rsid w:val="11A374A9"/>
    <w:rsid w:val="130354DD"/>
    <w:rsid w:val="14110CD6"/>
    <w:rsid w:val="18E84F59"/>
    <w:rsid w:val="1B774629"/>
    <w:rsid w:val="1B7FDAD4"/>
    <w:rsid w:val="1BAF7FB0"/>
    <w:rsid w:val="1D8643BE"/>
    <w:rsid w:val="24E516D1"/>
    <w:rsid w:val="25742047"/>
    <w:rsid w:val="26BE4DEA"/>
    <w:rsid w:val="28BF2C5C"/>
    <w:rsid w:val="2BB76009"/>
    <w:rsid w:val="2CFC2F7A"/>
    <w:rsid w:val="2D801837"/>
    <w:rsid w:val="2DD57B19"/>
    <w:rsid w:val="2EEF2872"/>
    <w:rsid w:val="2EFE32B1"/>
    <w:rsid w:val="2F413A0A"/>
    <w:rsid w:val="357066BC"/>
    <w:rsid w:val="37FF1B4F"/>
    <w:rsid w:val="38303F16"/>
    <w:rsid w:val="38FE5310"/>
    <w:rsid w:val="399D26CA"/>
    <w:rsid w:val="3D2E1D17"/>
    <w:rsid w:val="3EAB3953"/>
    <w:rsid w:val="3EE77326"/>
    <w:rsid w:val="3F8359D3"/>
    <w:rsid w:val="45124F88"/>
    <w:rsid w:val="45162B70"/>
    <w:rsid w:val="45A60DAC"/>
    <w:rsid w:val="46920A53"/>
    <w:rsid w:val="477350D0"/>
    <w:rsid w:val="4B0C4ADC"/>
    <w:rsid w:val="4C2E4EEC"/>
    <w:rsid w:val="532D774C"/>
    <w:rsid w:val="57D87DC6"/>
    <w:rsid w:val="5B650932"/>
    <w:rsid w:val="5D4E6F8B"/>
    <w:rsid w:val="5DFD043D"/>
    <w:rsid w:val="5EAB16D2"/>
    <w:rsid w:val="5F2F8C60"/>
    <w:rsid w:val="5F74E4BB"/>
    <w:rsid w:val="5FD5792D"/>
    <w:rsid w:val="600B3B46"/>
    <w:rsid w:val="634B134C"/>
    <w:rsid w:val="655645C6"/>
    <w:rsid w:val="66A3614D"/>
    <w:rsid w:val="67DB77BA"/>
    <w:rsid w:val="68C57DE8"/>
    <w:rsid w:val="6BFD52A2"/>
    <w:rsid w:val="6BFFC2D6"/>
    <w:rsid w:val="6CFF6C2A"/>
    <w:rsid w:val="6FBB5EEB"/>
    <w:rsid w:val="6FCF573A"/>
    <w:rsid w:val="6FEDA717"/>
    <w:rsid w:val="70B74FBF"/>
    <w:rsid w:val="72E04531"/>
    <w:rsid w:val="75557CA7"/>
    <w:rsid w:val="75E44984"/>
    <w:rsid w:val="75F92F3C"/>
    <w:rsid w:val="75FFAD47"/>
    <w:rsid w:val="77FE42FA"/>
    <w:rsid w:val="7B0C4A40"/>
    <w:rsid w:val="7BFDDDD0"/>
    <w:rsid w:val="7C0F1B72"/>
    <w:rsid w:val="7D5C53DD"/>
    <w:rsid w:val="7E62833B"/>
    <w:rsid w:val="7F556235"/>
    <w:rsid w:val="7FBFC693"/>
    <w:rsid w:val="7FBFD1B4"/>
    <w:rsid w:val="7FCB142E"/>
    <w:rsid w:val="8D7CFCF8"/>
    <w:rsid w:val="BFE6219A"/>
    <w:rsid w:val="D7FB97DD"/>
    <w:rsid w:val="DD6C0273"/>
    <w:rsid w:val="DDFBF459"/>
    <w:rsid w:val="E97D3445"/>
    <w:rsid w:val="F5698C3E"/>
    <w:rsid w:val="F9FFB221"/>
    <w:rsid w:val="FB7E8A5A"/>
    <w:rsid w:val="FBEBDDDB"/>
    <w:rsid w:val="FBFD89F9"/>
    <w:rsid w:val="FBFFFC69"/>
    <w:rsid w:val="FD9F0AAC"/>
    <w:rsid w:val="FDF9367D"/>
    <w:rsid w:val="FE2F28CD"/>
    <w:rsid w:val="FF7BD01B"/>
    <w:rsid w:val="FFF780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13318</Words>
  <Characters>13437</Characters>
  <Lines>1</Lines>
  <Paragraphs>1</Paragraphs>
  <TotalTime>1</TotalTime>
  <ScaleCrop>false</ScaleCrop>
  <LinksUpToDate>false</LinksUpToDate>
  <CharactersWithSpaces>13463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2025-06-08T01:49:00Z</dcterms:created>
  <dc:creator>ThinkPad</dc:creator>
  <cp:lastModifiedBy>高昂</cp:lastModifiedBy>
  <dcterms:modified xsi:type="dcterms:W3CDTF">2026-06-09T10:15:18Z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eyJoZGlkIjoiMDc3OTI0Zjg1OWJkMjY4YjkyZmJhYWE2MGVkMDZlYTYiLCJ1c2VySWQiOiIxNjMzOTIwMzE5In0=</vt:lpwstr>
  </property>
  <property fmtid="{D5CDD505-2E9C-101B-9397-08002B2CF9AE}" pid="4" name="ICV">
    <vt:lpwstr>4E78A202A4966F472BB0276ACD07D222_43</vt:lpwstr>
  </property>
</Properties>
</file>