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274D389">
      <w:pPr>
        <w:spacing w:before="0" w:after="200" w:line="360" w:lineRule="auto"/>
        <w:ind w:firstLine="0"/>
        <w:jc w:val="center"/>
        <w:rPr>
          <w:rFonts w:ascii="宋体" w:hAnsi="宋体" w:eastAsia="宋体" w:cstheme="minorBidi"/>
          <w:b/>
          <w:bCs/>
          <w:sz w:val="36"/>
          <w:szCs w:val="36"/>
        </w:rPr>
      </w:pPr>
      <w:r>
        <w:rPr>
          <w:rFonts w:ascii="宋体" w:hAnsi="宋体" w:eastAsia="宋体" w:cstheme="minorBidi"/>
          <w:b/>
          <w:bCs/>
          <w:sz w:val="36"/>
          <w:szCs w:val="36"/>
        </w:rPr>
        <w:t>第七章 项目影响效果分析</w:t>
      </w:r>
    </w:p>
    <w:p w14:paraId="6F6C4F34">
      <w:pPr>
        <w:keepNext w:val="0"/>
        <w:keepLines w:val="0"/>
        <w:pageBreakBefore w:val="0"/>
        <w:widowControl w:val="0"/>
        <w:kinsoku/>
        <w:wordWrap/>
        <w:overflowPunct/>
        <w:topLinePunct/>
        <w:autoSpaceDE w:val="0"/>
        <w:autoSpaceDN/>
        <w:bidi w:val="0"/>
        <w:adjustRightInd/>
        <w:snapToGrid/>
        <w:spacing w:before="0" w:beforeLines="50" w:after="0" w:afterLines="50" w:line="360" w:lineRule="auto"/>
        <w:ind w:firstLine="0"/>
        <w:jc w:val="left"/>
        <w:textAlignment w:val="baseline"/>
        <w:outlineLvl w:val="1"/>
        <w:rPr>
          <w:rFonts w:hint="eastAsia" w:ascii="宋体" w:hAnsi="宋体" w:eastAsia="宋体" w:cs="宋体"/>
          <w:b/>
          <w:snapToGrid w:val="0"/>
          <w:color w:val="000000"/>
          <w:kern w:val="0"/>
          <w:sz w:val="28"/>
          <w:szCs w:val="28"/>
          <w:lang w:val="en-US" w:eastAsia="zh-CN" w:bidi="ar-SA"/>
        </w:rPr>
      </w:pPr>
      <w:r>
        <w:rPr>
          <w:rFonts w:hint="eastAsia" w:ascii="宋体" w:hAnsi="宋体" w:eastAsia="宋体" w:cs="宋体"/>
          <w:b/>
          <w:snapToGrid w:val="0"/>
          <w:color w:val="000000"/>
          <w:kern w:val="0"/>
          <w:sz w:val="28"/>
          <w:szCs w:val="28"/>
          <w:lang w:val="en-US" w:eastAsia="zh-CN" w:bidi="ar-SA"/>
        </w:rPr>
        <w:t>7.1 经济影响分析</w:t>
      </w:r>
    </w:p>
    <w:p w14:paraId="25BA9034">
      <w:pPr>
        <w:keepNext w:val="0"/>
        <w:keepLines w:val="0"/>
        <w:pageBreakBefore w:val="0"/>
        <w:widowControl w:val="0"/>
        <w:kinsoku/>
        <w:wordWrap/>
        <w:overflowPunct/>
        <w:topLinePunct/>
        <w:autoSpaceDE w:val="0"/>
        <w:autoSpaceDN/>
        <w:bidi w:val="0"/>
        <w:adjustRightInd/>
        <w:snapToGrid/>
        <w:spacing w:before="0" w:beforeLines="50" w:after="0" w:afterLines="50" w:line="360" w:lineRule="auto"/>
        <w:ind w:firstLine="0"/>
        <w:jc w:val="left"/>
        <w:textAlignment w:val="baseline"/>
        <w:outlineLvl w:val="1"/>
        <w:rPr>
          <w:rFonts w:hint="eastAsia" w:ascii="宋体" w:hAnsi="宋体" w:eastAsia="宋体" w:cs="宋体"/>
          <w:b/>
          <w:snapToGrid w:val="0"/>
          <w:color w:val="000000"/>
          <w:kern w:val="0"/>
          <w:sz w:val="28"/>
          <w:szCs w:val="28"/>
          <w:lang w:val="en-US" w:eastAsia="zh-CN" w:bidi="ar-SA"/>
        </w:rPr>
      </w:pPr>
      <w:r>
        <w:rPr>
          <w:rFonts w:hint="eastAsia" w:ascii="宋体" w:hAnsi="宋体" w:eastAsia="宋体" w:cs="宋体"/>
          <w:b/>
          <w:snapToGrid w:val="0"/>
          <w:color w:val="000000"/>
          <w:kern w:val="0"/>
          <w:sz w:val="28"/>
          <w:szCs w:val="28"/>
          <w:lang w:val="en-US" w:eastAsia="zh-CN" w:bidi="ar-SA"/>
        </w:rPr>
        <w:t>7.1.1 项目对宏观经济的影响</w:t>
      </w:r>
    </w:p>
    <w:p w14:paraId="78E0EA64">
      <w:pPr>
        <w:keepNext w:val="0"/>
        <w:keepLines w:val="0"/>
        <w:pageBreakBefore w:val="0"/>
        <w:widowControl w:val="0"/>
        <w:kinsoku/>
        <w:wordWrap/>
        <w:overflowPunct/>
        <w:topLinePunct/>
        <w:autoSpaceDE w:val="0"/>
        <w:autoSpaceDN/>
        <w:bidi w:val="0"/>
        <w:adjustRightInd/>
        <w:snapToGrid/>
        <w:spacing w:before="157" w:beforeLines="50" w:beforeAutospacing="0" w:after="157" w:afterLines="50" w:afterAutospacing="0" w:line="360" w:lineRule="auto"/>
        <w:ind w:left="0" w:firstLine="560" w:firstLineChars="200"/>
        <w:jc w:val="both"/>
        <w:textAlignment w:val="auto"/>
        <w:outlineLvl w:val="9"/>
        <w:rPr>
          <w:rFonts w:hint="eastAsia" w:ascii="宋体" w:hAnsi="宋体" w:eastAsia="宋体" w:cs="宋体"/>
          <w:snapToGrid w:val="0"/>
          <w:color w:val="auto"/>
          <w:spacing w:val="0"/>
          <w:kern w:val="0"/>
          <w:sz w:val="28"/>
          <w:szCs w:val="28"/>
          <w:lang w:val="en-US" w:eastAsia="zh" w:bidi="zh-CN"/>
        </w:rPr>
      </w:pPr>
      <w:r>
        <w:rPr>
          <w:rFonts w:hint="eastAsia" w:ascii="宋体" w:hAnsi="宋体" w:eastAsia="宋体" w:cs="宋体"/>
          <w:snapToGrid w:val="0"/>
          <w:color w:val="auto"/>
          <w:spacing w:val="0"/>
          <w:kern w:val="0"/>
          <w:sz w:val="28"/>
          <w:szCs w:val="28"/>
          <w:lang w:val="en-US" w:eastAsia="zh" w:bidi="zh-CN"/>
        </w:rPr>
        <w:t>1、拉动有效投资，注入经济增长新动能本项目属于新能源领域的重大固定资产投资项目，项目建设将直接形成有效投资，为地方经济注入新的增长动力。通过光伏组件、储能设备、微电网系统等核心设备的采购与安装，带动上下游产业链投资联动效应，产生数倍于项目本身的投资拉动效果。项目落地运营后，将持续创造稳定的税收来源和就业机会，为地方经济可持续发展提供有力支撑，体现了新能源投资对宏观经济的高质量拉动作用。</w:t>
      </w:r>
    </w:p>
    <w:p w14:paraId="5E8C7DF5">
      <w:pPr>
        <w:spacing w:before="0" w:line="360" w:lineRule="auto"/>
        <w:ind w:firstLine="560"/>
        <w:jc w:val="both"/>
        <w:rPr>
          <w:rFonts w:ascii="宋体" w:hAnsi="宋体" w:eastAsia="宋体" w:cstheme="minorBidi"/>
          <w:sz w:val="28"/>
          <w:szCs w:val="28"/>
        </w:rPr>
      </w:pPr>
      <w:r>
        <w:rPr>
          <w:rFonts w:ascii="宋体" w:hAnsi="宋体" w:eastAsia="宋体" w:cstheme="minorBidi"/>
          <w:sz w:val="28"/>
          <w:szCs w:val="28"/>
        </w:rPr>
        <w:t>2、扩充地方税源，增强财政保障能力项目建成运营后，将产生稳定的增值税、企业所得税等税收贡献。同时，项目建设期的设备采购、建安工程等环节也将产生相应的税收。这些税收增量将有效扩充地方财政税源，增强县域财政保障能力，为地方政府推进基础设施建设、公共服务提升和民生改善提供资金支持。项目的长期运营特性决定了其税收贡献具有持续性和稳定性。</w:t>
      </w:r>
    </w:p>
    <w:p w14:paraId="1E8C2624">
      <w:pPr>
        <w:spacing w:before="0" w:line="360" w:lineRule="auto"/>
        <w:ind w:firstLine="560"/>
        <w:jc w:val="both"/>
        <w:rPr>
          <w:rFonts w:ascii="宋体" w:hAnsi="宋体" w:eastAsia="宋体" w:cstheme="minorBidi"/>
          <w:sz w:val="28"/>
          <w:szCs w:val="28"/>
        </w:rPr>
      </w:pPr>
      <w:r>
        <w:rPr>
          <w:rFonts w:ascii="宋体" w:hAnsi="宋体" w:eastAsia="宋体" w:cstheme="minorBidi"/>
          <w:sz w:val="28"/>
          <w:szCs w:val="28"/>
        </w:rPr>
        <w:t>3、激活绿色消费市场，引领低碳转型本项目作为新能源综合利用示范工程，将有效激活区域绿色消费市场。项目所发绿色电力全部就近消纳，为企业提供清洁、低成本的能源供给，降低企业用能成本的同时，引导企业形成绿色消费习惯。项目配套建设的储能系统和微电网设施，将推动区域能源消费结构向清洁化、智能化方向转型，发挥绿色消费对经济发展的引领作用，助力形成绿色低碳循环发展的经济体系。</w:t>
      </w:r>
    </w:p>
    <w:p w14:paraId="4EA856B1">
      <w:pPr>
        <w:spacing w:before="0" w:line="360" w:lineRule="auto"/>
        <w:ind w:firstLine="560"/>
        <w:jc w:val="both"/>
        <w:rPr>
          <w:rFonts w:ascii="宋体" w:hAnsi="宋体" w:eastAsia="宋体" w:cstheme="minorBidi"/>
          <w:sz w:val="28"/>
          <w:szCs w:val="28"/>
        </w:rPr>
      </w:pPr>
      <w:r>
        <w:rPr>
          <w:rFonts w:ascii="宋体" w:hAnsi="宋体" w:eastAsia="宋体" w:cstheme="minorBidi"/>
          <w:sz w:val="28"/>
          <w:szCs w:val="28"/>
        </w:rPr>
        <w:t>4、提升经济发展质量，优化产业结构项目融合了光伏发电、储能、微电网和生物质能源等多元业态，是新能源产业创新发展的典型代表。项目的实施将推动地方产业结构向绿色低碳方向优化升级，减少对传统能源的依赖，提升经济发展的质量和效益。通过引入先进的源网荷储一体化技术和虚拟电厂运营模式，项目将为区域经济发展提供可复制、可推广的新模式，推动经济发展方式向创新驱动转变。</w:t>
      </w:r>
    </w:p>
    <w:p w14:paraId="62C40B61">
      <w:pPr>
        <w:spacing w:before="0" w:line="360" w:lineRule="auto"/>
        <w:ind w:firstLine="560"/>
        <w:jc w:val="both"/>
        <w:rPr>
          <w:rFonts w:ascii="宋体" w:hAnsi="宋体" w:eastAsia="宋体" w:cstheme="minorBidi"/>
          <w:sz w:val="28"/>
          <w:szCs w:val="28"/>
        </w:rPr>
      </w:pPr>
      <w:r>
        <w:rPr>
          <w:rFonts w:ascii="宋体" w:hAnsi="宋体" w:eastAsia="宋体" w:cstheme="minorBidi"/>
          <w:sz w:val="28"/>
          <w:szCs w:val="28"/>
        </w:rPr>
        <w:t>5、优化区域资源配置，实现可持续发展项目充分利用尾矿库治理后的闲置土地资源建设光伏发电设施，实现了土地资源的集约高效利用。项目采用林光互补模式，在光伏板下种植超级芦竹，实现了太阳能资源与土地资源的复合利用。这种资源优化配置模式，既解决了尾矿库土地闲置问题，又创造了清洁能源和生物质能源的双重产出，体现了循环经济和可持续发展的理念，为资源型地区转型发展提供了示范路径。</w:t>
      </w:r>
    </w:p>
    <w:p w14:paraId="5000879B">
      <w:pPr>
        <w:keepNext w:val="0"/>
        <w:keepLines w:val="0"/>
        <w:pageBreakBefore w:val="0"/>
        <w:widowControl w:val="0"/>
        <w:kinsoku/>
        <w:wordWrap/>
        <w:overflowPunct/>
        <w:topLinePunct/>
        <w:autoSpaceDE w:val="0"/>
        <w:autoSpaceDN/>
        <w:bidi w:val="0"/>
        <w:adjustRightInd/>
        <w:snapToGrid/>
        <w:spacing w:before="0" w:beforeLines="50" w:after="0" w:afterLines="50" w:line="360" w:lineRule="auto"/>
        <w:ind w:firstLine="0"/>
        <w:jc w:val="left"/>
        <w:textAlignment w:val="baseline"/>
        <w:outlineLvl w:val="1"/>
        <w:rPr>
          <w:rFonts w:hint="eastAsia" w:ascii="宋体" w:hAnsi="宋体" w:eastAsia="宋体" w:cs="宋体"/>
          <w:b/>
          <w:snapToGrid w:val="0"/>
          <w:color w:val="000000"/>
          <w:kern w:val="0"/>
          <w:sz w:val="28"/>
          <w:szCs w:val="28"/>
          <w:lang w:val="en-US" w:eastAsia="zh-CN" w:bidi="ar-SA"/>
        </w:rPr>
      </w:pPr>
      <w:r>
        <w:rPr>
          <w:rFonts w:hint="eastAsia" w:ascii="宋体" w:hAnsi="宋体" w:eastAsia="宋体" w:cs="宋体"/>
          <w:b/>
          <w:snapToGrid w:val="0"/>
          <w:color w:val="000000"/>
          <w:kern w:val="0"/>
          <w:sz w:val="28"/>
          <w:szCs w:val="28"/>
          <w:lang w:val="en-US" w:eastAsia="zh-CN" w:bidi="ar-SA"/>
        </w:rPr>
        <w:t>7.1.2 项目对产业经济的影响</w:t>
      </w:r>
    </w:p>
    <w:p w14:paraId="250CB5EB">
      <w:pPr>
        <w:spacing w:before="0" w:line="360" w:lineRule="auto"/>
        <w:ind w:firstLine="560"/>
        <w:jc w:val="both"/>
        <w:rPr>
          <w:rFonts w:ascii="宋体" w:hAnsi="宋体" w:eastAsia="宋体" w:cstheme="minorBidi"/>
          <w:sz w:val="28"/>
          <w:szCs w:val="28"/>
        </w:rPr>
      </w:pPr>
      <w:r>
        <w:rPr>
          <w:rFonts w:ascii="宋体" w:hAnsi="宋体" w:eastAsia="宋体" w:cstheme="minorBidi"/>
          <w:sz w:val="28"/>
          <w:szCs w:val="28"/>
        </w:rPr>
        <w:t>1、补齐区域新能源产业配套短板河南省新能源装机规模已位居全国前列，但储能、微电网等配套设施建设相对滞后。本项目配套建设储能系统和智能微电网，将有效补齐区域新能源产业配套短板，提升新能源消纳能力和电网运行稳定性。项目的实施将填补当地在源网荷储一体化领域的空白，完善新能源产业链的关键环节，为区域新能源产业高质量发展提供基础设施支撑。</w:t>
      </w:r>
    </w:p>
    <w:p w14:paraId="02F18D43">
      <w:pPr>
        <w:spacing w:before="0" w:line="360" w:lineRule="auto"/>
        <w:ind w:firstLine="560"/>
        <w:jc w:val="both"/>
        <w:rPr>
          <w:rFonts w:ascii="宋体" w:hAnsi="宋体" w:eastAsia="宋体" w:cstheme="minorBidi"/>
          <w:sz w:val="28"/>
          <w:szCs w:val="28"/>
        </w:rPr>
      </w:pPr>
      <w:r>
        <w:rPr>
          <w:rFonts w:ascii="宋体" w:hAnsi="宋体" w:eastAsia="宋体" w:cstheme="minorBidi"/>
          <w:sz w:val="28"/>
          <w:szCs w:val="28"/>
        </w:rPr>
        <w:t>2、延伸完善新能源产业链条本项目涵盖光伏发电、储能应用、微电网运营、生物质能源等多个产业环节，将有效延伸和完善区域新能源产业链条。项目上游带动光伏组件、储能电池、逆变器等设备制造业发展，下游带动电力运维、绿证交易、碳资产管理等服务业发展，形成完整的产业生态。通过产业链的纵向延伸和横向拓展，项目将促进区域新能源产业向价值链高端攀升。</w:t>
      </w:r>
    </w:p>
    <w:p w14:paraId="4DA7D7CC">
      <w:pPr>
        <w:spacing w:before="0" w:line="360" w:lineRule="auto"/>
        <w:ind w:firstLine="560"/>
        <w:jc w:val="both"/>
        <w:rPr>
          <w:rFonts w:ascii="宋体" w:hAnsi="宋体" w:eastAsia="宋体" w:cstheme="minorBidi"/>
          <w:sz w:val="28"/>
          <w:szCs w:val="28"/>
        </w:rPr>
      </w:pPr>
      <w:r>
        <w:rPr>
          <w:rFonts w:ascii="宋体" w:hAnsi="宋体" w:eastAsia="宋体" w:cstheme="minorBidi"/>
          <w:sz w:val="28"/>
          <w:szCs w:val="28"/>
        </w:rPr>
        <w:t>3、推动多业态融合发展本项目创新性地将光伏发电、储能系统、微电网控制和生物质种植四大业态有机融合，构建了多能互补、协同发展的产业新模式。光伏板上方发电、下方种植超级芦竹的林光互补模式，实现了清洁能源生产与生态修复的有机结合。源网荷储一体化架构将分布式发电、储能调节与负荷管理深度融合，推动了新能源产业与信息技术、智能控制等产业的跨界融合。</w:t>
      </w:r>
    </w:p>
    <w:p w14:paraId="0EC39941">
      <w:pPr>
        <w:spacing w:before="0" w:line="360" w:lineRule="auto"/>
        <w:ind w:firstLine="560"/>
        <w:jc w:val="both"/>
        <w:rPr>
          <w:rFonts w:ascii="宋体" w:hAnsi="宋体" w:eastAsia="宋体" w:cstheme="minorBidi"/>
          <w:sz w:val="28"/>
          <w:szCs w:val="28"/>
        </w:rPr>
      </w:pPr>
      <w:r>
        <w:rPr>
          <w:rFonts w:ascii="宋体" w:hAnsi="宋体" w:eastAsia="宋体" w:cstheme="minorBidi"/>
          <w:sz w:val="28"/>
          <w:szCs w:val="28"/>
        </w:rPr>
        <w:t>4、带动上下游产业协同发展项目建设将直接带动光伏组件制造、储能设备生产、电气设备供应等上游产业发展，同时为下游的电力运维服务、绿电交易、碳资产管理等服务业创造市场需求。项目所需的大量设备材料和专业技术服务，将为上下游企业提供稳定的订单来源和业务收入，促进产业链上下游企业协同联动发展，形成产业集聚效应，提升区域新能源产业整体竞争力。</w:t>
      </w:r>
    </w:p>
    <w:p w14:paraId="236A1ABC">
      <w:pPr>
        <w:spacing w:before="0" w:line="360" w:lineRule="auto"/>
        <w:ind w:firstLine="560"/>
        <w:jc w:val="both"/>
        <w:rPr>
          <w:rFonts w:ascii="宋体" w:hAnsi="宋体" w:eastAsia="宋体" w:cstheme="minorBidi"/>
          <w:sz w:val="28"/>
          <w:szCs w:val="28"/>
        </w:rPr>
      </w:pPr>
      <w:r>
        <w:rPr>
          <w:rFonts w:ascii="宋体" w:hAnsi="宋体" w:eastAsia="宋体" w:cstheme="minorBidi"/>
          <w:sz w:val="28"/>
          <w:szCs w:val="28"/>
        </w:rPr>
        <w:t>5、促进行业整体提质升级本项目采用先进的光伏组件、储能系统和智能化微电网控制技术，代表了新能源行业的技术发展方向。项目的成功实施将为同行业提供可借鉴的技术方案和管理经验，推动行业技术水平和管理能力的整体提升。通过虚拟电厂运营平台的建设，项目将探索新能源项目参与电力市场交易的新模式，为行业市场化运营提供示范引领，促进新能源行业向高质量、可持续方向发展。</w:t>
      </w:r>
    </w:p>
    <w:p w14:paraId="5A37A931">
      <w:pPr>
        <w:pStyle w:val="4"/>
        <w:rPr>
          <w:rFonts w:hint="eastAsia" w:ascii="宋体" w:hAnsi="宋体" w:eastAsia="宋体" w:cs="宋体"/>
          <w:b/>
          <w:snapToGrid w:val="0"/>
          <w:color w:val="000000"/>
          <w:kern w:val="0"/>
          <w:sz w:val="28"/>
          <w:szCs w:val="28"/>
          <w:lang w:val="en-US" w:eastAsia="zh-CN" w:bidi="ar-SA"/>
        </w:rPr>
      </w:pPr>
      <w:r>
        <w:rPr>
          <w:rFonts w:hint="eastAsia" w:ascii="宋体" w:hAnsi="宋体" w:eastAsia="宋体" w:cs="宋体"/>
          <w:b/>
          <w:snapToGrid w:val="0"/>
          <w:color w:val="000000"/>
          <w:kern w:val="0"/>
          <w:sz w:val="28"/>
          <w:szCs w:val="28"/>
          <w:lang w:val="en-US" w:eastAsia="zh-CN" w:bidi="ar-SA"/>
        </w:rPr>
        <w:t>7.1.3 项目对区域经济的影响</w:t>
      </w:r>
    </w:p>
    <w:p w14:paraId="5FE9C005">
      <w:pPr>
        <w:spacing w:before="0" w:line="360" w:lineRule="auto"/>
        <w:ind w:firstLine="560"/>
        <w:jc w:val="both"/>
        <w:rPr>
          <w:rFonts w:ascii="宋体" w:hAnsi="宋体" w:eastAsia="宋体" w:cstheme="minorBidi"/>
          <w:sz w:val="28"/>
          <w:szCs w:val="28"/>
        </w:rPr>
      </w:pPr>
      <w:r>
        <w:rPr>
          <w:rFonts w:ascii="宋体" w:hAnsi="宋体" w:eastAsia="宋体" w:cstheme="minorBidi"/>
          <w:sz w:val="28"/>
          <w:szCs w:val="28"/>
        </w:rPr>
        <w:t>1、拉动片区经济增长，形成新的增长极本项目建设期间将直接拉动当地建筑安装、设备运输、材料供应等相关产业发展，形成显著的经济增长效应。项目运营后，年均营业收入稳定，将持续为区域经济贡献产值和税收。作为新能源综合利用示范项目，项目还将吸引相关产业要素向片区集聚，形成新的经济增长极，带动周边区域经济协调发展。</w:t>
      </w:r>
    </w:p>
    <w:p w14:paraId="2AF5540E">
      <w:pPr>
        <w:spacing w:before="0" w:line="360" w:lineRule="auto"/>
        <w:ind w:firstLine="560"/>
        <w:jc w:val="both"/>
        <w:rPr>
          <w:rFonts w:ascii="宋体" w:hAnsi="宋体" w:eastAsia="宋体" w:cstheme="minorBidi"/>
          <w:sz w:val="28"/>
          <w:szCs w:val="28"/>
        </w:rPr>
      </w:pPr>
      <w:r>
        <w:rPr>
          <w:rFonts w:ascii="宋体" w:hAnsi="宋体" w:eastAsia="宋体" w:cstheme="minorBidi"/>
          <w:sz w:val="28"/>
          <w:szCs w:val="28"/>
        </w:rPr>
        <w:t>2、创造就业岗位，提升居民收入水平项目建设期间将创造大量施工就业岗位，涵盖土建施工、设备安装、电气调试等多个工种，优先吸纳当地劳动力就业。项目运营期间，将设置光伏电站运维、储能系统管理、微电网调度、芦竹种植养护等长期岗位，为当地居民提供稳定的就业机会。通过技能培训和技术传授，项目还将提升当地劳动力的专业素质和就业能力，促进居民收入水平持续提高。</w:t>
      </w:r>
    </w:p>
    <w:p w14:paraId="4B4F7EE3">
      <w:pPr>
        <w:spacing w:before="0" w:line="360" w:lineRule="auto"/>
        <w:ind w:firstLine="560"/>
        <w:jc w:val="both"/>
        <w:rPr>
          <w:rFonts w:ascii="宋体" w:hAnsi="宋体" w:eastAsia="宋体" w:cstheme="minorBidi"/>
          <w:sz w:val="28"/>
          <w:szCs w:val="28"/>
        </w:rPr>
      </w:pPr>
      <w:r>
        <w:rPr>
          <w:rFonts w:ascii="宋体" w:hAnsi="宋体" w:eastAsia="宋体" w:cstheme="minorBidi"/>
          <w:sz w:val="28"/>
          <w:szCs w:val="28"/>
        </w:rPr>
        <w:t>3、激活片区商业与运营活力项目的建设和运营将有效激活片区商业活力。建设期间，大量施工人员的入驻将带动当地餐饮、住宿、零售等生活服务业发展。运营期间，项目常态化的人员通勤、设备维护、物资采购等活动将持续为周边商业带来稳定客流。同时，作为新能源示范项目，项目还将吸引行业考察、技术交流等商务活动，进一步提升片区的商业活跃度和知名度。</w:t>
      </w:r>
    </w:p>
    <w:p w14:paraId="75B69D4A">
      <w:pPr>
        <w:spacing w:before="0" w:line="360" w:lineRule="auto"/>
        <w:ind w:firstLine="560"/>
        <w:jc w:val="both"/>
        <w:rPr>
          <w:rFonts w:ascii="宋体" w:hAnsi="宋体" w:eastAsia="宋体" w:cstheme="minorBidi"/>
          <w:sz w:val="28"/>
          <w:szCs w:val="28"/>
        </w:rPr>
      </w:pPr>
      <w:r>
        <w:rPr>
          <w:rFonts w:ascii="宋体" w:hAnsi="宋体" w:eastAsia="宋体" w:cstheme="minorBidi"/>
          <w:sz w:val="28"/>
          <w:szCs w:val="28"/>
        </w:rPr>
        <w:t>4、提升土地利用价值，盘活闲置资源本项目选址于尾矿库治理后的工矿用地，通过光伏发电和芦竹种植实现了闲置土地的高效利用。项目建设改善了尾矿库区域的生态环境和景观面貌，提升了土地的综合利用价值。从长期看，项目的成功运营将证明矿山治理区域发展新能源的可行性，为类似区域的资源盘活和价值提升提供示范，推动区域土地资源从闲置废弃向优质经营性资产转变。</w:t>
      </w:r>
    </w:p>
    <w:p w14:paraId="05FAE3D1">
      <w:pPr>
        <w:spacing w:before="0" w:line="360" w:lineRule="auto"/>
        <w:ind w:firstLine="560"/>
        <w:jc w:val="both"/>
        <w:rPr>
          <w:rFonts w:ascii="宋体" w:hAnsi="宋体" w:eastAsia="宋体" w:cstheme="minorBidi"/>
          <w:sz w:val="28"/>
          <w:szCs w:val="28"/>
        </w:rPr>
      </w:pPr>
      <w:r>
        <w:rPr>
          <w:rFonts w:ascii="宋体" w:hAnsi="宋体" w:eastAsia="宋体" w:cstheme="minorBidi"/>
          <w:sz w:val="28"/>
          <w:szCs w:val="28"/>
        </w:rPr>
        <w:t>5、完善区域基础设施，优化营商环境项目建设将完善矿区周边的电力基础设施，提升区域供电可靠性和电能质量。配套建设的微电网系统和智能调度平台，将为区域电网提供辅助服务支持，增强电网的灵活性和韧性。项目还将改善周边道路交通条件，提升通信网络覆盖水平。这些基础设施的完善将有效改善区域营商环境，为后续产业项目的引进和发展创造有利条件，增强区域的投资吸引力和竞争力。</w:t>
      </w:r>
    </w:p>
    <w:p w14:paraId="7A3BCBE9">
      <w:pPr>
        <w:pStyle w:val="4"/>
        <w:rPr>
          <w:rFonts w:hint="eastAsia" w:ascii="宋体" w:hAnsi="宋体" w:eastAsia="宋体" w:cs="宋体"/>
          <w:b/>
          <w:snapToGrid w:val="0"/>
          <w:color w:val="000000"/>
          <w:kern w:val="0"/>
          <w:sz w:val="28"/>
          <w:szCs w:val="28"/>
          <w:lang w:val="en-US" w:eastAsia="zh-CN" w:bidi="ar-SA"/>
        </w:rPr>
      </w:pPr>
      <w:r>
        <w:rPr>
          <w:rFonts w:hint="eastAsia" w:ascii="宋体" w:hAnsi="宋体" w:eastAsia="宋体" w:cs="宋体"/>
          <w:b/>
          <w:snapToGrid w:val="0"/>
          <w:color w:val="000000"/>
          <w:kern w:val="0"/>
          <w:sz w:val="28"/>
          <w:szCs w:val="28"/>
          <w:lang w:val="en-US" w:eastAsia="zh-CN" w:bidi="ar-SA"/>
        </w:rPr>
        <w:t>7.1.4 项目建设的经济合理性分析</w:t>
      </w:r>
    </w:p>
    <w:p w14:paraId="295C59F9">
      <w:pPr>
        <w:spacing w:before="0" w:line="360" w:lineRule="auto"/>
        <w:ind w:firstLine="560"/>
        <w:jc w:val="both"/>
        <w:rPr>
          <w:rFonts w:ascii="宋体" w:hAnsi="宋体" w:eastAsia="宋体" w:cstheme="minorBidi"/>
          <w:sz w:val="28"/>
          <w:szCs w:val="28"/>
        </w:rPr>
      </w:pPr>
      <w:r>
        <w:rPr>
          <w:rFonts w:ascii="宋体" w:hAnsi="宋体" w:eastAsia="宋体" w:cstheme="minorBidi"/>
          <w:sz w:val="28"/>
          <w:szCs w:val="28"/>
        </w:rPr>
        <w:t>1、投资规模与项目功能相匹配本项目总投资规模与光伏发电装机、储能系统及微电网配套设施的建设规模相匹配。项目投资结构合理，工程费用占比较高，设备采购和建安工程投资比例适当。相较于同类新能源项目，本项目充分利用现有工矿用地，节约了土地获取成本，投资规模控制在合理范围内，体现了投资节约和功能保障的有机统一。</w:t>
      </w:r>
    </w:p>
    <w:p w14:paraId="71FA0097">
      <w:pPr>
        <w:spacing w:before="0" w:line="360" w:lineRule="auto"/>
        <w:ind w:firstLine="560"/>
        <w:jc w:val="both"/>
        <w:rPr>
          <w:rFonts w:ascii="宋体" w:hAnsi="宋体" w:eastAsia="宋体" w:cstheme="minorBidi"/>
          <w:sz w:val="28"/>
          <w:szCs w:val="28"/>
        </w:rPr>
      </w:pPr>
      <w:r>
        <w:rPr>
          <w:rFonts w:ascii="宋体" w:hAnsi="宋体" w:eastAsia="宋体" w:cstheme="minorBidi"/>
          <w:sz w:val="28"/>
          <w:szCs w:val="28"/>
        </w:rPr>
        <w:t>2、投入产出效益显著项目具备较好的投入产出效益，投资回收期处于行业合理水平。项目采用自发自用运营模式，规避了电力市场化交易的价格波动风险，收益稳定可控。配套储能系统通过峰谷价差套利和需求响应获取增量收益，虚拟电厂平台参与电力辅助服务创造额外收入，多元化的收入来源进一步提升了项目的投入产出效率。</w:t>
      </w:r>
    </w:p>
    <w:p w14:paraId="0579E43E">
      <w:pPr>
        <w:spacing w:before="0" w:line="360" w:lineRule="auto"/>
        <w:ind w:firstLine="560"/>
        <w:jc w:val="both"/>
        <w:rPr>
          <w:rFonts w:ascii="宋体" w:hAnsi="宋体" w:eastAsia="宋体" w:cstheme="minorBidi"/>
          <w:sz w:val="28"/>
          <w:szCs w:val="28"/>
        </w:rPr>
      </w:pPr>
      <w:r>
        <w:rPr>
          <w:rFonts w:ascii="宋体" w:hAnsi="宋体" w:eastAsia="宋体" w:cstheme="minorBidi"/>
          <w:sz w:val="28"/>
          <w:szCs w:val="28"/>
        </w:rPr>
        <w:t>3、运营收益稳定性高项目与用电企业签订长期电力供应协议，锁定售电关系和电价水平，确保了运营收益的稳定性。用电企业年用电量规模较大，项目发电量仅占其年用电量的较小比例，消纳空间充足，不存在弃光限电风险。超级芦竹种植每年可产生稳定的生物质销售收入。长期稳定的收益预期为项目贷款偿还和持续运营提供了可靠保障。</w:t>
      </w:r>
    </w:p>
    <w:p w14:paraId="379EE66A">
      <w:pPr>
        <w:spacing w:before="0" w:line="360" w:lineRule="auto"/>
        <w:ind w:firstLine="560"/>
        <w:jc w:val="both"/>
        <w:rPr>
          <w:rFonts w:ascii="宋体" w:hAnsi="宋体" w:eastAsia="宋体" w:cstheme="minorBidi"/>
          <w:sz w:val="28"/>
          <w:szCs w:val="28"/>
        </w:rPr>
      </w:pPr>
      <w:r>
        <w:rPr>
          <w:rFonts w:ascii="宋体" w:hAnsi="宋体" w:eastAsia="宋体" w:cstheme="minorBidi"/>
          <w:sz w:val="28"/>
          <w:szCs w:val="28"/>
        </w:rPr>
        <w:t>4、资金使用效率合理项目资本金比例设置合理，债务融资部分充分利用绿色金融优惠政策，资金成本较低。项目建设期较短，资金周转速度快，可尽早投入运营产生收益。运营期间通过精细化管理和智能化运维，可有效控制运营成本，提升资金使用效率。项目内部收益率高于行业基准水平，资金的时间价值得到了充分发挥。</w:t>
      </w:r>
    </w:p>
    <w:p w14:paraId="0C7639AA">
      <w:pPr>
        <w:spacing w:before="0" w:line="360" w:lineRule="auto"/>
        <w:ind w:firstLine="560"/>
        <w:jc w:val="both"/>
        <w:rPr>
          <w:rFonts w:ascii="宋体" w:hAnsi="宋体" w:eastAsia="宋体" w:cstheme="minorBidi"/>
          <w:sz w:val="28"/>
          <w:szCs w:val="28"/>
        </w:rPr>
      </w:pPr>
      <w:r>
        <w:rPr>
          <w:rFonts w:ascii="宋体" w:hAnsi="宋体" w:eastAsia="宋体" w:cstheme="minorBidi"/>
          <w:sz w:val="28"/>
          <w:szCs w:val="28"/>
        </w:rPr>
        <w:t>5、长期经济可持续性良好光伏发电系统设计寿命长，储能系统循环寿命高，项目具备长期稳定运营的技术基础。随着技术进步和成本下降，项目后期还可通过设备升级换代进一步提升发电效率和经济效益。项目模式具有较强的可复制性，可在尾矿治理释放的土地上持续扩容，形成滚动开发的良性循环，确保项目长期经济的可持续增长。</w:t>
      </w:r>
    </w:p>
    <w:p w14:paraId="1664FF41">
      <w:pPr>
        <w:pStyle w:val="3"/>
        <w:rPr>
          <w:rFonts w:hint="eastAsia" w:ascii="宋体" w:hAnsi="宋体" w:eastAsia="宋体" w:cs="宋体"/>
          <w:b/>
          <w:snapToGrid w:val="0"/>
          <w:color w:val="000000"/>
          <w:kern w:val="0"/>
          <w:sz w:val="28"/>
          <w:szCs w:val="28"/>
          <w:lang w:val="en-US" w:eastAsia="zh-CN" w:bidi="ar-SA"/>
        </w:rPr>
      </w:pPr>
      <w:r>
        <w:rPr>
          <w:rFonts w:hint="eastAsia" w:ascii="宋体" w:hAnsi="宋体" w:eastAsia="宋体" w:cs="宋体"/>
          <w:b/>
          <w:snapToGrid w:val="0"/>
          <w:color w:val="000000"/>
          <w:kern w:val="0"/>
          <w:sz w:val="28"/>
          <w:szCs w:val="28"/>
          <w:lang w:val="en-US" w:eastAsia="zh-CN" w:bidi="ar-SA"/>
        </w:rPr>
        <w:t>7.2 社会影响分析</w:t>
      </w:r>
    </w:p>
    <w:p w14:paraId="014A9407">
      <w:pPr>
        <w:pStyle w:val="4"/>
        <w:rPr>
          <w:rFonts w:hint="eastAsia" w:ascii="宋体" w:hAnsi="宋体" w:eastAsia="宋体" w:cs="宋体"/>
          <w:b/>
          <w:snapToGrid w:val="0"/>
          <w:color w:val="000000"/>
          <w:kern w:val="0"/>
          <w:sz w:val="28"/>
          <w:szCs w:val="28"/>
          <w:lang w:val="en-US" w:eastAsia="zh-CN" w:bidi="ar-SA"/>
        </w:rPr>
      </w:pPr>
      <w:r>
        <w:rPr>
          <w:rFonts w:hint="eastAsia" w:ascii="宋体" w:hAnsi="宋体" w:eastAsia="宋体" w:cs="宋体"/>
          <w:b/>
          <w:snapToGrid w:val="0"/>
          <w:color w:val="000000"/>
          <w:kern w:val="0"/>
          <w:sz w:val="28"/>
          <w:szCs w:val="28"/>
          <w:lang w:val="en-US" w:eastAsia="zh-CN" w:bidi="ar-SA"/>
        </w:rPr>
        <w:t>7.2.1 社会影响因素</w:t>
      </w:r>
    </w:p>
    <w:p w14:paraId="1899A513">
      <w:pPr>
        <w:spacing w:before="0" w:line="360" w:lineRule="auto"/>
        <w:ind w:firstLine="560"/>
        <w:jc w:val="both"/>
        <w:rPr>
          <w:rFonts w:ascii="宋体" w:hAnsi="宋体" w:eastAsia="宋体" w:cstheme="minorBidi"/>
          <w:sz w:val="28"/>
          <w:szCs w:val="28"/>
        </w:rPr>
      </w:pPr>
      <w:r>
        <w:rPr>
          <w:rFonts w:ascii="宋体" w:hAnsi="宋体" w:eastAsia="宋体" w:cstheme="minorBidi"/>
          <w:sz w:val="28"/>
          <w:szCs w:val="28"/>
        </w:rPr>
        <w:t>1、带动当地就业增收项目建设期间将为当地创造大量临时就业岗位，涵盖土建施工、设备安装、运输配送等多个领域，优先吸纳周边村镇劳动力。项目运营后将设置光伏运维、储能管理、芦竹种植等长期岗位，为当地居民提供稳定的就业机会。通过技能培训提升劳动者素质，促进居民收入水平提高，助力乡村振兴。</w:t>
      </w:r>
    </w:p>
    <w:p w14:paraId="15B21BCF">
      <w:pPr>
        <w:spacing w:before="0" w:line="360" w:lineRule="auto"/>
        <w:ind w:firstLine="560"/>
        <w:jc w:val="both"/>
        <w:rPr>
          <w:rFonts w:ascii="宋体" w:hAnsi="宋体" w:eastAsia="宋体" w:cstheme="minorBidi"/>
          <w:sz w:val="28"/>
          <w:szCs w:val="28"/>
        </w:rPr>
      </w:pPr>
      <w:r>
        <w:rPr>
          <w:rFonts w:ascii="宋体" w:hAnsi="宋体" w:eastAsia="宋体" w:cstheme="minorBidi"/>
          <w:sz w:val="28"/>
          <w:szCs w:val="28"/>
        </w:rPr>
        <w:t>2、改善区域能源供给条件项目建成后将为用电企业提供稳定可靠的绿色电力供应，降低企业用能成本，提升企业竞争力。配套建设的微电网系统将增强区域电网的灵活性和韧性，在极端天气或电网故障时可为关键负荷提供应急供电保障。项目的实施将有效改善区域能源供给结构，提升供电可靠性。</w:t>
      </w:r>
    </w:p>
    <w:p w14:paraId="309AA3B7">
      <w:pPr>
        <w:spacing w:before="0" w:line="360" w:lineRule="auto"/>
        <w:ind w:firstLine="560"/>
        <w:jc w:val="both"/>
        <w:rPr>
          <w:rFonts w:ascii="宋体" w:hAnsi="宋体" w:eastAsia="宋体" w:cstheme="minorBidi"/>
          <w:sz w:val="28"/>
          <w:szCs w:val="28"/>
        </w:rPr>
      </w:pPr>
      <w:r>
        <w:rPr>
          <w:rFonts w:ascii="宋体" w:hAnsi="宋体" w:eastAsia="宋体" w:cstheme="minorBidi"/>
          <w:sz w:val="28"/>
          <w:szCs w:val="28"/>
        </w:rPr>
        <w:t>3、提升区域绿色形象本项目作为林光互补矿山综合治理示范工程，将显著提升当地在新能源领域的知名度和绿色形象。项目的成功实施将展示当地在资源综合利用和生态修复方面的创新实践，为区域赢得良好的社会声誉。绿色示范效应还将吸引更多绿色产业投资，提升区域的可持续发展形象。</w:t>
      </w:r>
    </w:p>
    <w:p w14:paraId="1EEC53C9">
      <w:pPr>
        <w:spacing w:before="0" w:line="360" w:lineRule="auto"/>
        <w:ind w:firstLine="560"/>
        <w:jc w:val="both"/>
        <w:rPr>
          <w:rFonts w:ascii="宋体" w:hAnsi="宋体" w:eastAsia="宋体" w:cstheme="minorBidi"/>
          <w:sz w:val="28"/>
          <w:szCs w:val="28"/>
        </w:rPr>
      </w:pPr>
      <w:r>
        <w:rPr>
          <w:rFonts w:ascii="宋体" w:hAnsi="宋体" w:eastAsia="宋体" w:cstheme="minorBidi"/>
          <w:sz w:val="28"/>
          <w:szCs w:val="28"/>
        </w:rPr>
        <w:t>4、推动绿色理念普及项目的建设和运营将向周边社区传递绿色低碳发展理念，提升公众的环保意识和新能源认知。通过林光互补模式展示清洁能源与生态保护的和谐共生，为当地居民提供直观的绿色教育样本。项目还可为相关行业提供技术交流和参观学习的平台，促进绿色技术和理念的传播推广。</w:t>
      </w:r>
    </w:p>
    <w:p w14:paraId="13EDCD2E">
      <w:pPr>
        <w:spacing w:before="0" w:line="360" w:lineRule="auto"/>
        <w:ind w:firstLine="560"/>
        <w:jc w:val="both"/>
        <w:rPr>
          <w:rFonts w:ascii="宋体" w:hAnsi="宋体" w:eastAsia="宋体" w:cstheme="minorBidi"/>
          <w:sz w:val="28"/>
          <w:szCs w:val="28"/>
        </w:rPr>
      </w:pPr>
      <w:r>
        <w:rPr>
          <w:rFonts w:ascii="宋体" w:hAnsi="宋体" w:eastAsia="宋体" w:cstheme="minorBidi"/>
          <w:sz w:val="28"/>
          <w:szCs w:val="28"/>
        </w:rPr>
        <w:t>5、促进社区和谐发展项目建设单位作为地方国有企业，积极履行社会责任，在项目建设和运营过程中注重与周边社区的沟通协作。通过优先采购本地服务、参与社区公益活动等方式，增进企业与社区的关系。项目的生态修复功能将改善矿区周边环境质量，为社区居民创造更加宜居的生活环境，促进社区和谐发展。</w:t>
      </w:r>
    </w:p>
    <w:p w14:paraId="4A44044D">
      <w:pPr>
        <w:spacing w:before="0" w:line="360" w:lineRule="auto"/>
        <w:ind w:firstLine="560"/>
        <w:jc w:val="both"/>
        <w:rPr>
          <w:rFonts w:ascii="宋体" w:hAnsi="宋体" w:eastAsia="宋体" w:cstheme="minorBidi"/>
          <w:sz w:val="28"/>
          <w:szCs w:val="28"/>
        </w:rPr>
      </w:pPr>
      <w:r>
        <w:rPr>
          <w:rFonts w:ascii="宋体" w:hAnsi="宋体" w:eastAsia="宋体" w:cstheme="minorBidi"/>
          <w:sz w:val="28"/>
          <w:szCs w:val="28"/>
        </w:rPr>
        <w:t>6、增强区域产业吸引力本项目作为新能源综合利用的创新示范，将增强区域在新能源产业领域的投资吸引力。项目的成功运营将证明当地发展新能源产业的可行性和优越性，为引进更多新能源产业链上下游企业创造条件。产业集聚效应将带动区域经济结构优化，为当地居民创造更多高质量就业和发展机会。</w:t>
      </w:r>
    </w:p>
    <w:p w14:paraId="4DAF11E1">
      <w:pPr>
        <w:pStyle w:val="3"/>
        <w:rPr>
          <w:rFonts w:hint="eastAsia" w:ascii="宋体" w:hAnsi="宋体" w:eastAsia="宋体" w:cs="宋体"/>
          <w:b/>
          <w:snapToGrid w:val="0"/>
          <w:color w:val="000000"/>
          <w:kern w:val="0"/>
          <w:sz w:val="28"/>
          <w:szCs w:val="28"/>
          <w:lang w:val="en-US" w:eastAsia="zh-CN" w:bidi="ar-SA"/>
        </w:rPr>
      </w:pPr>
      <w:r>
        <w:rPr>
          <w:rFonts w:hint="eastAsia" w:ascii="宋体" w:hAnsi="宋体" w:eastAsia="宋体" w:cs="宋体"/>
          <w:b/>
          <w:snapToGrid w:val="0"/>
          <w:color w:val="000000"/>
          <w:kern w:val="0"/>
          <w:sz w:val="28"/>
          <w:szCs w:val="28"/>
          <w:lang w:val="en-US" w:eastAsia="zh-CN" w:bidi="ar-SA"/>
        </w:rPr>
        <w:t>7.2.2 减缓负面社会影响的措施</w:t>
      </w:r>
    </w:p>
    <w:p w14:paraId="65BFA4E0">
      <w:pPr>
        <w:spacing w:before="0" w:line="360" w:lineRule="auto"/>
        <w:ind w:firstLine="560"/>
        <w:jc w:val="both"/>
        <w:rPr>
          <w:rFonts w:ascii="宋体" w:hAnsi="宋体" w:eastAsia="宋体" w:cstheme="minorBidi"/>
          <w:sz w:val="28"/>
          <w:szCs w:val="28"/>
        </w:rPr>
      </w:pPr>
      <w:r>
        <w:rPr>
          <w:rFonts w:ascii="宋体" w:hAnsi="宋体" w:eastAsia="宋体" w:cstheme="minorBidi"/>
          <w:sz w:val="28"/>
          <w:szCs w:val="28"/>
        </w:rPr>
        <w:t>1、施工期交通管理措施项目建设期间将制定详细的交通组织方案，合理规划施工车辆运输路线和通行时间，避开居民出行高峰时段。对矿区现有道路进行必要的维护和修缮，确保道路通行安全。在重要路段设置交通警示标志和引导标识，安排专人指挥交通。加强与当地交通管理部门的沟通协调，及时发布施工交通信息，减少对周边居民正常出行的影响。</w:t>
      </w:r>
    </w:p>
    <w:p w14:paraId="5E09A23E">
      <w:pPr>
        <w:spacing w:before="0" w:line="360" w:lineRule="auto"/>
        <w:ind w:firstLine="560"/>
        <w:jc w:val="both"/>
        <w:rPr>
          <w:rFonts w:ascii="宋体" w:hAnsi="宋体" w:eastAsia="宋体" w:cstheme="minorBidi"/>
          <w:sz w:val="28"/>
          <w:szCs w:val="28"/>
        </w:rPr>
      </w:pPr>
      <w:r>
        <w:rPr>
          <w:rFonts w:ascii="宋体" w:hAnsi="宋体" w:eastAsia="宋体" w:cstheme="minorBidi"/>
          <w:sz w:val="28"/>
          <w:szCs w:val="28"/>
        </w:rPr>
        <w:t>2、噪声与扬尘控制措施施工期间严格执行噪声控制规定，选用低噪声施工设备，对高噪声设备采取隔声降噪措施。合理安排施工时间，避免夜间和午休时段进行高噪声作业。针对施工扬尘，采取洒水降尘、物料覆盖、道路硬化等措施，保持施工现场整洁。设置扬尘监测设备，实时监控扬尘浓度，确保各项环保指标达标，最大程度减少对周边居民生活环境的影响。</w:t>
      </w:r>
    </w:p>
    <w:p w14:paraId="34D18369">
      <w:pPr>
        <w:spacing w:before="0" w:line="360" w:lineRule="auto"/>
        <w:ind w:firstLine="560"/>
        <w:jc w:val="both"/>
        <w:rPr>
          <w:rFonts w:ascii="宋体" w:hAnsi="宋体" w:eastAsia="宋体" w:cstheme="minorBidi"/>
          <w:sz w:val="28"/>
          <w:szCs w:val="28"/>
        </w:rPr>
      </w:pPr>
      <w:r>
        <w:rPr>
          <w:rFonts w:ascii="宋体" w:hAnsi="宋体" w:eastAsia="宋体" w:cstheme="minorBidi"/>
          <w:sz w:val="28"/>
          <w:szCs w:val="28"/>
        </w:rPr>
        <w:t>3、施工期间社区沟通机制建立项目建设信息公开制度，定期向周边社区居民通报施工进度、作业安排和可能产生的影响。设立社区联络员和投诉热线，及时收集和回应居民关切。对于施工给居民带来的不便，主动沟通协调并提供合理补偿。组织社区座谈会和现场参观活动，增进居民对项目的理解和支持，构建和谐的施工环境。</w:t>
      </w:r>
    </w:p>
    <w:p w14:paraId="116B43FB">
      <w:pPr>
        <w:spacing w:before="0" w:line="360" w:lineRule="auto"/>
        <w:ind w:firstLine="560"/>
        <w:jc w:val="both"/>
        <w:rPr>
          <w:rFonts w:ascii="宋体" w:hAnsi="宋体" w:eastAsia="宋体" w:cstheme="minorBidi"/>
          <w:sz w:val="28"/>
          <w:szCs w:val="28"/>
        </w:rPr>
      </w:pPr>
      <w:r>
        <w:rPr>
          <w:rFonts w:ascii="宋体" w:hAnsi="宋体" w:eastAsia="宋体" w:cstheme="minorBidi"/>
          <w:sz w:val="28"/>
          <w:szCs w:val="28"/>
        </w:rPr>
        <w:t>4、运营期环境与社会管理项目运营期间建立完善的环境监测体系，定期检测噪声、电磁辐射等环境指标，确保符合国家标准。光伏组件清洗废水经收集处理后回用，不外排。制定应急预案，定期开展安全演练，防范和妥善处置各类突发事件。加强与社区的长效沟通，定期公布项目运营情况和环境监测数据，接受公众监督。</w:t>
      </w:r>
    </w:p>
    <w:p w14:paraId="6A3FC57D">
      <w:pPr>
        <w:spacing w:before="0" w:line="360" w:lineRule="auto"/>
        <w:ind w:firstLine="560"/>
        <w:jc w:val="both"/>
        <w:rPr>
          <w:rFonts w:ascii="宋体" w:hAnsi="宋体" w:eastAsia="宋体" w:cstheme="minorBidi"/>
          <w:sz w:val="28"/>
          <w:szCs w:val="28"/>
        </w:rPr>
      </w:pPr>
      <w:r>
        <w:rPr>
          <w:rFonts w:ascii="宋体" w:hAnsi="宋体" w:eastAsia="宋体" w:cstheme="minorBidi"/>
          <w:sz w:val="28"/>
          <w:szCs w:val="28"/>
        </w:rPr>
        <w:t>5、文化遗产与特殊区域保护项目建设前开展全面的文物勘查和环境调查，确认项目区域不涉及历史文化遗产、自然保护区等特殊敏感区域。施工过程中如发现文物或疑似文物，立即停止施工并上报文物主管部门。严格遵守环境保护法规，在项目建设和运营全过程中做好生态环境保护工作，确保不对周边自然和人文环境造成破坏。</w:t>
      </w:r>
    </w:p>
    <w:p w14:paraId="6CA5F9A9">
      <w:pPr>
        <w:pStyle w:val="3"/>
        <w:rPr>
          <w:rFonts w:hint="eastAsia" w:ascii="宋体" w:hAnsi="宋体" w:eastAsia="宋体" w:cs="宋体"/>
          <w:b/>
          <w:snapToGrid w:val="0"/>
          <w:color w:val="000000"/>
          <w:kern w:val="0"/>
          <w:sz w:val="28"/>
          <w:szCs w:val="28"/>
          <w:lang w:val="en-US" w:eastAsia="zh-CN" w:bidi="ar-SA"/>
        </w:rPr>
      </w:pPr>
      <w:r>
        <w:rPr>
          <w:rFonts w:hint="eastAsia" w:ascii="宋体" w:hAnsi="宋体" w:eastAsia="宋体" w:cs="宋体"/>
          <w:b/>
          <w:snapToGrid w:val="0"/>
          <w:color w:val="000000"/>
          <w:kern w:val="0"/>
          <w:sz w:val="28"/>
          <w:szCs w:val="28"/>
          <w:lang w:val="en-US" w:eastAsia="zh-CN" w:bidi="ar-SA"/>
        </w:rPr>
        <w:t>7.3 生态环境影响分析</w:t>
      </w:r>
    </w:p>
    <w:p w14:paraId="274C290A">
      <w:pPr>
        <w:pStyle w:val="3"/>
        <w:rPr>
          <w:rFonts w:hint="eastAsia" w:ascii="宋体" w:hAnsi="宋体" w:eastAsia="宋体" w:cs="宋体"/>
          <w:b/>
          <w:snapToGrid w:val="0"/>
          <w:color w:val="000000"/>
          <w:kern w:val="0"/>
          <w:sz w:val="28"/>
          <w:szCs w:val="28"/>
          <w:lang w:val="en-US" w:eastAsia="zh-CN" w:bidi="ar-SA"/>
        </w:rPr>
      </w:pPr>
      <w:r>
        <w:rPr>
          <w:rFonts w:hint="eastAsia" w:ascii="宋体" w:hAnsi="宋体" w:eastAsia="宋体" w:cs="宋体"/>
          <w:b/>
          <w:snapToGrid w:val="0"/>
          <w:color w:val="000000"/>
          <w:kern w:val="0"/>
          <w:sz w:val="28"/>
          <w:szCs w:val="28"/>
          <w:lang w:val="en-US" w:eastAsia="zh-CN" w:bidi="ar-SA"/>
        </w:rPr>
        <w:t>7.3.1 建设项目所在地的生态环境现状</w:t>
      </w:r>
    </w:p>
    <w:p w14:paraId="7601ABB1">
      <w:pPr>
        <w:spacing w:before="0" w:line="360" w:lineRule="auto"/>
        <w:ind w:firstLine="560"/>
        <w:jc w:val="both"/>
        <w:rPr>
          <w:rFonts w:ascii="宋体" w:hAnsi="宋体" w:eastAsia="宋体" w:cstheme="minorBidi"/>
          <w:sz w:val="28"/>
          <w:szCs w:val="28"/>
        </w:rPr>
      </w:pPr>
      <w:r>
        <w:rPr>
          <w:rFonts w:ascii="宋体" w:hAnsi="宋体" w:eastAsia="宋体" w:cstheme="minorBidi"/>
          <w:sz w:val="28"/>
          <w:szCs w:val="28"/>
        </w:rPr>
        <w:t>项目选址位于河南省洛阳市汝阳县金堆城钼业东沟矿区尾矿库及周边工矿用地，属中低山丘陵地貌区，场地整体地势开阔平坦，海拔标高在400至700米之间。区域属暖温带半湿润大陆性季风气候，四季分明，光照充足，年平均日照时数超过2100小时。项目所在矿区已完成治理覆土，原尾矿库区域已形成相对稳定的地表形态，周边地表水系不发育，无自然保护区、风景名胜区、水源地等环境敏感区域分布，矿区范围内无常住居民聚居点，项目选址区域环境条件适宜新能源项目建设。</w:t>
      </w:r>
    </w:p>
    <w:p w14:paraId="69CE05BC">
      <w:pPr>
        <w:pStyle w:val="3"/>
        <w:rPr>
          <w:rFonts w:hint="eastAsia" w:ascii="宋体" w:hAnsi="宋体" w:eastAsia="宋体" w:cs="宋体"/>
          <w:b/>
          <w:snapToGrid w:val="0"/>
          <w:color w:val="000000"/>
          <w:kern w:val="0"/>
          <w:sz w:val="28"/>
          <w:szCs w:val="28"/>
          <w:lang w:val="en-US" w:eastAsia="zh-CN" w:bidi="ar-SA"/>
        </w:rPr>
      </w:pPr>
      <w:r>
        <w:rPr>
          <w:rFonts w:hint="eastAsia" w:ascii="宋体" w:hAnsi="宋体" w:eastAsia="宋体" w:cs="宋体"/>
          <w:b/>
          <w:snapToGrid w:val="0"/>
          <w:color w:val="000000"/>
          <w:kern w:val="0"/>
          <w:sz w:val="28"/>
          <w:szCs w:val="28"/>
          <w:lang w:val="en-US" w:eastAsia="zh-CN" w:bidi="ar-SA"/>
        </w:rPr>
        <w:t>7.3.2 项目在污染物排放、地理环境敏感区等方面的影响</w:t>
      </w:r>
    </w:p>
    <w:p w14:paraId="523EA272">
      <w:pPr>
        <w:pStyle w:val="3"/>
        <w:rPr>
          <w:rFonts w:hint="eastAsia" w:ascii="宋体" w:hAnsi="宋体" w:eastAsia="宋体" w:cs="宋体"/>
          <w:b/>
          <w:snapToGrid w:val="0"/>
          <w:color w:val="000000"/>
          <w:kern w:val="0"/>
          <w:sz w:val="28"/>
          <w:szCs w:val="28"/>
          <w:lang w:val="en-US" w:eastAsia="zh-CN" w:bidi="ar-SA"/>
        </w:rPr>
      </w:pPr>
      <w:r>
        <w:rPr>
          <w:rFonts w:hint="eastAsia" w:ascii="宋体" w:hAnsi="宋体" w:eastAsia="宋体" w:cs="宋体"/>
          <w:b/>
          <w:snapToGrid w:val="0"/>
          <w:color w:val="000000"/>
          <w:kern w:val="0"/>
          <w:sz w:val="28"/>
          <w:szCs w:val="28"/>
          <w:lang w:val="en-US" w:eastAsia="zh-CN" w:bidi="ar-SA"/>
        </w:rPr>
        <w:t>7.3.2.1 环境保护目标和具体质量标准</w:t>
      </w:r>
    </w:p>
    <w:p w14:paraId="46125C04">
      <w:pPr>
        <w:spacing w:before="0" w:line="360" w:lineRule="auto"/>
        <w:ind w:firstLine="560"/>
        <w:jc w:val="both"/>
        <w:rPr>
          <w:rFonts w:ascii="宋体" w:hAnsi="宋体" w:eastAsia="宋体" w:cstheme="minorBidi"/>
          <w:sz w:val="28"/>
          <w:szCs w:val="28"/>
        </w:rPr>
      </w:pPr>
      <w:r>
        <w:rPr>
          <w:rFonts w:ascii="宋体" w:hAnsi="宋体" w:eastAsia="宋体" w:cstheme="minorBidi"/>
          <w:sz w:val="28"/>
          <w:szCs w:val="28"/>
        </w:rPr>
        <w:t>遵循可持续发展战略思想，切实保障资源合理开发和利用，保护生态环境，改善周围环境质量，形成生态良性循环。</w:t>
      </w:r>
    </w:p>
    <w:p w14:paraId="3CD4634D">
      <w:pPr>
        <w:spacing w:before="0" w:line="360" w:lineRule="auto"/>
        <w:ind w:firstLine="560"/>
        <w:jc w:val="both"/>
        <w:rPr>
          <w:rFonts w:ascii="宋体" w:hAnsi="宋体" w:eastAsia="宋体" w:cstheme="minorBidi"/>
          <w:sz w:val="28"/>
          <w:szCs w:val="28"/>
        </w:rPr>
      </w:pPr>
      <w:r>
        <w:rPr>
          <w:rFonts w:ascii="宋体" w:hAnsi="宋体" w:eastAsia="宋体" w:cstheme="minorBidi"/>
          <w:sz w:val="28"/>
          <w:szCs w:val="28"/>
        </w:rPr>
        <w:t>环境质量标准：</w:t>
      </w:r>
    </w:p>
    <w:p w14:paraId="000EC49B">
      <w:pPr>
        <w:spacing w:before="0" w:line="360" w:lineRule="auto"/>
        <w:ind w:firstLine="560"/>
        <w:jc w:val="both"/>
        <w:rPr>
          <w:rFonts w:ascii="宋体" w:hAnsi="宋体" w:eastAsia="宋体" w:cstheme="minorBidi"/>
          <w:sz w:val="28"/>
          <w:szCs w:val="28"/>
        </w:rPr>
      </w:pPr>
      <w:r>
        <w:rPr>
          <w:rFonts w:ascii="宋体" w:hAnsi="宋体" w:eastAsia="宋体" w:cstheme="minorBidi"/>
          <w:sz w:val="28"/>
          <w:szCs w:val="28"/>
        </w:rPr>
        <w:t>1、项目范围内大气环境质量须达到《环境空气质量标准》（GB3095-2012）的二级标准；</w:t>
      </w:r>
    </w:p>
    <w:p w14:paraId="733D8956">
      <w:pPr>
        <w:spacing w:before="0" w:line="360" w:lineRule="auto"/>
        <w:ind w:firstLine="560"/>
        <w:jc w:val="both"/>
        <w:rPr>
          <w:rFonts w:ascii="宋体" w:hAnsi="宋体" w:eastAsia="宋体" w:cstheme="minorBidi"/>
          <w:sz w:val="28"/>
          <w:szCs w:val="28"/>
        </w:rPr>
      </w:pPr>
      <w:r>
        <w:rPr>
          <w:rFonts w:ascii="宋体" w:hAnsi="宋体" w:eastAsia="宋体" w:cstheme="minorBidi"/>
          <w:sz w:val="28"/>
          <w:szCs w:val="28"/>
        </w:rPr>
        <w:t>2、根据《声环境质量标准》（GB3096-2008），项目区噪声平均等效声级昼间值≤65dB；夜间值≤55dB；</w:t>
      </w:r>
    </w:p>
    <w:p w14:paraId="63556CB8">
      <w:pPr>
        <w:spacing w:before="0" w:line="360" w:lineRule="auto"/>
        <w:ind w:firstLine="560"/>
        <w:jc w:val="both"/>
        <w:rPr>
          <w:rFonts w:ascii="宋体" w:hAnsi="宋体" w:eastAsia="宋体" w:cstheme="minorBidi"/>
          <w:sz w:val="28"/>
          <w:szCs w:val="28"/>
        </w:rPr>
      </w:pPr>
      <w:r>
        <w:rPr>
          <w:rFonts w:ascii="宋体" w:hAnsi="宋体" w:eastAsia="宋体" w:cstheme="minorBidi"/>
          <w:sz w:val="28"/>
          <w:szCs w:val="28"/>
        </w:rPr>
        <w:t>3、《声环境质量标准》（GB3096-2008）；</w:t>
      </w:r>
    </w:p>
    <w:p w14:paraId="02F58346">
      <w:pPr>
        <w:spacing w:before="0" w:line="360" w:lineRule="auto"/>
        <w:ind w:firstLine="560"/>
        <w:jc w:val="both"/>
        <w:rPr>
          <w:rFonts w:ascii="宋体" w:hAnsi="宋体" w:eastAsia="宋体" w:cstheme="minorBidi"/>
          <w:sz w:val="28"/>
          <w:szCs w:val="28"/>
        </w:rPr>
      </w:pPr>
      <w:r>
        <w:rPr>
          <w:rFonts w:ascii="宋体" w:hAnsi="宋体" w:eastAsia="宋体" w:cstheme="minorBidi"/>
          <w:sz w:val="28"/>
          <w:szCs w:val="28"/>
        </w:rPr>
        <w:t>4、《生活饮用水卫生规范》(GB5749-2006)；</w:t>
      </w:r>
    </w:p>
    <w:p w14:paraId="32C7A20A">
      <w:pPr>
        <w:spacing w:before="0" w:line="360" w:lineRule="auto"/>
        <w:ind w:firstLine="560"/>
        <w:jc w:val="both"/>
        <w:rPr>
          <w:rFonts w:ascii="宋体" w:hAnsi="宋体" w:eastAsia="宋体" w:cstheme="minorBidi"/>
          <w:sz w:val="28"/>
          <w:szCs w:val="28"/>
        </w:rPr>
      </w:pPr>
      <w:r>
        <w:rPr>
          <w:rFonts w:ascii="宋体" w:hAnsi="宋体" w:eastAsia="宋体" w:cstheme="minorBidi"/>
          <w:sz w:val="28"/>
          <w:szCs w:val="28"/>
        </w:rPr>
        <w:t>5、《地下水质量标准》（GB/T14848-93）；</w:t>
      </w:r>
    </w:p>
    <w:p w14:paraId="6FFEBBA6">
      <w:pPr>
        <w:spacing w:before="0" w:line="360" w:lineRule="auto"/>
        <w:ind w:firstLine="560"/>
        <w:jc w:val="both"/>
        <w:rPr>
          <w:rFonts w:ascii="宋体" w:hAnsi="宋体" w:eastAsia="宋体" w:cstheme="minorBidi"/>
          <w:sz w:val="28"/>
          <w:szCs w:val="28"/>
        </w:rPr>
      </w:pPr>
      <w:r>
        <w:rPr>
          <w:rFonts w:ascii="宋体" w:hAnsi="宋体" w:eastAsia="宋体" w:cstheme="minorBidi"/>
          <w:sz w:val="28"/>
          <w:szCs w:val="28"/>
        </w:rPr>
        <w:t>6、《大气污染物综合排放标准》（GB16297-1996）；</w:t>
      </w:r>
    </w:p>
    <w:p w14:paraId="2728B775">
      <w:pPr>
        <w:spacing w:before="0" w:line="360" w:lineRule="auto"/>
        <w:ind w:firstLine="560"/>
        <w:jc w:val="both"/>
        <w:rPr>
          <w:rFonts w:ascii="宋体" w:hAnsi="宋体" w:eastAsia="宋体" w:cstheme="minorBidi"/>
          <w:sz w:val="28"/>
          <w:szCs w:val="28"/>
        </w:rPr>
      </w:pPr>
      <w:r>
        <w:rPr>
          <w:rFonts w:ascii="宋体" w:hAnsi="宋体" w:eastAsia="宋体" w:cstheme="minorBidi"/>
          <w:sz w:val="28"/>
          <w:szCs w:val="28"/>
        </w:rPr>
        <w:t>7、《污水排入城镇下水道水质》（CJ343-2010）；</w:t>
      </w:r>
    </w:p>
    <w:p w14:paraId="238C62CA">
      <w:pPr>
        <w:spacing w:before="0" w:line="360" w:lineRule="auto"/>
        <w:ind w:firstLine="560"/>
        <w:jc w:val="both"/>
        <w:rPr>
          <w:rFonts w:ascii="宋体" w:hAnsi="宋体" w:eastAsia="宋体" w:cstheme="minorBidi"/>
          <w:sz w:val="28"/>
          <w:szCs w:val="28"/>
        </w:rPr>
      </w:pPr>
      <w:r>
        <w:rPr>
          <w:rFonts w:ascii="宋体" w:hAnsi="宋体" w:eastAsia="宋体" w:cstheme="minorBidi"/>
          <w:sz w:val="28"/>
          <w:szCs w:val="28"/>
        </w:rPr>
        <w:t>8、《建筑施工场界环境噪声排放标准》（GB12523-2011）；</w:t>
      </w:r>
    </w:p>
    <w:p w14:paraId="4F700BA7">
      <w:pPr>
        <w:spacing w:before="0" w:line="360" w:lineRule="auto"/>
        <w:ind w:firstLine="560"/>
        <w:jc w:val="both"/>
        <w:rPr>
          <w:rFonts w:ascii="宋体" w:hAnsi="宋体" w:eastAsia="宋体" w:cstheme="minorBidi"/>
          <w:sz w:val="28"/>
          <w:szCs w:val="28"/>
        </w:rPr>
      </w:pPr>
      <w:r>
        <w:rPr>
          <w:rFonts w:ascii="宋体" w:hAnsi="宋体" w:eastAsia="宋体" w:cstheme="minorBidi"/>
          <w:sz w:val="28"/>
          <w:szCs w:val="28"/>
        </w:rPr>
        <w:t>9、《一般工业固体废物贮存、处置场污染控制标准》（GB18599-2001）及其修改单。</w:t>
      </w:r>
    </w:p>
    <w:p w14:paraId="7189D8A9">
      <w:pPr>
        <w:pStyle w:val="5"/>
        <w:rPr>
          <w:rFonts w:hint="eastAsia" w:ascii="宋体" w:hAnsi="宋体" w:eastAsia="宋体" w:cs="宋体"/>
          <w:b/>
          <w:snapToGrid w:val="0"/>
          <w:color w:val="000000"/>
          <w:kern w:val="0"/>
          <w:sz w:val="28"/>
          <w:szCs w:val="28"/>
          <w:lang w:val="en-US" w:eastAsia="zh-CN" w:bidi="ar-SA"/>
        </w:rPr>
      </w:pPr>
      <w:r>
        <w:rPr>
          <w:rFonts w:hint="eastAsia" w:ascii="宋体" w:hAnsi="宋体" w:eastAsia="宋体" w:cs="宋体"/>
          <w:b/>
          <w:snapToGrid w:val="0"/>
          <w:color w:val="000000"/>
          <w:kern w:val="0"/>
          <w:sz w:val="28"/>
          <w:szCs w:val="28"/>
          <w:lang w:val="en-US" w:eastAsia="zh-CN" w:bidi="ar-SA"/>
        </w:rPr>
        <w:t>7.3.2.2 建设期环境影响及治理措施</w:t>
      </w:r>
    </w:p>
    <w:p w14:paraId="04EF7042">
      <w:pPr>
        <w:keepNext w:val="0"/>
        <w:keepLines w:val="0"/>
        <w:pageBreakBefore w:val="0"/>
        <w:widowControl/>
        <w:kinsoku/>
        <w:wordWrap/>
        <w:overflowPunct/>
        <w:topLinePunct/>
        <w:autoSpaceDE/>
        <w:autoSpaceDN/>
        <w:bidi w:val="0"/>
        <w:adjustRightInd/>
        <w:snapToGrid/>
        <w:spacing w:before="0" w:beforeLines="50" w:after="0" w:afterLines="50" w:line="360" w:lineRule="auto"/>
        <w:ind w:firstLine="560" w:firstLineChars="200"/>
        <w:jc w:val="both"/>
        <w:textAlignment w:val="auto"/>
        <w:rPr>
          <w:rFonts w:ascii="宋体" w:hAnsi="宋体" w:eastAsia="宋体" w:cstheme="minorBidi"/>
          <w:sz w:val="28"/>
          <w:szCs w:val="28"/>
        </w:rPr>
      </w:pPr>
      <w:r>
        <w:rPr>
          <w:rFonts w:ascii="宋体" w:hAnsi="宋体" w:eastAsia="宋体" w:cstheme="minorBidi"/>
          <w:sz w:val="28"/>
          <w:szCs w:val="28"/>
        </w:rPr>
        <w:t>本项目的建设，主要是施工期间对环境的影响，通过采取有效的环保治理措施，对周围环境的影响可降低到最低程度。项目实施后，可取得工程建设和环境整治兼顾的效果，既促进区域社会经济发展，又促进生态环境的改善。</w:t>
      </w:r>
    </w:p>
    <w:p w14:paraId="51A2D288">
      <w:pPr>
        <w:keepNext w:val="0"/>
        <w:keepLines w:val="0"/>
        <w:pageBreakBefore w:val="0"/>
        <w:widowControl/>
        <w:kinsoku/>
        <w:wordWrap/>
        <w:overflowPunct/>
        <w:topLinePunct/>
        <w:autoSpaceDE/>
        <w:autoSpaceDN/>
        <w:bidi w:val="0"/>
        <w:adjustRightInd/>
        <w:snapToGrid/>
        <w:spacing w:before="0" w:beforeLines="50" w:after="0" w:afterLines="50" w:line="360" w:lineRule="auto"/>
        <w:ind w:firstLine="560" w:firstLineChars="200"/>
        <w:jc w:val="both"/>
        <w:textAlignment w:val="auto"/>
        <w:rPr>
          <w:rFonts w:ascii="宋体" w:hAnsi="宋体" w:eastAsia="宋体" w:cstheme="minorBidi"/>
          <w:sz w:val="28"/>
          <w:szCs w:val="28"/>
        </w:rPr>
      </w:pPr>
      <w:r>
        <w:rPr>
          <w:rFonts w:ascii="宋体" w:hAnsi="宋体" w:eastAsia="宋体" w:cstheme="minorBidi"/>
          <w:sz w:val="28"/>
          <w:szCs w:val="28"/>
        </w:rPr>
        <w:t>本项目施工期内，应妥善处理工程建设对周边环境及秩序的影响。</w:t>
      </w:r>
    </w:p>
    <w:p w14:paraId="52F617F1">
      <w:pPr>
        <w:keepNext w:val="0"/>
        <w:keepLines w:val="0"/>
        <w:pageBreakBefore w:val="0"/>
        <w:widowControl/>
        <w:kinsoku/>
        <w:wordWrap/>
        <w:overflowPunct/>
        <w:topLinePunct/>
        <w:autoSpaceDE/>
        <w:autoSpaceDN/>
        <w:bidi w:val="0"/>
        <w:adjustRightInd/>
        <w:snapToGrid/>
        <w:spacing w:before="0" w:beforeLines="50" w:after="0" w:afterLines="50" w:line="360" w:lineRule="auto"/>
        <w:ind w:firstLine="560" w:firstLineChars="200"/>
        <w:jc w:val="both"/>
        <w:textAlignment w:val="auto"/>
        <w:rPr>
          <w:rFonts w:ascii="宋体" w:hAnsi="宋体" w:eastAsia="宋体" w:cstheme="minorBidi"/>
          <w:sz w:val="28"/>
          <w:szCs w:val="28"/>
        </w:rPr>
      </w:pPr>
      <w:r>
        <w:rPr>
          <w:rFonts w:ascii="宋体" w:hAnsi="宋体" w:eastAsia="宋体" w:cstheme="minorBidi"/>
          <w:sz w:val="28"/>
          <w:szCs w:val="28"/>
        </w:rPr>
        <w:t>1、对大气环境的影响</w:t>
      </w:r>
    </w:p>
    <w:p w14:paraId="6865B096">
      <w:pPr>
        <w:keepNext w:val="0"/>
        <w:keepLines w:val="0"/>
        <w:pageBreakBefore w:val="0"/>
        <w:widowControl/>
        <w:kinsoku/>
        <w:wordWrap/>
        <w:overflowPunct/>
        <w:topLinePunct/>
        <w:autoSpaceDE/>
        <w:autoSpaceDN/>
        <w:bidi w:val="0"/>
        <w:adjustRightInd/>
        <w:snapToGrid/>
        <w:spacing w:before="0" w:beforeLines="50" w:after="0" w:afterLines="50" w:line="360" w:lineRule="auto"/>
        <w:ind w:firstLine="560" w:firstLineChars="200"/>
        <w:jc w:val="both"/>
        <w:textAlignment w:val="auto"/>
        <w:rPr>
          <w:rFonts w:ascii="宋体" w:hAnsi="宋体" w:eastAsia="宋体" w:cstheme="minorBidi"/>
          <w:sz w:val="28"/>
          <w:szCs w:val="28"/>
        </w:rPr>
      </w:pPr>
      <w:r>
        <w:rPr>
          <w:rFonts w:ascii="宋体" w:hAnsi="宋体" w:eastAsia="宋体" w:cstheme="minorBidi"/>
          <w:sz w:val="28"/>
          <w:szCs w:val="28"/>
        </w:rPr>
        <w:t>施工过程中的土方开挖、物料运输与堆放、场地平整等作业易产生扬尘，施工现场运输建筑材料的临时施工道路应经常洒水，运送砂石料的运输车辆，用帆布等遮盖，以防物料飞扬，沿途撒漏。施工期间车辆排放的废气会对周围环境产生一定的影响，车辆排出的CO、NOX和HC会使沿线空气质量下降，造成轻度污染，对当地环境有轻微影响。施工单位应使用符合环保标准的施工车辆设备，减少废气排放。</w:t>
      </w:r>
    </w:p>
    <w:p w14:paraId="2DB96E5D">
      <w:pPr>
        <w:keepNext w:val="0"/>
        <w:keepLines w:val="0"/>
        <w:pageBreakBefore w:val="0"/>
        <w:widowControl/>
        <w:kinsoku/>
        <w:wordWrap/>
        <w:overflowPunct/>
        <w:topLinePunct/>
        <w:autoSpaceDE/>
        <w:autoSpaceDN/>
        <w:bidi w:val="0"/>
        <w:adjustRightInd/>
        <w:snapToGrid/>
        <w:spacing w:before="0" w:beforeLines="50" w:after="0" w:afterLines="50" w:line="360" w:lineRule="auto"/>
        <w:ind w:firstLine="560" w:firstLineChars="200"/>
        <w:jc w:val="both"/>
        <w:textAlignment w:val="auto"/>
        <w:rPr>
          <w:rFonts w:ascii="宋体" w:hAnsi="宋体" w:eastAsia="宋体" w:cstheme="minorBidi"/>
          <w:sz w:val="28"/>
          <w:szCs w:val="28"/>
        </w:rPr>
      </w:pPr>
      <w:r>
        <w:rPr>
          <w:rFonts w:ascii="宋体" w:hAnsi="宋体" w:eastAsia="宋体" w:cstheme="minorBidi"/>
          <w:sz w:val="28"/>
          <w:szCs w:val="28"/>
        </w:rPr>
        <w:t>2、对声环境的影响</w:t>
      </w:r>
    </w:p>
    <w:p w14:paraId="2BBC7A16">
      <w:pPr>
        <w:keepNext w:val="0"/>
        <w:keepLines w:val="0"/>
        <w:pageBreakBefore w:val="0"/>
        <w:widowControl/>
        <w:kinsoku/>
        <w:wordWrap/>
        <w:overflowPunct/>
        <w:topLinePunct/>
        <w:autoSpaceDE/>
        <w:autoSpaceDN/>
        <w:bidi w:val="0"/>
        <w:adjustRightInd/>
        <w:snapToGrid/>
        <w:spacing w:before="0" w:beforeLines="50" w:after="0" w:afterLines="50" w:line="360" w:lineRule="auto"/>
        <w:ind w:firstLine="560" w:firstLineChars="200"/>
        <w:jc w:val="both"/>
        <w:textAlignment w:val="auto"/>
        <w:rPr>
          <w:rFonts w:ascii="宋体" w:hAnsi="宋体" w:eastAsia="宋体" w:cstheme="minorBidi"/>
          <w:sz w:val="28"/>
          <w:szCs w:val="28"/>
        </w:rPr>
      </w:pPr>
      <w:r>
        <w:rPr>
          <w:rFonts w:ascii="宋体" w:hAnsi="宋体" w:eastAsia="宋体" w:cstheme="minorBidi"/>
          <w:sz w:val="28"/>
          <w:szCs w:val="28"/>
        </w:rPr>
        <w:t>项目建设期间，各类施工机械如挖掘机、装载机、打桩机、电锯等在运行过程中会产生高强度噪声。这些噪声可能干扰周边居民的正常生活、学习与工作，尤其在学校、医院、居民区等噪声敏感区域，可能导致居民烦躁不安，影响睡眠质量，长期暴露还可能对人体听力造成损害。施工噪声具有阶段性、突发性和高强度的特点，其影响范围通常在施工现场周边200米左右，且随着施工进程的推进，噪声源和强度会有所变化。应采取以下措施：</w:t>
      </w:r>
    </w:p>
    <w:p w14:paraId="2A18FABC">
      <w:pPr>
        <w:keepNext w:val="0"/>
        <w:keepLines w:val="0"/>
        <w:pageBreakBefore w:val="0"/>
        <w:widowControl/>
        <w:kinsoku/>
        <w:wordWrap/>
        <w:overflowPunct/>
        <w:topLinePunct/>
        <w:autoSpaceDE/>
        <w:autoSpaceDN/>
        <w:bidi w:val="0"/>
        <w:adjustRightInd/>
        <w:snapToGrid/>
        <w:spacing w:before="0" w:beforeLines="50" w:after="0" w:afterLines="50" w:line="360" w:lineRule="auto"/>
        <w:ind w:firstLine="560" w:firstLineChars="200"/>
        <w:jc w:val="both"/>
        <w:textAlignment w:val="auto"/>
        <w:rPr>
          <w:rFonts w:ascii="宋体" w:hAnsi="宋体" w:eastAsia="宋体" w:cstheme="minorBidi"/>
          <w:sz w:val="28"/>
          <w:szCs w:val="28"/>
        </w:rPr>
      </w:pPr>
      <w:r>
        <w:rPr>
          <w:rFonts w:ascii="宋体" w:hAnsi="宋体" w:eastAsia="宋体" w:cstheme="minorBidi"/>
          <w:sz w:val="28"/>
          <w:szCs w:val="28"/>
        </w:rPr>
        <w:t>（1）施工场地布局合理，相对集中固定施工机械并远离环境敏感点。</w:t>
      </w:r>
    </w:p>
    <w:p w14:paraId="304A8AF5">
      <w:pPr>
        <w:keepNext w:val="0"/>
        <w:keepLines w:val="0"/>
        <w:pageBreakBefore w:val="0"/>
        <w:widowControl/>
        <w:kinsoku/>
        <w:wordWrap/>
        <w:overflowPunct/>
        <w:topLinePunct/>
        <w:autoSpaceDE/>
        <w:autoSpaceDN/>
        <w:bidi w:val="0"/>
        <w:adjustRightInd/>
        <w:snapToGrid/>
        <w:spacing w:before="0" w:beforeLines="50" w:after="0" w:afterLines="50" w:line="360" w:lineRule="auto"/>
        <w:ind w:firstLine="560" w:firstLineChars="200"/>
        <w:jc w:val="both"/>
        <w:textAlignment w:val="auto"/>
        <w:rPr>
          <w:rFonts w:ascii="宋体" w:hAnsi="宋体" w:eastAsia="宋体" w:cstheme="minorBidi"/>
          <w:sz w:val="28"/>
          <w:szCs w:val="28"/>
        </w:rPr>
      </w:pPr>
      <w:r>
        <w:rPr>
          <w:rFonts w:ascii="宋体" w:hAnsi="宋体" w:eastAsia="宋体" w:cstheme="minorBidi"/>
          <w:sz w:val="28"/>
          <w:szCs w:val="28"/>
        </w:rPr>
        <w:t>（2）对噪声震动固定设备采用固定或移动式隔振降噪处理。</w:t>
      </w:r>
    </w:p>
    <w:p w14:paraId="4071A856">
      <w:pPr>
        <w:keepNext w:val="0"/>
        <w:keepLines w:val="0"/>
        <w:pageBreakBefore w:val="0"/>
        <w:widowControl/>
        <w:kinsoku/>
        <w:wordWrap/>
        <w:overflowPunct/>
        <w:topLinePunct/>
        <w:autoSpaceDE/>
        <w:autoSpaceDN/>
        <w:bidi w:val="0"/>
        <w:adjustRightInd/>
        <w:snapToGrid/>
        <w:spacing w:before="0" w:beforeLines="50" w:after="0" w:afterLines="50" w:line="360" w:lineRule="auto"/>
        <w:ind w:firstLine="560" w:firstLineChars="200"/>
        <w:jc w:val="both"/>
        <w:textAlignment w:val="auto"/>
        <w:rPr>
          <w:rFonts w:ascii="宋体" w:hAnsi="宋体" w:eastAsia="宋体" w:cstheme="minorBidi"/>
          <w:sz w:val="28"/>
          <w:szCs w:val="28"/>
        </w:rPr>
      </w:pPr>
      <w:r>
        <w:rPr>
          <w:rFonts w:ascii="宋体" w:hAnsi="宋体" w:eastAsia="宋体" w:cstheme="minorBidi"/>
          <w:sz w:val="28"/>
          <w:szCs w:val="28"/>
        </w:rPr>
        <w:t>（3）避免现场混凝土搅拌作业，采用新技术缩短连续浇灌作业时间。</w:t>
      </w:r>
    </w:p>
    <w:p w14:paraId="19B135A7">
      <w:pPr>
        <w:keepNext w:val="0"/>
        <w:keepLines w:val="0"/>
        <w:pageBreakBefore w:val="0"/>
        <w:widowControl/>
        <w:kinsoku/>
        <w:wordWrap/>
        <w:overflowPunct/>
        <w:topLinePunct/>
        <w:autoSpaceDE/>
        <w:autoSpaceDN/>
        <w:bidi w:val="0"/>
        <w:adjustRightInd/>
        <w:snapToGrid/>
        <w:spacing w:before="0" w:beforeLines="50" w:after="0" w:afterLines="50" w:line="360" w:lineRule="auto"/>
        <w:ind w:firstLine="560" w:firstLineChars="200"/>
        <w:jc w:val="both"/>
        <w:textAlignment w:val="auto"/>
        <w:rPr>
          <w:rFonts w:ascii="宋体" w:hAnsi="宋体" w:eastAsia="宋体" w:cstheme="minorBidi"/>
          <w:sz w:val="28"/>
          <w:szCs w:val="28"/>
        </w:rPr>
      </w:pPr>
      <w:r>
        <w:rPr>
          <w:rFonts w:ascii="宋体" w:hAnsi="宋体" w:eastAsia="宋体" w:cstheme="minorBidi"/>
          <w:sz w:val="28"/>
          <w:szCs w:val="28"/>
        </w:rPr>
        <w:t>（4）尽可能避免高噪声震动设备同时作业。</w:t>
      </w:r>
    </w:p>
    <w:p w14:paraId="02A66694">
      <w:pPr>
        <w:keepNext w:val="0"/>
        <w:keepLines w:val="0"/>
        <w:pageBreakBefore w:val="0"/>
        <w:widowControl/>
        <w:kinsoku/>
        <w:wordWrap/>
        <w:overflowPunct/>
        <w:topLinePunct/>
        <w:autoSpaceDE/>
        <w:autoSpaceDN/>
        <w:bidi w:val="0"/>
        <w:adjustRightInd/>
        <w:snapToGrid/>
        <w:spacing w:before="0" w:beforeLines="50" w:after="0" w:afterLines="50" w:line="360" w:lineRule="auto"/>
        <w:ind w:firstLine="560" w:firstLineChars="200"/>
        <w:jc w:val="both"/>
        <w:textAlignment w:val="auto"/>
        <w:rPr>
          <w:rFonts w:ascii="宋体" w:hAnsi="宋体" w:eastAsia="宋体" w:cstheme="minorBidi"/>
          <w:sz w:val="28"/>
          <w:szCs w:val="28"/>
        </w:rPr>
      </w:pPr>
      <w:r>
        <w:rPr>
          <w:rFonts w:ascii="宋体" w:hAnsi="宋体" w:eastAsia="宋体" w:cstheme="minorBidi"/>
          <w:sz w:val="28"/>
          <w:szCs w:val="28"/>
        </w:rPr>
        <w:t>（5）保障施工场地交通畅通，减缓运输作业引起的噪声影响。</w:t>
      </w:r>
    </w:p>
    <w:p w14:paraId="2E91C8E9">
      <w:pPr>
        <w:keepNext w:val="0"/>
        <w:keepLines w:val="0"/>
        <w:pageBreakBefore w:val="0"/>
        <w:widowControl/>
        <w:kinsoku/>
        <w:wordWrap/>
        <w:overflowPunct/>
        <w:topLinePunct/>
        <w:autoSpaceDE/>
        <w:autoSpaceDN/>
        <w:bidi w:val="0"/>
        <w:adjustRightInd/>
        <w:snapToGrid/>
        <w:spacing w:before="0" w:beforeLines="50" w:after="0" w:afterLines="50" w:line="360" w:lineRule="auto"/>
        <w:ind w:firstLine="560" w:firstLineChars="200"/>
        <w:jc w:val="both"/>
        <w:textAlignment w:val="auto"/>
        <w:rPr>
          <w:rFonts w:ascii="宋体" w:hAnsi="宋体" w:eastAsia="宋体" w:cstheme="minorBidi"/>
          <w:sz w:val="28"/>
          <w:szCs w:val="28"/>
        </w:rPr>
      </w:pPr>
      <w:r>
        <w:rPr>
          <w:rFonts w:ascii="宋体" w:hAnsi="宋体" w:eastAsia="宋体" w:cstheme="minorBidi"/>
          <w:sz w:val="28"/>
          <w:szCs w:val="28"/>
        </w:rPr>
        <w:t>（6）施工现场严格管理，加强环境监测，严格执行环境管理规定。</w:t>
      </w:r>
    </w:p>
    <w:p w14:paraId="4E0F4A0C">
      <w:pPr>
        <w:keepNext w:val="0"/>
        <w:keepLines w:val="0"/>
        <w:pageBreakBefore w:val="0"/>
        <w:widowControl/>
        <w:kinsoku/>
        <w:wordWrap/>
        <w:overflowPunct/>
        <w:topLinePunct/>
        <w:autoSpaceDE/>
        <w:autoSpaceDN/>
        <w:bidi w:val="0"/>
        <w:adjustRightInd/>
        <w:snapToGrid/>
        <w:spacing w:before="0" w:beforeLines="50" w:after="0" w:afterLines="50" w:line="360" w:lineRule="auto"/>
        <w:ind w:firstLine="560" w:firstLineChars="200"/>
        <w:jc w:val="both"/>
        <w:textAlignment w:val="auto"/>
        <w:rPr>
          <w:rFonts w:ascii="宋体" w:hAnsi="宋体" w:eastAsia="宋体" w:cstheme="minorBidi"/>
          <w:sz w:val="28"/>
          <w:szCs w:val="28"/>
        </w:rPr>
      </w:pPr>
      <w:r>
        <w:rPr>
          <w:rFonts w:ascii="宋体" w:hAnsi="宋体" w:eastAsia="宋体" w:cstheme="minorBidi"/>
          <w:sz w:val="28"/>
          <w:szCs w:val="28"/>
        </w:rPr>
        <w:t>（7）严格遵守当地环境保护部门规定的施工时间，禁止在夜间（一般为22:00-6:00）和午休时间（12:00-14:00）进行高噪声作业。若因工艺要求必须连续施工，应提前向相关部门申请，并在周边社区、学校等场所张贴公告，告知居民施工时间、内容及可能产生的影响，争取理解与支持。</w:t>
      </w:r>
    </w:p>
    <w:p w14:paraId="643A8DA1">
      <w:pPr>
        <w:keepNext w:val="0"/>
        <w:keepLines w:val="0"/>
        <w:pageBreakBefore w:val="0"/>
        <w:widowControl/>
        <w:kinsoku/>
        <w:wordWrap/>
        <w:overflowPunct/>
        <w:topLinePunct/>
        <w:autoSpaceDE/>
        <w:autoSpaceDN/>
        <w:bidi w:val="0"/>
        <w:adjustRightInd/>
        <w:snapToGrid/>
        <w:spacing w:before="0" w:beforeLines="50" w:after="0" w:afterLines="50" w:line="360" w:lineRule="auto"/>
        <w:ind w:firstLine="560" w:firstLineChars="200"/>
        <w:jc w:val="both"/>
        <w:textAlignment w:val="auto"/>
        <w:rPr>
          <w:rFonts w:ascii="宋体" w:hAnsi="宋体" w:eastAsia="宋体" w:cstheme="minorBidi"/>
          <w:sz w:val="28"/>
          <w:szCs w:val="28"/>
        </w:rPr>
      </w:pPr>
      <w:r>
        <w:rPr>
          <w:rFonts w:ascii="宋体" w:hAnsi="宋体" w:eastAsia="宋体" w:cstheme="minorBidi"/>
          <w:sz w:val="28"/>
          <w:szCs w:val="28"/>
        </w:rPr>
        <w:t>加强宣传特别是对现场周边居民，使其充分理解建设工程的重要性，做好相应的环境补偿工作。</w:t>
      </w:r>
    </w:p>
    <w:p w14:paraId="28553B53">
      <w:pPr>
        <w:keepNext w:val="0"/>
        <w:keepLines w:val="0"/>
        <w:pageBreakBefore w:val="0"/>
        <w:widowControl/>
        <w:kinsoku/>
        <w:wordWrap/>
        <w:overflowPunct/>
        <w:topLinePunct/>
        <w:autoSpaceDE/>
        <w:autoSpaceDN/>
        <w:bidi w:val="0"/>
        <w:adjustRightInd/>
        <w:snapToGrid/>
        <w:spacing w:before="0" w:beforeLines="50" w:after="0" w:afterLines="50" w:line="360" w:lineRule="auto"/>
        <w:ind w:firstLine="560" w:firstLineChars="200"/>
        <w:jc w:val="both"/>
        <w:textAlignment w:val="auto"/>
        <w:rPr>
          <w:rFonts w:ascii="宋体" w:hAnsi="宋体" w:eastAsia="宋体" w:cstheme="minorBidi"/>
          <w:sz w:val="28"/>
          <w:szCs w:val="28"/>
        </w:rPr>
      </w:pPr>
      <w:r>
        <w:rPr>
          <w:rFonts w:ascii="宋体" w:hAnsi="宋体" w:eastAsia="宋体" w:cstheme="minorBidi"/>
          <w:sz w:val="28"/>
          <w:szCs w:val="28"/>
        </w:rPr>
        <w:t>3、固体废弃物影响</w:t>
      </w:r>
    </w:p>
    <w:p w14:paraId="2718A621">
      <w:pPr>
        <w:keepNext w:val="0"/>
        <w:keepLines w:val="0"/>
        <w:pageBreakBefore w:val="0"/>
        <w:widowControl/>
        <w:kinsoku/>
        <w:wordWrap/>
        <w:overflowPunct/>
        <w:topLinePunct/>
        <w:autoSpaceDE/>
        <w:autoSpaceDN/>
        <w:bidi w:val="0"/>
        <w:adjustRightInd/>
        <w:snapToGrid/>
        <w:spacing w:before="0" w:beforeLines="50" w:after="0" w:afterLines="50" w:line="360" w:lineRule="auto"/>
        <w:ind w:firstLine="560" w:firstLineChars="200"/>
        <w:jc w:val="both"/>
        <w:textAlignment w:val="auto"/>
        <w:rPr>
          <w:rFonts w:ascii="宋体" w:hAnsi="宋体" w:eastAsia="宋体" w:cstheme="minorBidi"/>
          <w:sz w:val="28"/>
          <w:szCs w:val="28"/>
        </w:rPr>
      </w:pPr>
      <w:r>
        <w:rPr>
          <w:rFonts w:ascii="宋体" w:hAnsi="宋体" w:eastAsia="宋体" w:cstheme="minorBidi"/>
          <w:sz w:val="28"/>
          <w:szCs w:val="28"/>
        </w:rPr>
        <w:t>施工期固体废弃物主要来自施工过程中开挖的土方和废弃的建筑材料，经集中收集后全部运至城市垃圾处理场妥善堆放，以减少对环境的影响。</w:t>
      </w:r>
    </w:p>
    <w:p w14:paraId="789696F0">
      <w:pPr>
        <w:keepNext w:val="0"/>
        <w:keepLines w:val="0"/>
        <w:pageBreakBefore w:val="0"/>
        <w:widowControl/>
        <w:kinsoku/>
        <w:wordWrap/>
        <w:overflowPunct/>
        <w:topLinePunct/>
        <w:autoSpaceDE/>
        <w:autoSpaceDN/>
        <w:bidi w:val="0"/>
        <w:adjustRightInd/>
        <w:snapToGrid/>
        <w:spacing w:before="0" w:beforeLines="50" w:after="0" w:afterLines="50" w:line="360" w:lineRule="auto"/>
        <w:ind w:firstLine="560" w:firstLineChars="200"/>
        <w:jc w:val="both"/>
        <w:textAlignment w:val="auto"/>
        <w:rPr>
          <w:rFonts w:ascii="宋体" w:hAnsi="宋体" w:eastAsia="宋体" w:cstheme="minorBidi"/>
          <w:sz w:val="28"/>
          <w:szCs w:val="28"/>
        </w:rPr>
      </w:pPr>
      <w:r>
        <w:rPr>
          <w:rFonts w:ascii="宋体" w:hAnsi="宋体" w:eastAsia="宋体" w:cstheme="minorBidi"/>
          <w:sz w:val="28"/>
          <w:szCs w:val="28"/>
        </w:rPr>
        <w:t>4、水土保护的影响</w:t>
      </w:r>
    </w:p>
    <w:p w14:paraId="378CFF81">
      <w:pPr>
        <w:keepNext w:val="0"/>
        <w:keepLines w:val="0"/>
        <w:pageBreakBefore w:val="0"/>
        <w:widowControl/>
        <w:kinsoku/>
        <w:wordWrap/>
        <w:overflowPunct/>
        <w:topLinePunct/>
        <w:autoSpaceDE/>
        <w:autoSpaceDN/>
        <w:bidi w:val="0"/>
        <w:adjustRightInd/>
        <w:snapToGrid/>
        <w:spacing w:before="0" w:beforeLines="50" w:after="0" w:afterLines="50" w:line="360" w:lineRule="auto"/>
        <w:ind w:firstLine="560" w:firstLineChars="200"/>
        <w:jc w:val="both"/>
        <w:textAlignment w:val="auto"/>
        <w:rPr>
          <w:rFonts w:ascii="宋体" w:hAnsi="宋体" w:eastAsia="宋体" w:cstheme="minorBidi"/>
          <w:sz w:val="28"/>
          <w:szCs w:val="28"/>
        </w:rPr>
      </w:pPr>
      <w:r>
        <w:rPr>
          <w:rFonts w:ascii="宋体" w:hAnsi="宋体" w:eastAsia="宋体" w:cstheme="minorBidi"/>
          <w:sz w:val="28"/>
          <w:szCs w:val="28"/>
        </w:rPr>
        <w:t>项目建设需要占用一定面积的土地用于建设光伏板安装场地、储能设备放置区域等。土地占用可能改变原有土地利用类型，施工过程中的土方开挖、地表植被铲除等活动还可能导致水土流失，尤其是在降雨集中的地区，大量泥沙随地表径流进入周边水体，影响水质，破坏水生生态环境。此外，土地利用的改变可能对周边动植物栖息地造成破坏，影响生物多样性。</w:t>
      </w:r>
    </w:p>
    <w:p w14:paraId="626BCC42">
      <w:pPr>
        <w:keepNext w:val="0"/>
        <w:keepLines w:val="0"/>
        <w:pageBreakBefore w:val="0"/>
        <w:widowControl/>
        <w:kinsoku/>
        <w:wordWrap/>
        <w:overflowPunct/>
        <w:topLinePunct/>
        <w:autoSpaceDE/>
        <w:autoSpaceDN/>
        <w:bidi w:val="0"/>
        <w:adjustRightInd/>
        <w:snapToGrid/>
        <w:spacing w:before="0" w:beforeLines="50" w:after="0" w:afterLines="50" w:line="360" w:lineRule="auto"/>
        <w:ind w:firstLine="560" w:firstLineChars="200"/>
        <w:jc w:val="both"/>
        <w:textAlignment w:val="auto"/>
        <w:rPr>
          <w:rFonts w:ascii="宋体" w:hAnsi="宋体" w:eastAsia="宋体" w:cstheme="minorBidi"/>
          <w:sz w:val="28"/>
          <w:szCs w:val="28"/>
        </w:rPr>
      </w:pPr>
      <w:r>
        <w:rPr>
          <w:rFonts w:ascii="宋体" w:hAnsi="宋体" w:eastAsia="宋体" w:cstheme="minorBidi"/>
          <w:sz w:val="28"/>
          <w:szCs w:val="28"/>
        </w:rPr>
        <w:t>因此，在施工过程中，采取有效的水土流失防治措施。如在施工现场周边设置截水沟、排水沟等排水设施，将雨水有序引导至指定区域，避免雨水对开挖面和堆土区的直接冲刷。对开挖面和堆土区进行临时覆盖，可采用土工布、草帘等材料，减少土壤裸露面积。在坡地施工时，应根据地形条件设置挡土墙、护坡等防护工程，防止土体滑坡和坍塌，降低水土流失风险。</w:t>
      </w:r>
    </w:p>
    <w:p w14:paraId="5FCE2EB5">
      <w:pPr>
        <w:keepNext w:val="0"/>
        <w:keepLines w:val="0"/>
        <w:pageBreakBefore w:val="0"/>
        <w:widowControl/>
        <w:kinsoku/>
        <w:wordWrap/>
        <w:overflowPunct/>
        <w:topLinePunct/>
        <w:autoSpaceDE/>
        <w:autoSpaceDN/>
        <w:bidi w:val="0"/>
        <w:adjustRightInd/>
        <w:snapToGrid/>
        <w:spacing w:before="0" w:beforeLines="50" w:after="0" w:afterLines="50" w:line="360" w:lineRule="auto"/>
        <w:ind w:firstLine="560" w:firstLineChars="200"/>
        <w:jc w:val="both"/>
        <w:textAlignment w:val="auto"/>
        <w:rPr>
          <w:rFonts w:ascii="宋体" w:hAnsi="宋体" w:eastAsia="宋体" w:cstheme="minorBidi"/>
          <w:sz w:val="28"/>
          <w:szCs w:val="28"/>
        </w:rPr>
      </w:pPr>
      <w:r>
        <w:rPr>
          <w:rFonts w:ascii="宋体" w:hAnsi="宋体" w:eastAsia="宋体" w:cstheme="minorBidi"/>
          <w:sz w:val="28"/>
          <w:szCs w:val="28"/>
        </w:rPr>
        <w:t>施工结束后，及时对因施工造成破坏的土地进行生态恢复。对于占用的工矿用地，应根据当地植被类型和生态特点，选择适宜的植物品种进行绿化种植，恢复植被覆盖，提高生态系统稳定性。同时，可通过缴纳生态补偿资金等方式，对因项目建设造成的生态损失进行补偿，用于区域生态保护和修复项目。</w:t>
      </w:r>
    </w:p>
    <w:p w14:paraId="54FF5037">
      <w:pPr>
        <w:pStyle w:val="5"/>
        <w:rPr>
          <w:rFonts w:hint="eastAsia" w:ascii="宋体" w:hAnsi="宋体" w:eastAsia="宋体" w:cs="宋体"/>
          <w:b/>
          <w:snapToGrid w:val="0"/>
          <w:color w:val="000000"/>
          <w:kern w:val="0"/>
          <w:sz w:val="28"/>
          <w:szCs w:val="28"/>
          <w:lang w:val="en-US" w:eastAsia="zh-CN" w:bidi="ar-SA"/>
        </w:rPr>
      </w:pPr>
      <w:r>
        <w:rPr>
          <w:rFonts w:hint="eastAsia" w:ascii="宋体" w:hAnsi="宋体" w:eastAsia="宋体" w:cs="宋体"/>
          <w:b/>
          <w:snapToGrid w:val="0"/>
          <w:color w:val="000000"/>
          <w:kern w:val="0"/>
          <w:sz w:val="28"/>
          <w:szCs w:val="28"/>
          <w:lang w:val="en-US" w:eastAsia="zh-CN" w:bidi="ar-SA"/>
        </w:rPr>
        <w:t>7.3.2.3 地质灾害影响分析</w:t>
      </w:r>
    </w:p>
    <w:p w14:paraId="6D5651BA">
      <w:pPr>
        <w:keepNext w:val="0"/>
        <w:keepLines w:val="0"/>
        <w:pageBreakBefore w:val="0"/>
        <w:widowControl/>
        <w:kinsoku/>
        <w:wordWrap/>
        <w:overflowPunct/>
        <w:topLinePunct/>
        <w:autoSpaceDE/>
        <w:autoSpaceDN/>
        <w:bidi w:val="0"/>
        <w:adjustRightInd/>
        <w:snapToGrid/>
        <w:spacing w:before="0" w:beforeLines="50" w:after="0" w:afterLines="50" w:line="360" w:lineRule="auto"/>
        <w:ind w:firstLine="560" w:firstLineChars="200"/>
        <w:jc w:val="both"/>
        <w:textAlignment w:val="auto"/>
        <w:rPr>
          <w:rFonts w:ascii="宋体" w:hAnsi="宋体" w:eastAsia="宋体" w:cstheme="minorBidi"/>
          <w:sz w:val="28"/>
          <w:szCs w:val="28"/>
        </w:rPr>
      </w:pPr>
      <w:r>
        <w:rPr>
          <w:rFonts w:ascii="宋体" w:hAnsi="宋体" w:eastAsia="宋体" w:cstheme="minorBidi"/>
          <w:sz w:val="28"/>
          <w:szCs w:val="28"/>
        </w:rPr>
        <w:t>该项目所处地段，地势相对平坦开阔，自然条件较好。矿区区域地壳稳定性评价为稳定型，未发现全新活动性断裂，不存在滑坡、崩塌、泥石流等地质灾害隐患。项目的建设和运营不会诱发地质灾害，地质灾害风险可控。</w:t>
      </w:r>
    </w:p>
    <w:p w14:paraId="25B14761">
      <w:pPr>
        <w:pStyle w:val="5"/>
        <w:rPr>
          <w:rFonts w:hint="eastAsia" w:ascii="宋体" w:hAnsi="宋体" w:eastAsia="宋体" w:cs="宋体"/>
          <w:b/>
          <w:snapToGrid w:val="0"/>
          <w:color w:val="000000"/>
          <w:kern w:val="0"/>
          <w:sz w:val="28"/>
          <w:szCs w:val="28"/>
          <w:lang w:val="en-US" w:eastAsia="zh-CN" w:bidi="ar-SA"/>
        </w:rPr>
      </w:pPr>
      <w:r>
        <w:rPr>
          <w:rFonts w:hint="eastAsia" w:ascii="宋体" w:hAnsi="宋体" w:eastAsia="宋体" w:cs="宋体"/>
          <w:b/>
          <w:snapToGrid w:val="0"/>
          <w:color w:val="000000"/>
          <w:kern w:val="0"/>
          <w:sz w:val="28"/>
          <w:szCs w:val="28"/>
          <w:lang w:val="en-US" w:eastAsia="zh-CN" w:bidi="ar-SA"/>
        </w:rPr>
        <w:t>7.3.2.4 特殊环境影响</w:t>
      </w:r>
    </w:p>
    <w:p w14:paraId="4354B467">
      <w:pPr>
        <w:keepNext w:val="0"/>
        <w:keepLines w:val="0"/>
        <w:pageBreakBefore w:val="0"/>
        <w:widowControl/>
        <w:kinsoku/>
        <w:wordWrap/>
        <w:overflowPunct/>
        <w:topLinePunct/>
        <w:autoSpaceDE/>
        <w:autoSpaceDN/>
        <w:bidi w:val="0"/>
        <w:adjustRightInd/>
        <w:snapToGrid/>
        <w:spacing w:before="0" w:beforeLines="50" w:after="0" w:afterLines="50" w:line="360" w:lineRule="auto"/>
        <w:ind w:firstLine="560" w:firstLineChars="200"/>
        <w:jc w:val="both"/>
        <w:textAlignment w:val="auto"/>
        <w:rPr>
          <w:rFonts w:ascii="宋体" w:hAnsi="宋体" w:eastAsia="宋体" w:cstheme="minorBidi"/>
          <w:sz w:val="28"/>
          <w:szCs w:val="28"/>
        </w:rPr>
      </w:pPr>
      <w:r>
        <w:rPr>
          <w:rFonts w:ascii="宋体" w:hAnsi="宋体" w:eastAsia="宋体" w:cstheme="minorBidi"/>
          <w:sz w:val="28"/>
          <w:szCs w:val="28"/>
        </w:rPr>
        <w:t>项目周围没有历史文化遗产、自然遗产、风景名胜和自然景观等，无特殊环境影响。</w:t>
      </w:r>
    </w:p>
    <w:p w14:paraId="51DDFE57">
      <w:pPr>
        <w:pStyle w:val="5"/>
        <w:rPr>
          <w:rFonts w:hint="eastAsia" w:ascii="宋体" w:hAnsi="宋体" w:eastAsia="宋体" w:cs="宋体"/>
          <w:b/>
          <w:snapToGrid w:val="0"/>
          <w:color w:val="000000"/>
          <w:kern w:val="0"/>
          <w:sz w:val="28"/>
          <w:szCs w:val="28"/>
          <w:lang w:val="en-US" w:eastAsia="zh-CN" w:bidi="ar-SA"/>
        </w:rPr>
      </w:pPr>
      <w:r>
        <w:rPr>
          <w:rFonts w:hint="eastAsia" w:ascii="宋体" w:hAnsi="宋体" w:eastAsia="宋体" w:cs="宋体"/>
          <w:b/>
          <w:snapToGrid w:val="0"/>
          <w:color w:val="000000"/>
          <w:kern w:val="0"/>
          <w:sz w:val="28"/>
          <w:szCs w:val="28"/>
          <w:lang w:val="en-US" w:eastAsia="zh-CN" w:bidi="ar-SA"/>
        </w:rPr>
        <w:t>7.3.2.5 环境影响分析结论</w:t>
      </w:r>
    </w:p>
    <w:p w14:paraId="4FACF0E1">
      <w:pPr>
        <w:keepNext w:val="0"/>
        <w:keepLines w:val="0"/>
        <w:pageBreakBefore w:val="0"/>
        <w:widowControl/>
        <w:kinsoku/>
        <w:wordWrap/>
        <w:overflowPunct/>
        <w:topLinePunct/>
        <w:autoSpaceDE/>
        <w:autoSpaceDN/>
        <w:bidi w:val="0"/>
        <w:adjustRightInd/>
        <w:snapToGrid/>
        <w:spacing w:before="0" w:beforeLines="50" w:after="0" w:afterLines="50" w:line="360" w:lineRule="auto"/>
        <w:ind w:firstLine="560" w:firstLineChars="200"/>
        <w:jc w:val="both"/>
        <w:textAlignment w:val="auto"/>
        <w:rPr>
          <w:rFonts w:ascii="宋体" w:hAnsi="宋体" w:eastAsia="宋体" w:cstheme="minorBidi"/>
          <w:sz w:val="28"/>
          <w:szCs w:val="28"/>
        </w:rPr>
      </w:pPr>
      <w:r>
        <w:rPr>
          <w:rFonts w:ascii="宋体" w:hAnsi="宋体" w:eastAsia="宋体" w:cstheme="minorBidi"/>
          <w:sz w:val="28"/>
          <w:szCs w:val="28"/>
        </w:rPr>
        <w:t>本项目在建设期和运营期通过采取适当的污染防治措施对污染物进行妥当处理，可以做到废气、废水、噪声及固体废弃物达标排放；并严格执行环保设施与主体工程同时设计、同时施工、同时投入运行的"三同时"制度，将对环境的影响降到最小。</w:t>
      </w:r>
    </w:p>
    <w:p w14:paraId="1E0EED05">
      <w:pPr>
        <w:keepNext w:val="0"/>
        <w:keepLines w:val="0"/>
        <w:pageBreakBefore w:val="0"/>
        <w:widowControl/>
        <w:kinsoku/>
        <w:wordWrap/>
        <w:overflowPunct/>
        <w:topLinePunct/>
        <w:autoSpaceDE/>
        <w:autoSpaceDN/>
        <w:bidi w:val="0"/>
        <w:adjustRightInd/>
        <w:snapToGrid/>
        <w:spacing w:before="0" w:beforeLines="50" w:after="0" w:afterLines="50" w:line="360" w:lineRule="auto"/>
        <w:ind w:firstLine="560" w:firstLineChars="200"/>
        <w:jc w:val="both"/>
        <w:textAlignment w:val="auto"/>
        <w:rPr>
          <w:rFonts w:ascii="宋体" w:hAnsi="宋体" w:eastAsia="宋体" w:cstheme="minorBidi"/>
          <w:sz w:val="28"/>
          <w:szCs w:val="28"/>
        </w:rPr>
      </w:pPr>
      <w:r>
        <w:rPr>
          <w:rFonts w:ascii="宋体" w:hAnsi="宋体" w:eastAsia="宋体" w:cstheme="minorBidi"/>
          <w:sz w:val="28"/>
          <w:szCs w:val="28"/>
        </w:rPr>
        <w:t>因此，从环境保护的角度进行分析，本项目的建设是可行的。</w:t>
      </w:r>
    </w:p>
    <w:p w14:paraId="07DDABCB">
      <w:pPr>
        <w:pStyle w:val="3"/>
        <w:rPr>
          <w:rFonts w:hint="eastAsia" w:ascii="宋体" w:hAnsi="宋体" w:eastAsia="宋体" w:cs="宋体"/>
          <w:b/>
          <w:snapToGrid w:val="0"/>
          <w:color w:val="000000"/>
          <w:kern w:val="0"/>
          <w:sz w:val="28"/>
          <w:szCs w:val="28"/>
          <w:lang w:val="en-US" w:eastAsia="zh-CN" w:bidi="ar-SA"/>
        </w:rPr>
      </w:pPr>
      <w:r>
        <w:rPr>
          <w:rFonts w:hint="eastAsia" w:ascii="宋体" w:hAnsi="宋体" w:eastAsia="宋体" w:cs="宋体"/>
          <w:b/>
          <w:snapToGrid w:val="0"/>
          <w:color w:val="000000"/>
          <w:kern w:val="0"/>
          <w:sz w:val="28"/>
          <w:szCs w:val="28"/>
          <w:lang w:val="en-US" w:eastAsia="zh-CN" w:bidi="ar-SA"/>
        </w:rPr>
        <w:t>7.4 资源和能源利用效果分析</w:t>
      </w:r>
    </w:p>
    <w:p w14:paraId="06E10DBA">
      <w:pPr>
        <w:pStyle w:val="4"/>
        <w:rPr>
          <w:rFonts w:hint="eastAsia" w:ascii="宋体" w:hAnsi="宋体" w:eastAsia="宋体" w:cs="宋体"/>
          <w:b/>
          <w:snapToGrid w:val="0"/>
          <w:color w:val="000000"/>
          <w:kern w:val="0"/>
          <w:sz w:val="28"/>
          <w:szCs w:val="28"/>
          <w:lang w:val="en-US" w:eastAsia="zh-CN" w:bidi="ar-SA"/>
        </w:rPr>
      </w:pPr>
      <w:r>
        <w:rPr>
          <w:rFonts w:hint="eastAsia" w:ascii="宋体" w:hAnsi="宋体" w:eastAsia="宋体" w:cs="宋体"/>
          <w:b/>
          <w:snapToGrid w:val="0"/>
          <w:color w:val="000000"/>
          <w:kern w:val="0"/>
          <w:sz w:val="28"/>
          <w:szCs w:val="28"/>
          <w:lang w:val="en-US" w:eastAsia="zh-CN" w:bidi="ar-SA"/>
        </w:rPr>
        <w:t>7.4.1 项目所需消耗的资源品种、数量、来源情况</w:t>
      </w:r>
    </w:p>
    <w:p w14:paraId="78D2A7F2">
      <w:pPr>
        <w:keepNext w:val="0"/>
        <w:keepLines w:val="0"/>
        <w:pageBreakBefore w:val="0"/>
        <w:widowControl/>
        <w:kinsoku/>
        <w:wordWrap/>
        <w:overflowPunct/>
        <w:topLinePunct/>
        <w:autoSpaceDE/>
        <w:autoSpaceDN/>
        <w:bidi w:val="0"/>
        <w:adjustRightInd/>
        <w:snapToGrid/>
        <w:spacing w:before="0" w:beforeLines="50" w:after="0" w:afterLines="50" w:line="360" w:lineRule="auto"/>
        <w:ind w:firstLine="560" w:firstLineChars="200"/>
        <w:jc w:val="both"/>
        <w:textAlignment w:val="auto"/>
        <w:rPr>
          <w:rFonts w:ascii="宋体" w:hAnsi="宋体" w:eastAsia="宋体" w:cstheme="minorBidi"/>
          <w:sz w:val="28"/>
          <w:szCs w:val="28"/>
        </w:rPr>
      </w:pPr>
      <w:r>
        <w:rPr>
          <w:rFonts w:ascii="宋体" w:hAnsi="宋体" w:eastAsia="宋体" w:cstheme="minorBidi"/>
          <w:sz w:val="28"/>
          <w:szCs w:val="28"/>
        </w:rPr>
        <w:t>本项目属于新能源发电类项目，非高耗能、高耗水项目。项目运营阶段主要消耗的资源包括：少量淡水用于光伏组件定期清洗，年用水量有限，水源可利用矿区现有供水系统或收集雨水；电力主要用于站内设备运行和照明，由项目自身光伏发电系统供给；项目不涉及燃料消耗和原材料大规模投入。项目所需的核心资源为太阳能，当地年日照时数超过2100小时，太阳能资源较为丰富，能够保障光伏发电系统的稳定运行。储能系统运营中不涉及水资源消耗，主要通过电力充放电实现功能。</w:t>
      </w:r>
    </w:p>
    <w:p w14:paraId="38C5B93F">
      <w:pPr>
        <w:pStyle w:val="3"/>
        <w:rPr>
          <w:rFonts w:hint="eastAsia" w:ascii="宋体" w:hAnsi="宋体" w:eastAsia="宋体" w:cs="宋体"/>
          <w:b/>
          <w:snapToGrid w:val="0"/>
          <w:color w:val="000000"/>
          <w:kern w:val="0"/>
          <w:sz w:val="28"/>
          <w:szCs w:val="28"/>
          <w:lang w:val="en-US" w:eastAsia="zh-CN" w:bidi="ar-SA"/>
        </w:rPr>
      </w:pPr>
      <w:r>
        <w:rPr>
          <w:rFonts w:hint="eastAsia" w:ascii="宋体" w:hAnsi="宋体" w:eastAsia="宋体" w:cs="宋体"/>
          <w:b/>
          <w:snapToGrid w:val="0"/>
          <w:color w:val="000000"/>
          <w:kern w:val="0"/>
          <w:sz w:val="28"/>
          <w:szCs w:val="28"/>
          <w:lang w:val="en-US" w:eastAsia="zh-CN" w:bidi="ar-SA"/>
        </w:rPr>
        <w:t>7.4.2 资源综合利用方案和资源节约措施</w:t>
      </w:r>
    </w:p>
    <w:p w14:paraId="0EF9E71C">
      <w:pPr>
        <w:keepNext w:val="0"/>
        <w:keepLines w:val="0"/>
        <w:pageBreakBefore w:val="0"/>
        <w:widowControl/>
        <w:kinsoku/>
        <w:wordWrap/>
        <w:overflowPunct/>
        <w:topLinePunct/>
        <w:autoSpaceDE/>
        <w:autoSpaceDN/>
        <w:bidi w:val="0"/>
        <w:adjustRightInd/>
        <w:snapToGrid/>
        <w:spacing w:before="0" w:beforeLines="50" w:after="0" w:afterLines="50" w:line="360" w:lineRule="auto"/>
        <w:ind w:firstLine="560" w:firstLineChars="200"/>
        <w:jc w:val="both"/>
        <w:textAlignment w:val="auto"/>
        <w:rPr>
          <w:rFonts w:ascii="宋体" w:hAnsi="宋体" w:eastAsia="宋体" w:cstheme="minorBidi"/>
          <w:sz w:val="28"/>
          <w:szCs w:val="28"/>
        </w:rPr>
      </w:pPr>
      <w:r>
        <w:rPr>
          <w:rFonts w:ascii="宋体" w:hAnsi="宋体" w:eastAsia="宋体" w:cstheme="minorBidi"/>
          <w:sz w:val="28"/>
          <w:szCs w:val="28"/>
        </w:rPr>
        <w:t>节能是国家发展经济的一项长远战略方针。节能是指加强用能管理，采用技术上可行、经济上合理以及环境和社会可以承受的措施，减少从能源生产到消费各个环节中的损失和浪费，更加有效、合理地利用能源，提高能源利用效率和经济效益，以保护环境，保障国民经济和社会的发展，满足人民生活需要。根据项目建设的不同阶段，采取相应的措施进行节能。</w:t>
      </w:r>
    </w:p>
    <w:p w14:paraId="3C3D7679">
      <w:pPr>
        <w:keepNext w:val="0"/>
        <w:keepLines w:val="0"/>
        <w:pageBreakBefore w:val="0"/>
        <w:widowControl/>
        <w:kinsoku/>
        <w:wordWrap/>
        <w:overflowPunct/>
        <w:topLinePunct/>
        <w:autoSpaceDE/>
        <w:autoSpaceDN/>
        <w:bidi w:val="0"/>
        <w:adjustRightInd/>
        <w:snapToGrid/>
        <w:spacing w:before="0" w:beforeLines="50" w:after="0" w:afterLines="50" w:line="360" w:lineRule="auto"/>
        <w:ind w:firstLine="560" w:firstLineChars="200"/>
        <w:jc w:val="both"/>
        <w:textAlignment w:val="auto"/>
        <w:rPr>
          <w:rFonts w:ascii="宋体" w:hAnsi="宋体" w:eastAsia="宋体" w:cstheme="minorBidi"/>
          <w:sz w:val="28"/>
          <w:szCs w:val="28"/>
        </w:rPr>
      </w:pPr>
      <w:r>
        <w:rPr>
          <w:rFonts w:ascii="宋体" w:hAnsi="宋体" w:eastAsia="宋体" w:cstheme="minorBidi"/>
          <w:sz w:val="28"/>
          <w:szCs w:val="28"/>
        </w:rPr>
        <w:t>1、电气节能</w:t>
      </w:r>
    </w:p>
    <w:p w14:paraId="0D348CB1">
      <w:pPr>
        <w:keepNext w:val="0"/>
        <w:keepLines w:val="0"/>
        <w:pageBreakBefore w:val="0"/>
        <w:widowControl/>
        <w:kinsoku/>
        <w:wordWrap/>
        <w:overflowPunct/>
        <w:topLinePunct/>
        <w:autoSpaceDE/>
        <w:autoSpaceDN/>
        <w:bidi w:val="0"/>
        <w:adjustRightInd/>
        <w:snapToGrid/>
        <w:spacing w:before="0" w:beforeLines="50" w:after="0" w:afterLines="50" w:line="360" w:lineRule="auto"/>
        <w:ind w:firstLine="560" w:firstLineChars="200"/>
        <w:jc w:val="both"/>
        <w:textAlignment w:val="auto"/>
        <w:rPr>
          <w:rFonts w:ascii="宋体" w:hAnsi="宋体" w:eastAsia="宋体" w:cstheme="minorBidi"/>
          <w:sz w:val="28"/>
          <w:szCs w:val="28"/>
        </w:rPr>
      </w:pPr>
      <w:r>
        <w:rPr>
          <w:rFonts w:ascii="宋体" w:hAnsi="宋体" w:eastAsia="宋体" w:cstheme="minorBidi"/>
          <w:sz w:val="28"/>
          <w:szCs w:val="28"/>
        </w:rPr>
        <w:t>（1）节能设备的选用及节电控制措施：变压器选用过载能力强、低损耗、低噪音、体积小、维护方便的干式变压器，并选择合适的装机容量，减少设备本身的能源消耗；对于季节性负荷设专用变压器供电；水泵、风机等设备均采用节能型设备并采取合适的节电控制方案；功率较大的电动机采用高压电动机，对大容量交流异步电动机采用恒频变压软启动器启动，改善启动特性；照明采用LED节能灯盘，走道、楼梯间照明及应急照明均采用LED灯光源，办公区域走道、楼梯间照明采用人体感应节能自熄开关。</w:t>
      </w:r>
    </w:p>
    <w:p w14:paraId="6B854A6C">
      <w:pPr>
        <w:keepNext w:val="0"/>
        <w:keepLines w:val="0"/>
        <w:pageBreakBefore w:val="0"/>
        <w:widowControl/>
        <w:kinsoku/>
        <w:wordWrap/>
        <w:overflowPunct/>
        <w:topLinePunct/>
        <w:autoSpaceDE/>
        <w:autoSpaceDN/>
        <w:bidi w:val="0"/>
        <w:adjustRightInd/>
        <w:snapToGrid/>
        <w:spacing w:before="0" w:beforeLines="50" w:after="0" w:afterLines="50" w:line="360" w:lineRule="auto"/>
        <w:ind w:firstLine="560" w:firstLineChars="200"/>
        <w:jc w:val="both"/>
        <w:textAlignment w:val="auto"/>
        <w:rPr>
          <w:rFonts w:ascii="宋体" w:hAnsi="宋体" w:eastAsia="宋体" w:cstheme="minorBidi"/>
          <w:sz w:val="28"/>
          <w:szCs w:val="28"/>
        </w:rPr>
      </w:pPr>
      <w:r>
        <w:rPr>
          <w:rFonts w:ascii="宋体" w:hAnsi="宋体" w:eastAsia="宋体" w:cstheme="minorBidi"/>
          <w:sz w:val="28"/>
          <w:szCs w:val="28"/>
        </w:rPr>
        <w:t>（2）功率因数的提高及谐波治理：照明灯具均采用高功率因数的电子镇流器；变电所内采用低压集中无功动态补偿装置，补偿后的功率因数大于0.93；变电所设谐波保护装置以抑制系统谐波，提高供电质量。</w:t>
      </w:r>
    </w:p>
    <w:p w14:paraId="7D69FD59">
      <w:pPr>
        <w:keepNext w:val="0"/>
        <w:keepLines w:val="0"/>
        <w:pageBreakBefore w:val="0"/>
        <w:widowControl/>
        <w:kinsoku/>
        <w:wordWrap/>
        <w:overflowPunct/>
        <w:topLinePunct/>
        <w:autoSpaceDE/>
        <w:autoSpaceDN/>
        <w:bidi w:val="0"/>
        <w:adjustRightInd/>
        <w:snapToGrid/>
        <w:spacing w:before="0" w:beforeLines="50" w:after="0" w:afterLines="50" w:line="360" w:lineRule="auto"/>
        <w:ind w:firstLine="560" w:firstLineChars="200"/>
        <w:jc w:val="both"/>
        <w:textAlignment w:val="auto"/>
        <w:rPr>
          <w:rFonts w:ascii="宋体" w:hAnsi="宋体" w:eastAsia="宋体" w:cstheme="minorBidi"/>
          <w:sz w:val="28"/>
          <w:szCs w:val="28"/>
        </w:rPr>
      </w:pPr>
      <w:r>
        <w:rPr>
          <w:rFonts w:ascii="宋体" w:hAnsi="宋体" w:eastAsia="宋体" w:cstheme="minorBidi"/>
          <w:sz w:val="28"/>
          <w:szCs w:val="28"/>
        </w:rPr>
        <w:t>（3）照度及照明功率密度值的确定：选择合理的照度标准，选用合适的光源及高效节能灯具，采用合理的灯具安装方式及照明配电系统，并根据建筑的使用条件和天然采光状况采用合理有效的照明控制装置来实施。</w:t>
      </w:r>
    </w:p>
    <w:p w14:paraId="1D44E94D">
      <w:pPr>
        <w:keepNext w:val="0"/>
        <w:keepLines w:val="0"/>
        <w:pageBreakBefore w:val="0"/>
        <w:widowControl/>
        <w:kinsoku/>
        <w:wordWrap/>
        <w:overflowPunct/>
        <w:topLinePunct/>
        <w:autoSpaceDE/>
        <w:autoSpaceDN/>
        <w:bidi w:val="0"/>
        <w:adjustRightInd/>
        <w:snapToGrid/>
        <w:spacing w:before="0" w:beforeLines="50" w:after="0" w:afterLines="50" w:line="360" w:lineRule="auto"/>
        <w:ind w:firstLine="560" w:firstLineChars="200"/>
        <w:jc w:val="both"/>
        <w:textAlignment w:val="auto"/>
        <w:rPr>
          <w:rFonts w:ascii="宋体" w:hAnsi="宋体" w:eastAsia="宋体" w:cstheme="minorBidi"/>
          <w:sz w:val="28"/>
          <w:szCs w:val="28"/>
        </w:rPr>
      </w:pPr>
      <w:r>
        <w:rPr>
          <w:rFonts w:ascii="宋体" w:hAnsi="宋体" w:eastAsia="宋体" w:cstheme="minorBidi"/>
          <w:sz w:val="28"/>
          <w:szCs w:val="28"/>
        </w:rPr>
        <w:t>（4）本工程设置的变配电所均靠近每个区域的用电负荷中心，缩短线缆、母线的长度。</w:t>
      </w:r>
    </w:p>
    <w:p w14:paraId="5D1807E3">
      <w:pPr>
        <w:keepNext w:val="0"/>
        <w:keepLines w:val="0"/>
        <w:pageBreakBefore w:val="0"/>
        <w:widowControl/>
        <w:kinsoku/>
        <w:wordWrap/>
        <w:overflowPunct/>
        <w:topLinePunct/>
        <w:autoSpaceDE/>
        <w:autoSpaceDN/>
        <w:bidi w:val="0"/>
        <w:adjustRightInd/>
        <w:snapToGrid/>
        <w:spacing w:before="0" w:beforeLines="50" w:after="0" w:afterLines="50" w:line="360" w:lineRule="auto"/>
        <w:ind w:firstLine="560" w:firstLineChars="200"/>
        <w:jc w:val="both"/>
        <w:textAlignment w:val="auto"/>
        <w:rPr>
          <w:rFonts w:ascii="宋体" w:hAnsi="宋体" w:eastAsia="宋体" w:cstheme="minorBidi"/>
          <w:sz w:val="28"/>
          <w:szCs w:val="28"/>
        </w:rPr>
      </w:pPr>
      <w:r>
        <w:rPr>
          <w:rFonts w:ascii="宋体" w:hAnsi="宋体" w:eastAsia="宋体" w:cstheme="minorBidi"/>
          <w:sz w:val="28"/>
          <w:szCs w:val="28"/>
        </w:rPr>
        <w:t>（5）多项分级计量：本工程供配电系统采用能源管理系统，对各类型负荷均能实现电能的计量、统计、分析，实现本工程变配电设备自动化监测和管理。</w:t>
      </w:r>
    </w:p>
    <w:p w14:paraId="47F29BC0">
      <w:pPr>
        <w:keepNext w:val="0"/>
        <w:keepLines w:val="0"/>
        <w:pageBreakBefore w:val="0"/>
        <w:widowControl/>
        <w:kinsoku/>
        <w:wordWrap/>
        <w:overflowPunct/>
        <w:topLinePunct/>
        <w:autoSpaceDE/>
        <w:autoSpaceDN/>
        <w:bidi w:val="0"/>
        <w:adjustRightInd/>
        <w:snapToGrid/>
        <w:spacing w:before="0" w:beforeLines="50" w:after="0" w:afterLines="50" w:line="360" w:lineRule="auto"/>
        <w:ind w:firstLine="560" w:firstLineChars="200"/>
        <w:jc w:val="both"/>
        <w:textAlignment w:val="auto"/>
        <w:rPr>
          <w:rFonts w:ascii="宋体" w:hAnsi="宋体" w:eastAsia="宋体" w:cstheme="minorBidi"/>
          <w:sz w:val="28"/>
          <w:szCs w:val="28"/>
        </w:rPr>
      </w:pPr>
      <w:r>
        <w:rPr>
          <w:rFonts w:ascii="宋体" w:hAnsi="宋体" w:eastAsia="宋体" w:cstheme="minorBidi"/>
          <w:sz w:val="28"/>
          <w:szCs w:val="28"/>
        </w:rPr>
        <w:t>（6）配电线路的选择：通过计算合理的选择导线的截面及线路敷设方案，降低配电线路的损耗；采用单芯电缆组成的供配电回路时，电缆呈品字形敷设以降低线路阻抗。</w:t>
      </w:r>
    </w:p>
    <w:p w14:paraId="59113BE2">
      <w:pPr>
        <w:keepNext w:val="0"/>
        <w:keepLines w:val="0"/>
        <w:pageBreakBefore w:val="0"/>
        <w:widowControl/>
        <w:kinsoku/>
        <w:wordWrap/>
        <w:overflowPunct/>
        <w:topLinePunct/>
        <w:autoSpaceDE/>
        <w:autoSpaceDN/>
        <w:bidi w:val="0"/>
        <w:adjustRightInd/>
        <w:snapToGrid/>
        <w:spacing w:before="0" w:beforeLines="50" w:after="0" w:afterLines="50" w:line="360" w:lineRule="auto"/>
        <w:ind w:firstLine="560" w:firstLineChars="200"/>
        <w:jc w:val="both"/>
        <w:textAlignment w:val="auto"/>
        <w:rPr>
          <w:rFonts w:ascii="宋体" w:hAnsi="宋体" w:eastAsia="宋体" w:cstheme="minorBidi"/>
          <w:sz w:val="28"/>
          <w:szCs w:val="28"/>
        </w:rPr>
      </w:pPr>
      <w:r>
        <w:rPr>
          <w:rFonts w:ascii="宋体" w:hAnsi="宋体" w:eastAsia="宋体" w:cstheme="minorBidi"/>
          <w:sz w:val="28"/>
          <w:szCs w:val="28"/>
        </w:rPr>
        <w:t>本工程在设计中根据地理环境和应用条件，充分考虑自然光、太阳能等新型能源的应用。</w:t>
      </w:r>
    </w:p>
    <w:p w14:paraId="4EC3EFF1">
      <w:pPr>
        <w:keepNext w:val="0"/>
        <w:keepLines w:val="0"/>
        <w:pageBreakBefore w:val="0"/>
        <w:widowControl/>
        <w:kinsoku/>
        <w:wordWrap/>
        <w:overflowPunct/>
        <w:topLinePunct/>
        <w:autoSpaceDE/>
        <w:autoSpaceDN/>
        <w:bidi w:val="0"/>
        <w:adjustRightInd/>
        <w:snapToGrid/>
        <w:spacing w:before="0" w:beforeLines="50" w:after="0" w:afterLines="50" w:line="360" w:lineRule="auto"/>
        <w:ind w:firstLine="560" w:firstLineChars="200"/>
        <w:jc w:val="both"/>
        <w:textAlignment w:val="auto"/>
        <w:rPr>
          <w:rFonts w:ascii="宋体" w:hAnsi="宋体" w:eastAsia="宋体" w:cstheme="minorBidi"/>
          <w:sz w:val="28"/>
          <w:szCs w:val="28"/>
        </w:rPr>
      </w:pPr>
      <w:r>
        <w:rPr>
          <w:rFonts w:ascii="宋体" w:hAnsi="宋体" w:eastAsia="宋体" w:cstheme="minorBidi"/>
          <w:sz w:val="28"/>
          <w:szCs w:val="28"/>
        </w:rPr>
        <w:t>2、节水措施</w:t>
      </w:r>
    </w:p>
    <w:p w14:paraId="72C629B5">
      <w:pPr>
        <w:keepNext w:val="0"/>
        <w:keepLines w:val="0"/>
        <w:pageBreakBefore w:val="0"/>
        <w:widowControl/>
        <w:kinsoku/>
        <w:wordWrap/>
        <w:overflowPunct/>
        <w:topLinePunct/>
        <w:autoSpaceDE/>
        <w:autoSpaceDN/>
        <w:bidi w:val="0"/>
        <w:adjustRightInd/>
        <w:snapToGrid/>
        <w:spacing w:before="0" w:beforeLines="50" w:after="0" w:afterLines="50" w:line="360" w:lineRule="auto"/>
        <w:ind w:firstLine="560" w:firstLineChars="200"/>
        <w:jc w:val="both"/>
        <w:textAlignment w:val="auto"/>
        <w:rPr>
          <w:rFonts w:ascii="宋体" w:hAnsi="宋体" w:eastAsia="宋体" w:cstheme="minorBidi"/>
          <w:sz w:val="28"/>
          <w:szCs w:val="28"/>
        </w:rPr>
      </w:pPr>
      <w:r>
        <w:rPr>
          <w:rFonts w:ascii="宋体" w:hAnsi="宋体" w:eastAsia="宋体" w:cstheme="minorBidi"/>
          <w:sz w:val="28"/>
          <w:szCs w:val="28"/>
        </w:rPr>
        <w:t>（1）供水系统中，尽量使用节能型阀门、水龙头等产品，做到有效合理用水，减少浪费；</w:t>
      </w:r>
    </w:p>
    <w:p w14:paraId="1F9890AA">
      <w:pPr>
        <w:keepNext w:val="0"/>
        <w:keepLines w:val="0"/>
        <w:pageBreakBefore w:val="0"/>
        <w:widowControl/>
        <w:kinsoku/>
        <w:wordWrap/>
        <w:overflowPunct/>
        <w:topLinePunct/>
        <w:autoSpaceDE/>
        <w:autoSpaceDN/>
        <w:bidi w:val="0"/>
        <w:adjustRightInd/>
        <w:snapToGrid/>
        <w:spacing w:before="0" w:beforeLines="50" w:after="0" w:afterLines="50" w:line="360" w:lineRule="auto"/>
        <w:ind w:firstLine="560" w:firstLineChars="200"/>
        <w:jc w:val="both"/>
        <w:textAlignment w:val="auto"/>
        <w:rPr>
          <w:rFonts w:ascii="宋体" w:hAnsi="宋体" w:eastAsia="宋体" w:cstheme="minorBidi"/>
          <w:sz w:val="28"/>
          <w:szCs w:val="28"/>
        </w:rPr>
      </w:pPr>
      <w:r>
        <w:rPr>
          <w:rFonts w:ascii="宋体" w:hAnsi="宋体" w:eastAsia="宋体" w:cstheme="minorBidi"/>
          <w:sz w:val="28"/>
          <w:szCs w:val="28"/>
        </w:rPr>
        <w:t>（2）经常检查供水系统是否正常，及时堵漏，以杜绝水从地下白白流失；</w:t>
      </w:r>
    </w:p>
    <w:p w14:paraId="668FF69E">
      <w:pPr>
        <w:keepNext w:val="0"/>
        <w:keepLines w:val="0"/>
        <w:pageBreakBefore w:val="0"/>
        <w:widowControl/>
        <w:kinsoku/>
        <w:wordWrap/>
        <w:overflowPunct/>
        <w:topLinePunct/>
        <w:autoSpaceDE/>
        <w:autoSpaceDN/>
        <w:bidi w:val="0"/>
        <w:adjustRightInd/>
        <w:snapToGrid/>
        <w:spacing w:before="0" w:beforeLines="50" w:after="0" w:afterLines="50" w:line="360" w:lineRule="auto"/>
        <w:ind w:firstLine="560" w:firstLineChars="200"/>
        <w:jc w:val="both"/>
        <w:textAlignment w:val="auto"/>
        <w:rPr>
          <w:rFonts w:ascii="宋体" w:hAnsi="宋体" w:eastAsia="宋体" w:cstheme="minorBidi"/>
          <w:sz w:val="28"/>
          <w:szCs w:val="28"/>
        </w:rPr>
      </w:pPr>
      <w:r>
        <w:rPr>
          <w:rFonts w:ascii="宋体" w:hAnsi="宋体" w:eastAsia="宋体" w:cstheme="minorBidi"/>
          <w:sz w:val="28"/>
          <w:szCs w:val="28"/>
        </w:rPr>
        <w:t>（3）制定用水、节水相关制度，树立自觉节水、节水人人有责的意识；</w:t>
      </w:r>
    </w:p>
    <w:p w14:paraId="0993475F">
      <w:pPr>
        <w:keepNext w:val="0"/>
        <w:keepLines w:val="0"/>
        <w:pageBreakBefore w:val="0"/>
        <w:widowControl/>
        <w:kinsoku/>
        <w:wordWrap/>
        <w:overflowPunct/>
        <w:topLinePunct/>
        <w:autoSpaceDE/>
        <w:autoSpaceDN/>
        <w:bidi w:val="0"/>
        <w:adjustRightInd/>
        <w:snapToGrid/>
        <w:spacing w:before="0" w:beforeLines="50" w:after="0" w:afterLines="50" w:line="360" w:lineRule="auto"/>
        <w:ind w:firstLine="560" w:firstLineChars="200"/>
        <w:jc w:val="both"/>
        <w:textAlignment w:val="auto"/>
        <w:rPr>
          <w:rFonts w:ascii="宋体" w:hAnsi="宋体" w:eastAsia="宋体" w:cstheme="minorBidi"/>
          <w:sz w:val="28"/>
          <w:szCs w:val="28"/>
        </w:rPr>
      </w:pPr>
      <w:r>
        <w:rPr>
          <w:rFonts w:ascii="宋体" w:hAnsi="宋体" w:eastAsia="宋体" w:cstheme="minorBidi"/>
          <w:sz w:val="28"/>
          <w:szCs w:val="28"/>
        </w:rPr>
        <w:t>（4）提高用水回收率和重复利用率；</w:t>
      </w:r>
    </w:p>
    <w:p w14:paraId="7B23FA30">
      <w:pPr>
        <w:keepNext w:val="0"/>
        <w:keepLines w:val="0"/>
        <w:pageBreakBefore w:val="0"/>
        <w:widowControl/>
        <w:kinsoku/>
        <w:wordWrap/>
        <w:overflowPunct/>
        <w:topLinePunct/>
        <w:autoSpaceDE/>
        <w:autoSpaceDN/>
        <w:bidi w:val="0"/>
        <w:adjustRightInd/>
        <w:snapToGrid/>
        <w:spacing w:before="0" w:beforeLines="50" w:after="0" w:afterLines="50" w:line="360" w:lineRule="auto"/>
        <w:ind w:firstLine="560" w:firstLineChars="200"/>
        <w:jc w:val="both"/>
        <w:textAlignment w:val="auto"/>
        <w:rPr>
          <w:rFonts w:ascii="宋体" w:hAnsi="宋体" w:eastAsia="宋体" w:cstheme="minorBidi"/>
          <w:sz w:val="28"/>
          <w:szCs w:val="28"/>
        </w:rPr>
      </w:pPr>
      <w:r>
        <w:rPr>
          <w:rFonts w:ascii="宋体" w:hAnsi="宋体" w:eastAsia="宋体" w:cstheme="minorBidi"/>
          <w:sz w:val="28"/>
          <w:szCs w:val="28"/>
        </w:rPr>
        <w:t>（5）卫生间采用节水型设备和器具，如采用感应式阀门，冲水采用自闭式冲水阀等，降低水资源的无效消耗，达到节约用水的目的；</w:t>
      </w:r>
    </w:p>
    <w:p w14:paraId="0BC98988">
      <w:pPr>
        <w:keepNext w:val="0"/>
        <w:keepLines w:val="0"/>
        <w:pageBreakBefore w:val="0"/>
        <w:widowControl/>
        <w:kinsoku/>
        <w:wordWrap/>
        <w:overflowPunct/>
        <w:topLinePunct/>
        <w:autoSpaceDE/>
        <w:autoSpaceDN/>
        <w:bidi w:val="0"/>
        <w:adjustRightInd/>
        <w:snapToGrid/>
        <w:spacing w:before="0" w:beforeLines="50" w:after="0" w:afterLines="50" w:line="360" w:lineRule="auto"/>
        <w:ind w:firstLine="560" w:firstLineChars="200"/>
        <w:jc w:val="both"/>
        <w:textAlignment w:val="auto"/>
        <w:rPr>
          <w:rFonts w:ascii="宋体" w:hAnsi="宋体" w:eastAsia="宋体" w:cstheme="minorBidi"/>
          <w:sz w:val="28"/>
          <w:szCs w:val="28"/>
        </w:rPr>
      </w:pPr>
      <w:r>
        <w:rPr>
          <w:rFonts w:ascii="宋体" w:hAnsi="宋体" w:eastAsia="宋体" w:cstheme="minorBidi"/>
          <w:sz w:val="28"/>
          <w:szCs w:val="28"/>
        </w:rPr>
        <w:t>（6）回收雨水作为浇洒绿地用水；</w:t>
      </w:r>
    </w:p>
    <w:p w14:paraId="2B288F25">
      <w:pPr>
        <w:keepNext w:val="0"/>
        <w:keepLines w:val="0"/>
        <w:pageBreakBefore w:val="0"/>
        <w:widowControl/>
        <w:kinsoku/>
        <w:wordWrap/>
        <w:overflowPunct/>
        <w:topLinePunct/>
        <w:autoSpaceDE/>
        <w:autoSpaceDN/>
        <w:bidi w:val="0"/>
        <w:adjustRightInd/>
        <w:snapToGrid/>
        <w:spacing w:before="0" w:beforeLines="50" w:after="0" w:afterLines="50" w:line="360" w:lineRule="auto"/>
        <w:ind w:firstLine="560" w:firstLineChars="200"/>
        <w:jc w:val="both"/>
        <w:textAlignment w:val="auto"/>
        <w:rPr>
          <w:rFonts w:ascii="宋体" w:hAnsi="宋体" w:eastAsia="宋体" w:cstheme="minorBidi"/>
          <w:sz w:val="28"/>
          <w:szCs w:val="28"/>
        </w:rPr>
      </w:pPr>
      <w:r>
        <w:rPr>
          <w:rFonts w:ascii="宋体" w:hAnsi="宋体" w:eastAsia="宋体" w:cstheme="minorBidi"/>
          <w:sz w:val="28"/>
          <w:szCs w:val="28"/>
        </w:rPr>
        <w:t>（7）量化节水指标需符合《GB/T 7119-2018节水型企业评价导则》。</w:t>
      </w:r>
    </w:p>
    <w:p w14:paraId="544EDF30">
      <w:pPr>
        <w:keepNext w:val="0"/>
        <w:keepLines w:val="0"/>
        <w:pageBreakBefore w:val="0"/>
        <w:widowControl/>
        <w:kinsoku/>
        <w:wordWrap/>
        <w:overflowPunct/>
        <w:topLinePunct/>
        <w:autoSpaceDE/>
        <w:autoSpaceDN/>
        <w:bidi w:val="0"/>
        <w:adjustRightInd/>
        <w:snapToGrid/>
        <w:spacing w:before="0" w:beforeLines="50" w:after="0" w:afterLines="50" w:line="360" w:lineRule="auto"/>
        <w:ind w:firstLine="560" w:firstLineChars="200"/>
        <w:jc w:val="both"/>
        <w:textAlignment w:val="auto"/>
        <w:rPr>
          <w:rFonts w:ascii="宋体" w:hAnsi="宋体" w:eastAsia="宋体" w:cstheme="minorBidi"/>
          <w:sz w:val="28"/>
          <w:szCs w:val="28"/>
        </w:rPr>
      </w:pPr>
      <w:r>
        <w:rPr>
          <w:rFonts w:ascii="宋体" w:hAnsi="宋体" w:eastAsia="宋体" w:cstheme="minorBidi"/>
          <w:sz w:val="28"/>
          <w:szCs w:val="28"/>
        </w:rPr>
        <w:t>3、可再生能源利用</w:t>
      </w:r>
    </w:p>
    <w:p w14:paraId="75880EF4">
      <w:pPr>
        <w:keepNext w:val="0"/>
        <w:keepLines w:val="0"/>
        <w:pageBreakBefore w:val="0"/>
        <w:widowControl/>
        <w:kinsoku/>
        <w:wordWrap/>
        <w:overflowPunct/>
        <w:topLinePunct/>
        <w:autoSpaceDE/>
        <w:autoSpaceDN/>
        <w:bidi w:val="0"/>
        <w:adjustRightInd/>
        <w:snapToGrid/>
        <w:spacing w:before="0" w:beforeLines="50" w:after="0" w:afterLines="50" w:line="360" w:lineRule="auto"/>
        <w:ind w:firstLine="560" w:firstLineChars="200"/>
        <w:jc w:val="both"/>
        <w:textAlignment w:val="auto"/>
        <w:rPr>
          <w:rFonts w:ascii="宋体" w:hAnsi="宋体" w:eastAsia="宋体" w:cstheme="minorBidi"/>
          <w:sz w:val="28"/>
          <w:szCs w:val="28"/>
        </w:rPr>
      </w:pPr>
      <w:r>
        <w:rPr>
          <w:rFonts w:ascii="宋体" w:hAnsi="宋体" w:eastAsia="宋体" w:cstheme="minorBidi"/>
          <w:sz w:val="28"/>
          <w:szCs w:val="28"/>
        </w:rPr>
        <w:t>在项目设计和实施过程中，项目单位根据实际情况考虑增加可再生能源利用措施。</w:t>
      </w:r>
    </w:p>
    <w:p w14:paraId="45834573">
      <w:pPr>
        <w:keepNext w:val="0"/>
        <w:keepLines w:val="0"/>
        <w:pageBreakBefore w:val="0"/>
        <w:widowControl/>
        <w:kinsoku/>
        <w:wordWrap/>
        <w:overflowPunct/>
        <w:topLinePunct/>
        <w:autoSpaceDE/>
        <w:autoSpaceDN/>
        <w:bidi w:val="0"/>
        <w:adjustRightInd/>
        <w:snapToGrid/>
        <w:spacing w:before="0" w:beforeLines="50" w:after="0" w:afterLines="50" w:line="360" w:lineRule="auto"/>
        <w:ind w:firstLine="560" w:firstLineChars="200"/>
        <w:jc w:val="both"/>
        <w:textAlignment w:val="auto"/>
        <w:rPr>
          <w:rFonts w:ascii="宋体" w:hAnsi="宋体" w:eastAsia="宋体" w:cstheme="minorBidi"/>
          <w:sz w:val="28"/>
          <w:szCs w:val="28"/>
        </w:rPr>
      </w:pPr>
      <w:r>
        <w:rPr>
          <w:rFonts w:ascii="宋体" w:hAnsi="宋体" w:eastAsia="宋体" w:cstheme="minorBidi"/>
          <w:sz w:val="28"/>
          <w:szCs w:val="28"/>
        </w:rPr>
        <w:t>（1）太阳能利用系统：本项目核心即为光伏发电系统，通过光伏组件将太阳能直接转换为电能，为用电企业提供清洁电力。光伏发电过程零排放、零污染，是典型的可再生能源利用方式。项目年发电量规模可观，可有效替代化石能源发电，减少碳排放。</w:t>
      </w:r>
    </w:p>
    <w:p w14:paraId="31567607">
      <w:pPr>
        <w:keepNext w:val="0"/>
        <w:keepLines w:val="0"/>
        <w:pageBreakBefore w:val="0"/>
        <w:widowControl/>
        <w:kinsoku/>
        <w:wordWrap/>
        <w:overflowPunct/>
        <w:topLinePunct/>
        <w:autoSpaceDE/>
        <w:autoSpaceDN/>
        <w:bidi w:val="0"/>
        <w:adjustRightInd/>
        <w:snapToGrid/>
        <w:spacing w:before="0" w:beforeLines="50" w:after="0" w:afterLines="50" w:line="360" w:lineRule="auto"/>
        <w:ind w:firstLine="560" w:firstLineChars="200"/>
        <w:jc w:val="both"/>
        <w:textAlignment w:val="auto"/>
        <w:rPr>
          <w:rFonts w:ascii="宋体" w:hAnsi="宋体" w:eastAsia="宋体" w:cstheme="minorBidi"/>
          <w:sz w:val="28"/>
          <w:szCs w:val="28"/>
        </w:rPr>
      </w:pPr>
      <w:r>
        <w:rPr>
          <w:rFonts w:ascii="宋体" w:hAnsi="宋体" w:eastAsia="宋体" w:cstheme="minorBidi"/>
          <w:sz w:val="28"/>
          <w:szCs w:val="28"/>
        </w:rPr>
        <w:t>（2）生物质能源利用：项目在光伏板下种植超级芦竹，作为能源植物进行生物质能源开发。超级芦竹热值接近中等品质煤炭，硫含量低，可作为清洁生物质燃料使用。收获后的芦竹可用于生物质发电、供热或转化为生物天然气等能源产品，实现生物质资源的循环利用。</w:t>
      </w:r>
    </w:p>
    <w:p w14:paraId="1A282B05">
      <w:pPr>
        <w:keepNext w:val="0"/>
        <w:keepLines w:val="0"/>
        <w:pageBreakBefore w:val="0"/>
        <w:widowControl/>
        <w:kinsoku/>
        <w:wordWrap/>
        <w:overflowPunct/>
        <w:topLinePunct/>
        <w:autoSpaceDE/>
        <w:autoSpaceDN/>
        <w:bidi w:val="0"/>
        <w:adjustRightInd/>
        <w:snapToGrid/>
        <w:spacing w:before="0" w:beforeLines="50" w:after="0" w:afterLines="50" w:line="360" w:lineRule="auto"/>
        <w:ind w:firstLine="560" w:firstLineChars="200"/>
        <w:jc w:val="both"/>
        <w:textAlignment w:val="auto"/>
        <w:rPr>
          <w:rFonts w:ascii="宋体" w:hAnsi="宋体" w:eastAsia="宋体" w:cstheme="minorBidi"/>
          <w:sz w:val="28"/>
          <w:szCs w:val="28"/>
        </w:rPr>
      </w:pPr>
      <w:r>
        <w:rPr>
          <w:rFonts w:ascii="宋体" w:hAnsi="宋体" w:eastAsia="宋体" w:cstheme="minorBidi"/>
          <w:sz w:val="28"/>
          <w:szCs w:val="28"/>
        </w:rPr>
        <w:t>（3）雨水收集处理技术：为节约用水，建议项目单位考虑对雨水进行收集利用。对雨水进行收集、储存、水质净化，然后回用于绿化、道路广场浇洒、光伏组件清洗等。雨水回用系统由截污挂篮装置、弃流过滤装置、蓄水系统、净化系统组成。项目可设置两套雨水管道，一套为雨水收集回用管道，一套为雨水收集排放管道。屋面雨水经雨水管道收集后，排向室外雨水收集回用管道，经室外初期雨水弃流井完成初期雨水弃流后，进入雨水收集模块池储存并回用。</w:t>
      </w:r>
    </w:p>
    <w:p w14:paraId="5B019BF0">
      <w:pPr>
        <w:keepNext w:val="0"/>
        <w:keepLines w:val="0"/>
        <w:pageBreakBefore w:val="0"/>
        <w:widowControl w:val="0"/>
        <w:kinsoku/>
        <w:wordWrap/>
        <w:overflowPunct/>
        <w:topLinePunct/>
        <w:autoSpaceDE w:val="0"/>
        <w:autoSpaceDN/>
        <w:bidi w:val="0"/>
        <w:adjustRightInd/>
        <w:snapToGrid/>
        <w:spacing w:before="0" w:beforeLines="50" w:after="0" w:afterLines="50" w:line="360" w:lineRule="auto"/>
        <w:ind w:firstLine="0"/>
        <w:jc w:val="left"/>
        <w:textAlignment w:val="baseline"/>
        <w:outlineLvl w:val="1"/>
        <w:rPr>
          <w:rFonts w:hint="eastAsia" w:ascii="宋体" w:hAnsi="宋体" w:eastAsia="宋体" w:cs="宋体"/>
          <w:b/>
          <w:snapToGrid w:val="0"/>
          <w:color w:val="000000"/>
          <w:kern w:val="0"/>
          <w:sz w:val="28"/>
          <w:szCs w:val="28"/>
          <w:lang w:val="en-US" w:eastAsia="zh-CN" w:bidi="ar-SA"/>
        </w:rPr>
      </w:pPr>
      <w:r>
        <w:rPr>
          <w:rFonts w:hint="eastAsia" w:ascii="宋体" w:hAnsi="宋体" w:eastAsia="宋体" w:cs="宋体"/>
          <w:b/>
          <w:snapToGrid w:val="0"/>
          <w:color w:val="000000"/>
          <w:kern w:val="0"/>
          <w:sz w:val="28"/>
          <w:szCs w:val="28"/>
          <w:lang w:val="en-US" w:eastAsia="zh-CN" w:bidi="ar-SA"/>
        </w:rPr>
        <w:t>7.5 碳达峰碳中和分析</w:t>
      </w:r>
    </w:p>
    <w:p w14:paraId="39E062C3">
      <w:pPr>
        <w:keepNext w:val="0"/>
        <w:keepLines w:val="0"/>
        <w:pageBreakBefore w:val="0"/>
        <w:widowControl/>
        <w:kinsoku/>
        <w:wordWrap/>
        <w:overflowPunct/>
        <w:topLinePunct/>
        <w:autoSpaceDE/>
        <w:autoSpaceDN/>
        <w:bidi w:val="0"/>
        <w:adjustRightInd/>
        <w:snapToGrid/>
        <w:spacing w:before="0" w:beforeLines="50" w:after="0" w:afterLines="50" w:line="360" w:lineRule="auto"/>
        <w:ind w:firstLine="560" w:firstLineChars="200"/>
        <w:jc w:val="both"/>
        <w:textAlignment w:val="auto"/>
        <w:rPr>
          <w:rFonts w:ascii="宋体" w:hAnsi="宋体" w:eastAsia="宋体" w:cstheme="minorBidi"/>
          <w:sz w:val="28"/>
          <w:szCs w:val="28"/>
        </w:rPr>
      </w:pPr>
      <w:r>
        <w:rPr>
          <w:rFonts w:ascii="宋体" w:hAnsi="宋体" w:eastAsia="宋体" w:cstheme="minorBidi"/>
          <w:sz w:val="28"/>
          <w:szCs w:val="28"/>
        </w:rPr>
        <w:t>本项目为</w:t>
      </w:r>
      <w:bookmarkStart w:id="0" w:name="_GoBack"/>
      <w:bookmarkEnd w:id="0"/>
      <w:r>
        <w:rPr>
          <w:rFonts w:ascii="宋体" w:hAnsi="宋体" w:eastAsia="宋体" w:cstheme="minorBidi"/>
          <w:sz w:val="28"/>
          <w:szCs w:val="28"/>
        </w:rPr>
        <w:t>光伏发电与生态修复相结合的清洁能源项目，整体碳排放水平极低，属于实质性的碳减排项目。项目运营期间通过光伏发电替代化石能源发电，每年可减少大量二氧化碳排放。配套建设的储能系统通过提高新能源消纳率，减少了因新能源弃用导致的化石能源替代量。光伏板下种植的超级芦竹作为高生物量产出的能源植物，在生长过程中可持续吸收二氧化碳，形成稳定的碳汇，进一步放大项目的碳减排效益。</w:t>
      </w:r>
    </w:p>
    <w:p w14:paraId="6178838A">
      <w:pPr>
        <w:keepNext w:val="0"/>
        <w:keepLines w:val="0"/>
        <w:pageBreakBefore w:val="0"/>
        <w:widowControl/>
        <w:kinsoku/>
        <w:wordWrap/>
        <w:overflowPunct/>
        <w:topLinePunct/>
        <w:autoSpaceDE/>
        <w:autoSpaceDN/>
        <w:bidi w:val="0"/>
        <w:adjustRightInd/>
        <w:snapToGrid/>
        <w:spacing w:before="0" w:beforeLines="50" w:after="0" w:afterLines="50" w:line="360" w:lineRule="auto"/>
        <w:ind w:firstLine="560" w:firstLineChars="200"/>
        <w:jc w:val="both"/>
        <w:textAlignment w:val="auto"/>
        <w:rPr>
          <w:rFonts w:ascii="宋体" w:hAnsi="宋体" w:eastAsia="宋体" w:cstheme="minorBidi"/>
          <w:sz w:val="28"/>
          <w:szCs w:val="28"/>
        </w:rPr>
      </w:pPr>
      <w:r>
        <w:rPr>
          <w:rFonts w:ascii="宋体" w:hAnsi="宋体" w:eastAsia="宋体" w:cstheme="minorBidi"/>
          <w:sz w:val="28"/>
          <w:szCs w:val="28"/>
        </w:rPr>
        <w:t>项目建设期间的碳排放主要来源于设备生产运输和施工活动，但这些一次性排放在项目投运后可通过清洁发电在短期内获得抵消。从全生命周期角度分析，项目的碳减排效益远大于建设期碳排放，具有显著的净碳减排效果，符合全面节约战略和循环经济发展要求。</w:t>
      </w:r>
    </w:p>
    <w:p w14:paraId="32A3106C">
      <w:pPr>
        <w:keepNext w:val="0"/>
        <w:keepLines w:val="0"/>
        <w:pageBreakBefore w:val="0"/>
        <w:widowControl/>
        <w:kinsoku/>
        <w:wordWrap/>
        <w:overflowPunct/>
        <w:topLinePunct/>
        <w:autoSpaceDE/>
        <w:autoSpaceDN/>
        <w:bidi w:val="0"/>
        <w:adjustRightInd/>
        <w:snapToGrid/>
        <w:spacing w:before="0" w:beforeLines="50" w:after="0" w:afterLines="50" w:line="360" w:lineRule="auto"/>
        <w:ind w:firstLine="560" w:firstLineChars="200"/>
        <w:jc w:val="both"/>
        <w:textAlignment w:val="auto"/>
        <w:rPr>
          <w:rFonts w:ascii="宋体" w:hAnsi="宋体" w:eastAsia="宋体" w:cstheme="minorBidi"/>
          <w:sz w:val="28"/>
          <w:szCs w:val="28"/>
        </w:rPr>
      </w:pPr>
      <w:r>
        <w:rPr>
          <w:rFonts w:ascii="宋体" w:hAnsi="宋体" w:eastAsia="宋体" w:cstheme="minorBidi"/>
          <w:sz w:val="28"/>
          <w:szCs w:val="28"/>
        </w:rPr>
        <w:t>项目与河南省及洛阳市碳达峰碳中和工作高度契合。河南省明确提出大力发展非化石能源，推动能源结构优化调整，至2030年非化石能源占能源消费总量比重达到25%。本项目通过林光互补模式实现清洁能源生产与生态修复的双重效益，每年可产生可观的碳减排量和碳汇增量，为当地实现双碳目标作出积极贡献。项目还可通过绿电证书交易和碳汇交易获取额外收益，进一步增强项目的经济可行性。建议项目在运营期间持续监测碳排放和碳汇数据，建立完善的碳资产管理体系，积极参与全国碳市场交易，进一步放大项目的碳减排效益，为推动区域绿色低碳高质量发展提供示范。</w:t>
      </w:r>
    </w:p>
    <w:p w14:paraId="12E939FD">
      <w:pPr>
        <w:keepNext w:val="0"/>
        <w:keepLines w:val="0"/>
        <w:pageBreakBefore w:val="0"/>
        <w:widowControl/>
        <w:kinsoku/>
        <w:wordWrap/>
        <w:overflowPunct/>
        <w:topLinePunct/>
        <w:autoSpaceDE/>
        <w:autoSpaceDN/>
        <w:bidi w:val="0"/>
        <w:adjustRightInd/>
        <w:snapToGrid/>
        <w:spacing w:before="0" w:beforeLines="50" w:after="0" w:afterLines="50" w:line="360" w:lineRule="auto"/>
        <w:ind w:firstLine="560" w:firstLineChars="200"/>
        <w:jc w:val="both"/>
        <w:textAlignment w:val="auto"/>
        <w:rPr>
          <w:rFonts w:ascii="宋体" w:hAnsi="宋体" w:eastAsia="宋体" w:cstheme="minorBidi"/>
          <w:sz w:val="28"/>
          <w:szCs w:val="28"/>
        </w:rPr>
        <w:sectPr>
          <w:headerReference r:id="rId5" w:type="default"/>
          <w:footerReference r:id="rId6" w:type="default"/>
          <w:pgSz w:w="11906" w:h="16838"/>
          <w:pgMar w:top="1800" w:right="1440" w:bottom="1440" w:left="1440" w:header="720" w:footer="720" w:gutter="0"/>
          <w:cols w:space="720" w:num="1"/>
        </w:sectPr>
      </w:pPr>
    </w:p>
    <w:p w14:paraId="4F3441E4">
      <w:pPr>
        <w:keepNext w:val="0"/>
        <w:keepLines w:val="0"/>
        <w:pageBreakBefore w:val="0"/>
        <w:widowControl/>
        <w:kinsoku/>
        <w:wordWrap/>
        <w:overflowPunct/>
        <w:topLinePunct/>
        <w:autoSpaceDE/>
        <w:autoSpaceDN/>
        <w:bidi w:val="0"/>
        <w:adjustRightInd/>
        <w:snapToGrid/>
        <w:spacing w:before="0" w:beforeLines="50" w:after="0" w:afterLines="50" w:line="360" w:lineRule="auto"/>
        <w:ind w:firstLine="560" w:firstLineChars="200"/>
        <w:jc w:val="both"/>
        <w:textAlignment w:val="auto"/>
        <w:rPr>
          <w:rFonts w:ascii="宋体" w:hAnsi="宋体" w:eastAsia="宋体" w:cstheme="minorBidi"/>
          <w:sz w:val="28"/>
          <w:szCs w:val="28"/>
        </w:rPr>
      </w:pPr>
    </w:p>
    <w:sectPr>
      <w:headerReference r:id="rId7" w:type="default"/>
      <w:footerReference r:id="rId8" w:type="default"/>
      <w:pgSz w:w="11906" w:h="16838"/>
      <w:pgMar w:top="1800" w:right="1440" w:bottom="1440" w:left="1440" w:header="720" w:footer="720"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28C8B04">
    <w:pPr>
      <w:jc w:val="center"/>
    </w:pPr>
    <w:r>
      <w:rPr>
        <w:rFonts w:ascii="Times New Roman" w:hAnsi="Times New Roman" w:eastAsia="宋体"/>
        <w:color w:val="666666"/>
        <w:sz w:val="18"/>
      </w:rPr>
      <w:fldChar w:fldCharType="begin"/>
    </w:r>
    <w:r>
      <w:rPr>
        <w:rFonts w:ascii="Times New Roman" w:hAnsi="Times New Roman" w:eastAsia="宋体"/>
        <w:color w:val="666666"/>
        <w:sz w:val="18"/>
      </w:rPr>
      <w:instrText xml:space="preserve"> PAGE </w:instrText>
    </w:r>
    <w:r>
      <w:rPr>
        <w:rFonts w:ascii="Times New Roman" w:hAnsi="Times New Roman" w:eastAsia="宋体"/>
        <w:color w:val="666666"/>
        <w:sz w:val="18"/>
      </w:rPr>
      <w:fldChar w:fldCharType="separate"/>
    </w:r>
    <w:r>
      <w:rPr>
        <w:rFonts w:ascii="Times New Roman" w:hAnsi="Times New Roman" w:eastAsia="宋体"/>
        <w:color w:val="666666"/>
        <w:sz w:val="18"/>
      </w:rPr>
      <w:t>1</w:t>
    </w:r>
    <w:r>
      <w:rPr>
        <w:rFonts w:ascii="Times New Roman" w:hAnsi="Times New Roman" w:eastAsia="宋体"/>
        <w:color w:val="666666"/>
        <w:sz w:val="18"/>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28C8B04">
    <w:pPr>
      <w:jc w:val="center"/>
    </w:pPr>
    <w:r>
      <w:rPr>
        <w:rFonts w:ascii="Times New Roman" w:hAnsi="Times New Roman" w:eastAsia="宋体"/>
        <w:color w:val="666666"/>
        <w:sz w:val="18"/>
      </w:rPr>
      <w:fldChar w:fldCharType="begin"/>
    </w:r>
    <w:r>
      <w:rPr>
        <w:rFonts w:ascii="Times New Roman" w:hAnsi="Times New Roman" w:eastAsia="宋体"/>
        <w:color w:val="666666"/>
        <w:sz w:val="18"/>
      </w:rPr>
      <w:instrText xml:space="preserve"> PAGE </w:instrText>
    </w:r>
    <w:r>
      <w:rPr>
        <w:rFonts w:ascii="Times New Roman" w:hAnsi="Times New Roman" w:eastAsia="宋体"/>
        <w:color w:val="666666"/>
        <w:sz w:val="18"/>
      </w:rPr>
      <w:fldChar w:fldCharType="separate"/>
    </w:r>
    <w:r>
      <w:rPr>
        <w:rFonts w:ascii="Times New Roman" w:hAnsi="Times New Roman" w:eastAsia="宋体"/>
        <w:color w:val="666666"/>
        <w:sz w:val="18"/>
      </w:rPr>
      <w:t>1</w:t>
    </w:r>
    <w:r>
      <w:rPr>
        <w:rFonts w:ascii="Times New Roman" w:hAnsi="Times New Roman" w:eastAsia="宋体"/>
        <w:color w:val="666666"/>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360" w:lineRule="auto"/>
      </w:pPr>
      <w:r>
        <w:separator/>
      </w:r>
    </w:p>
  </w:footnote>
  <w:footnote w:type="continuationSeparator" w:id="1">
    <w:p>
      <w:pPr>
        <w:spacing w:before="0" w:after="0" w:line="36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33BA0B3">
    <w:pPr>
      <w:jc w:val="cent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33BA0B3">
    <w:pPr>
      <w:jc w:val="cen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3"/>
  <w:documentProtection w:enforcement="0"/>
  <w:footnotePr>
    <w:footnote w:id="0"/>
    <w:footnote w:id="1"/>
  </w:footnotePr>
  <w:endnotePr>
    <w:endnote w:id="0"/>
    <w:endnote w:id="1"/>
  </w:endnotePr>
  <w:compat>
    <w:useFELayout/>
    <w:splitPgBreakAndParaMark/>
    <w:compatSetting w:name="compatibilityMode" w:uri="http://schemas.microsoft.com/office/word" w:val="12"/>
  </w:compat>
  <w:rsids>
    <w:rsidRoot w:val="00000000"/>
    <w:rsid w:val="7C0A5261"/>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unhideWhenUsed="0" w:uiPriority="0" w:semiHidden="0" w:name="Normal"/>
    <w:lsdException w:qFormat="1" w:unhideWhenUsed="0" w:uiPriority="0" w:semiHidden="0" w:name="heading 1"/>
    <w:lsdException w:unhideWhenUsed="0" w:uiPriority="0" w:semiHidden="0" w:name="heading 2"/>
    <w:lsdException w:qFormat="1" w:unhideWhenUsed="0" w:uiPriority="0" w:semiHidden="0" w:name="heading 3"/>
    <w:lsdException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iPriority w:val="0"/>
    <w:pPr>
      <w:spacing w:after="0" w:line="360" w:lineRule="auto"/>
      <w:ind w:firstLine="480"/>
    </w:pPr>
    <w:rPr>
      <w:rFonts w:ascii="Times New Roman" w:hAnsi="Times New Roman" w:eastAsia="宋体"/>
      <w:color w:val="333333"/>
      <w:sz w:val="24"/>
      <w:szCs w:val="22"/>
    </w:rPr>
  </w:style>
  <w:style w:type="paragraph" w:styleId="2">
    <w:name w:val="heading 1"/>
    <w:basedOn w:val="1"/>
    <w:qFormat/>
    <w:uiPriority w:val="0"/>
    <w:pPr>
      <w:keepNext/>
      <w:keepLines/>
      <w:spacing w:before="400" w:after="300" w:line="360" w:lineRule="auto"/>
      <w:ind w:firstLine="0"/>
      <w:jc w:val="center"/>
      <w:outlineLvl w:val="0"/>
    </w:pPr>
    <w:rPr>
      <w:rFonts w:ascii="Times New Roman" w:hAnsi="Times New Roman" w:eastAsia="黑体"/>
      <w:color w:val="2F4F4F"/>
      <w:sz w:val="32"/>
    </w:rPr>
  </w:style>
  <w:style w:type="paragraph" w:styleId="3">
    <w:name w:val="heading 2"/>
    <w:basedOn w:val="1"/>
    <w:uiPriority w:val="0"/>
    <w:pPr>
      <w:keepNext/>
      <w:keepLines/>
      <w:spacing w:before="360" w:after="200" w:line="360" w:lineRule="auto"/>
      <w:ind w:firstLine="0"/>
      <w:outlineLvl w:val="1"/>
    </w:pPr>
    <w:rPr>
      <w:rFonts w:ascii="Times New Roman" w:hAnsi="Times New Roman" w:eastAsia="黑体"/>
      <w:color w:val="4A6741"/>
      <w:sz w:val="28"/>
    </w:rPr>
  </w:style>
  <w:style w:type="paragraph" w:styleId="4">
    <w:name w:val="heading 3"/>
    <w:basedOn w:val="1"/>
    <w:qFormat/>
    <w:uiPriority w:val="0"/>
    <w:pPr>
      <w:keepNext/>
      <w:keepLines/>
      <w:spacing w:before="280" w:after="160" w:line="360" w:lineRule="auto"/>
      <w:ind w:firstLine="0"/>
      <w:outlineLvl w:val="2"/>
    </w:pPr>
    <w:rPr>
      <w:rFonts w:ascii="Times New Roman" w:hAnsi="Times New Roman" w:eastAsia="黑体"/>
      <w:color w:val="5D6E5B"/>
      <w:sz w:val="24"/>
    </w:rPr>
  </w:style>
  <w:style w:type="paragraph" w:styleId="5">
    <w:name w:val="heading 4"/>
    <w:basedOn w:val="1"/>
    <w:uiPriority w:val="0"/>
    <w:pPr>
      <w:keepNext/>
      <w:keepLines/>
      <w:spacing w:before="200" w:after="120" w:line="360" w:lineRule="auto"/>
      <w:ind w:firstLine="0"/>
      <w:outlineLvl w:val="3"/>
    </w:pPr>
    <w:rPr>
      <w:rFonts w:ascii="Times New Roman" w:hAnsi="Times New Roman" w:eastAsia="黑体"/>
      <w:color w:val="333333"/>
      <w:sz w:val="24"/>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2.xml"/><Relationship Id="rId7" Type="http://schemas.openxmlformats.org/officeDocument/2006/relationships/header" Target="header2.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18</Pages>
  <Words>9535</Words>
  <Characters>9776</Characters>
  <TotalTime>3</TotalTime>
  <ScaleCrop>false</ScaleCrop>
  <LinksUpToDate>false</LinksUpToDate>
  <CharactersWithSpaces>9798</CharactersWithSpaces>
  <Application>WPS Office_12.1.0.26375_F1E327BC-269C-435d-A152-05C5408002CA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2026-06-09T10:16:11Z</dcterms:created>
  <dc:creator>thinkpad</dc:creator>
  <cp:lastModifiedBy>高昂</cp:lastModifiedBy>
  <dcterms:modified xsi:type="dcterms:W3CDTF">2026-06-09T10:23:28Z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eyJoZGlkIjoiMDc3OTI0Zjg1OWJkMjY4YjkyZmJhYWE2MGVkMDZlYTYiLCJ1c2VySWQiOiIxNjMzOTIwMzE5In0=</vt:lpwstr>
  </property>
  <property fmtid="{D5CDD505-2E9C-101B-9397-08002B2CF9AE}" pid="3" name="KSOProductBuildVer">
    <vt:lpwstr>2052-12.1.0.26375</vt:lpwstr>
  </property>
  <property fmtid="{D5CDD505-2E9C-101B-9397-08002B2CF9AE}" pid="4" name="ICV">
    <vt:lpwstr>C256E28DCD284D9CB29D38F4AAF333B3_12</vt:lpwstr>
  </property>
</Properties>
</file>