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5E63E">
      <w:pPr>
        <w:pStyle w:val="2"/>
        <w:rPr>
          <w:rFonts w:hint="eastAsia" w:ascii="宋体" w:hAnsi="宋体" w:eastAsia="宋体" w:cs="宋体"/>
          <w:b/>
          <w:snapToGrid w:val="0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6"/>
          <w:szCs w:val="36"/>
          <w:lang w:val="en-US" w:eastAsia="zh-CN" w:bidi="ar-SA"/>
        </w:rPr>
        <w:t>第九章 结论和建议</w:t>
      </w:r>
    </w:p>
    <w:p w14:paraId="236D71C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Lines="50" w:after="0" w:afterLines="50" w:line="360" w:lineRule="auto"/>
        <w:ind w:firstLine="0"/>
        <w:jc w:val="left"/>
        <w:textAlignment w:val="baseline"/>
        <w:outlineLvl w:val="1"/>
        <w:rPr>
          <w:rFonts w:hint="eastAsia" w:ascii="宋体" w:hAnsi="宋体" w:eastAsia="宋体" w:cs="宋体"/>
          <w:b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28"/>
          <w:szCs w:val="28"/>
          <w:lang w:val="en-US" w:eastAsia="zh-CN" w:bidi="ar-SA"/>
        </w:rPr>
        <w:t>9.1 结论</w:t>
      </w:r>
    </w:p>
    <w:p w14:paraId="62D46C47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="0" w:beforeLines="50" w:after="0" w:afterLines="5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项目建设顺应新能源发展趋势，符合国家和地方产业政策导向。项目采用林光互补模式，将光伏发电与矿山生态修复有机结合，契合"双碳"战略和乡村振兴战略要求。项目在已治理尾矿库工矿用地上建设，不占用基本农田和生态红线，选址合理、政策合规，具备良好的建设基础和实施必要性。</w:t>
      </w:r>
    </w:p>
    <w:p w14:paraId="2BCCDC2A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="0" w:beforeLines="50" w:after="0" w:afterLines="5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项目建设方案科学可行，技术路线成熟可靠。项目采用源网荷储一体化微电网架构，配套建设储能系统和智能调度平台，技术方案在国内已有成功应用案例。项目所在地太阳能资源较为丰富，周边交通条件便利，供水供电通信等基础设施完善，建设条件充分具备，整体方案具有落地可行性。</w:t>
      </w:r>
    </w:p>
    <w:p w14:paraId="7F69838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="0" w:beforeLines="50" w:after="0" w:afterLines="5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项目综合效益显著，风险总体可控。项目建成后可产生稳定的经济效益，同时创造就业岗位、带动区域新能源产业发展，具有良好的社会效益。项目采用自发自用运营模式，收益稳定可控；通过科学选址和规范设计，环境风险和运营风险均可有效防范，项目具备一定的抗风险能力，综合效益与风险匹配合理。</w:t>
      </w:r>
    </w:p>
    <w:p w14:paraId="0D957979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="0" w:beforeLines="50" w:after="0" w:afterLines="5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综合以上分析，本项目建设必要、方案可行、效益良好、风险可控，符合可持续发展理念和高质量发展要求。建议尽快启动项目建设，充分发挥项目在清洁能源供给、生态修复示范和产业带动等方面的综合价值，为区域经济绿色转型注入新动能。</w:t>
      </w:r>
    </w:p>
    <w:p w14:paraId="6FF96F0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before="0" w:beforeLines="50" w:after="0" w:afterLines="50" w:line="360" w:lineRule="auto"/>
        <w:ind w:firstLine="0"/>
        <w:jc w:val="left"/>
        <w:textAlignment w:val="baseline"/>
        <w:outlineLvl w:val="1"/>
        <w:rPr>
          <w:rFonts w:hint="eastAsia" w:ascii="宋体" w:hAnsi="宋体" w:eastAsia="宋体" w:cs="宋体"/>
          <w:b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28"/>
          <w:szCs w:val="28"/>
          <w:lang w:val="en-US" w:eastAsia="zh-CN" w:bidi="ar-SA"/>
        </w:rPr>
        <w:t>9.2 建议</w:t>
      </w:r>
    </w:p>
    <w:p w14:paraId="75E63595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="0" w:beforeLines="50" w:after="0" w:afterLines="5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建议建设单位加快项目的前期工作进程，积极落实建设资金，落实设计及施工单位，尽早开工，保质保量按时完成工程建设，及时投入使用，尽快发挥项目应有的社会效益。同时也建议政府各有关部门积极支持该项目的建设。</w:t>
      </w:r>
    </w:p>
    <w:p w14:paraId="2FFD1E6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="0" w:beforeLines="50" w:after="0" w:afterLines="5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向地方政府争取相关政策支持和优惠措施，例如税收优惠、绿色金融支持等。积极对接碳减排支持工具和绿色信贷政策，降低项目融资成本和建设运营成本，提高投资回报率，为项目顺利实施创造有利的政策环境。</w:t>
      </w:r>
    </w:p>
    <w:p w14:paraId="6E1E1340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="0" w:beforeLines="50" w:after="0" w:afterLines="5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2、建设项目单位应尽早办理各种手续，抓紧时间落实项目备案、环评审批、能评审查、土地租赁协议签订等前期工作，并尽早组织设计招标、设备采购和施工招标，确保项目按期开工建设。</w:t>
      </w:r>
    </w:p>
    <w:p w14:paraId="29FA8D95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="0" w:beforeLines="50" w:after="0" w:afterLines="5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水、电、气、通风等设施应积极采用节能、节水、节材并符合环境保护和计量要求的新技术、新设备，电度表、水表等计量设备安装使用前应进行首次强制检测。光伏组件、逆变器、储能系统等核心设备应优先选用通过国家认证的高效节能产品。</w:t>
      </w:r>
    </w:p>
    <w:p w14:paraId="7DDF305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="0" w:beforeLines="50" w:after="0" w:afterLines="5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建议建设单位通过加强管理来控制工程风险。良好的项目管理是项目取得成功的重要保证。从投资开发来看，项目全过程的投资、进度和质量是控制的重点。应建立健全项目管理制度，实行精细化管理，确保工程质量达标、投资可控、进度合理。</w:t>
      </w:r>
    </w:p>
    <w:p w14:paraId="0CA8BE22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="0" w:beforeLines="50" w:after="0" w:afterLines="5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为了尽快实施该项目，应当优化项目管理流程和执行计划。确保项目各阶段的设计、审批、采购和施工能够高效有序地进行，统筹做好光伏电站建设、储能系统安装、微电网调试和芦竹种植等各项工作衔接，避免因流程繁琐或延迟导致项目推迟。</w:t>
      </w:r>
    </w:p>
    <w:p w14:paraId="7FF5D193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="0" w:beforeLines="50" w:after="0" w:afterLines="5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项目应严格按环保"三同时"原则，搞好环境治理工作。建设期和运营期同步落实大气污染防治、噪声控制、水土保持和生态修复措施，确保污染物达标排放。加强环境监测和生态管护，实现经济效益与生态效益相统一。</w:t>
      </w:r>
    </w:p>
    <w:p w14:paraId="2E0E03E8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before="0" w:beforeLines="50" w:after="0" w:afterLines="5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  <w:sectPr>
          <w:headerReference r:id="rId5" w:type="default"/>
          <w:footerReference r:id="rId6" w:type="default"/>
          <w:pgSz w:w="11906" w:h="16838"/>
          <w:pgMar w:top="1800" w:right="1440" w:bottom="1440" w:left="1440" w:header="720" w:footer="720" w:gutter="0"/>
          <w:cols w:space="720" w:num="1"/>
        </w:sectPr>
      </w:pPr>
      <w:r>
        <w:rPr>
          <w:rFonts w:hint="eastAsia" w:ascii="宋体" w:hAnsi="宋体" w:eastAsia="宋体" w:cs="宋体"/>
          <w:sz w:val="28"/>
          <w:szCs w:val="28"/>
        </w:rPr>
        <w:t>7、建议提前布局微电网运营团队建设和虚拟电厂平台开发，培养专业技术人才，做好运营期技术储备。积极与电网企业和电力交易中心对接，完善并网接入方案和市场化交易机制，为项目长期稳定运营和效益最大化奠定基础。</w:t>
      </w:r>
      <w:bookmarkStart w:id="0" w:name="_GoBack"/>
      <w:bookmarkEnd w:id="0"/>
    </w:p>
    <w:p w14:paraId="5122A4BC">
      <w:pPr>
        <w:ind w:left="0" w:leftChars="0" w:firstLine="0" w:firstLineChars="0"/>
      </w:pPr>
    </w:p>
    <w:sectPr>
      <w:headerReference r:id="rId7" w:type="default"/>
      <w:footerReference r:id="rId8" w:type="default"/>
      <w:pgSz w:w="11906" w:h="16838"/>
      <w:pgMar w:top="180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A998F">
    <w:pPr>
      <w:jc w:val="center"/>
    </w:pPr>
    <w:r>
      <w:rPr>
        <w:rFonts w:ascii="Times New Roman" w:hAnsi="Times New Roman" w:eastAsia="宋体"/>
        <w:color w:val="666666"/>
        <w:sz w:val="18"/>
      </w:rPr>
      <w:fldChar w:fldCharType="begin"/>
    </w:r>
    <w:r>
      <w:rPr>
        <w:rFonts w:ascii="Times New Roman" w:hAnsi="Times New Roman" w:eastAsia="宋体"/>
        <w:color w:val="666666"/>
        <w:sz w:val="18"/>
      </w:rPr>
      <w:instrText xml:space="preserve"> PAGE </w:instrText>
    </w:r>
    <w:r>
      <w:rPr>
        <w:rFonts w:ascii="Times New Roman" w:hAnsi="Times New Roman" w:eastAsia="宋体"/>
        <w:color w:val="666666"/>
        <w:sz w:val="18"/>
      </w:rPr>
      <w:fldChar w:fldCharType="separate"/>
    </w:r>
    <w:r>
      <w:rPr>
        <w:rFonts w:ascii="Times New Roman" w:hAnsi="Times New Roman" w:eastAsia="宋体"/>
        <w:color w:val="666666"/>
        <w:sz w:val="18"/>
      </w:rPr>
      <w:t>1</w:t>
    </w:r>
    <w:r>
      <w:rPr>
        <w:rFonts w:ascii="Times New Roman" w:hAnsi="Times New Roman" w:eastAsia="宋体"/>
        <w:color w:val="6666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A998F">
    <w:pPr>
      <w:jc w:val="center"/>
    </w:pPr>
    <w:r>
      <w:rPr>
        <w:rFonts w:ascii="Times New Roman" w:hAnsi="Times New Roman" w:eastAsia="宋体"/>
        <w:color w:val="666666"/>
        <w:sz w:val="18"/>
      </w:rPr>
      <w:fldChar w:fldCharType="begin"/>
    </w:r>
    <w:r>
      <w:rPr>
        <w:rFonts w:ascii="Times New Roman" w:hAnsi="Times New Roman" w:eastAsia="宋体"/>
        <w:color w:val="666666"/>
        <w:sz w:val="18"/>
      </w:rPr>
      <w:instrText xml:space="preserve"> PAGE </w:instrText>
    </w:r>
    <w:r>
      <w:rPr>
        <w:rFonts w:ascii="Times New Roman" w:hAnsi="Times New Roman" w:eastAsia="宋体"/>
        <w:color w:val="666666"/>
        <w:sz w:val="18"/>
      </w:rPr>
      <w:fldChar w:fldCharType="separate"/>
    </w:r>
    <w:r>
      <w:rPr>
        <w:rFonts w:ascii="Times New Roman" w:hAnsi="Times New Roman" w:eastAsia="宋体"/>
        <w:color w:val="666666"/>
        <w:sz w:val="18"/>
      </w:rPr>
      <w:t>1</w:t>
    </w:r>
    <w:r>
      <w:rPr>
        <w:rFonts w:ascii="Times New Roman" w:hAnsi="Times New Roman" w:eastAsia="宋体"/>
        <w:color w:val="666666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54F51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54F51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footnotePr>
    <w:footnote w:id="0"/>
    <w:footnote w:id="1"/>
  </w:footnotePr>
  <w:endnotePr>
    <w:endnote w:id="0"/>
    <w:endnote w:id="1"/>
  </w:endnotePr>
  <w:compat>
    <w:useFELayout/>
    <w:splitPgBreakAndParaMark/>
    <w:compatSetting w:name="compatibilityMode" w:uri="http://schemas.microsoft.com/office/word" w:val="12"/>
  </w:compat>
  <w:rsids>
    <w:rsidRoot w:val="00000000"/>
    <w:rsid w:val="38724B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360" w:lineRule="auto"/>
      <w:ind w:firstLine="480"/>
    </w:pPr>
    <w:rPr>
      <w:rFonts w:ascii="Times New Roman" w:hAnsi="Times New Roman" w:eastAsia="宋体"/>
      <w:color w:val="333333"/>
      <w:sz w:val="24"/>
      <w:szCs w:val="22"/>
    </w:rPr>
  </w:style>
  <w:style w:type="paragraph" w:styleId="2">
    <w:name w:val="heading 1"/>
    <w:basedOn w:val="1"/>
    <w:qFormat/>
    <w:uiPriority w:val="0"/>
    <w:pPr>
      <w:keepNext/>
      <w:keepLines/>
      <w:spacing w:before="400" w:after="300" w:line="360" w:lineRule="auto"/>
      <w:ind w:firstLine="0"/>
      <w:jc w:val="center"/>
      <w:outlineLvl w:val="0"/>
    </w:pPr>
    <w:rPr>
      <w:rFonts w:ascii="Times New Roman" w:hAnsi="Times New Roman" w:eastAsia="黑体"/>
      <w:color w:val="2F4F4F"/>
      <w:sz w:val="32"/>
    </w:rPr>
  </w:style>
  <w:style w:type="paragraph" w:styleId="3">
    <w:name w:val="heading 2"/>
    <w:basedOn w:val="1"/>
    <w:qFormat/>
    <w:uiPriority w:val="0"/>
    <w:pPr>
      <w:keepNext/>
      <w:keepLines/>
      <w:spacing w:before="360" w:after="200" w:line="360" w:lineRule="auto"/>
      <w:ind w:firstLine="0"/>
      <w:outlineLvl w:val="1"/>
    </w:pPr>
    <w:rPr>
      <w:rFonts w:ascii="Times New Roman" w:hAnsi="Times New Roman" w:eastAsia="黑体"/>
      <w:color w:val="4A6741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1332</Words>
  <Characters>1336</Characters>
  <TotalTime>0</TotalTime>
  <ScaleCrop>false</ScaleCrop>
  <LinksUpToDate>false</LinksUpToDate>
  <CharactersWithSpaces>1339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2026-06-09T10:24:34Z</dcterms:created>
  <dc:creator>thinkpad</dc:creator>
  <cp:lastModifiedBy>高昂</cp:lastModifiedBy>
  <dcterms:modified xsi:type="dcterms:W3CDTF">2026-06-09T10:25:39Z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eyJoZGlkIjoiMDc3OTI0Zjg1OWJkMjY4YjkyZmJhYWE2MGVkMDZlYTYiLCJ1c2VySWQiOiIxNjMzOTIwMzE5In0=</vt:lpwstr>
  </property>
  <property fmtid="{D5CDD505-2E9C-101B-9397-08002B2CF9AE}" pid="3" name="KSOProductBuildVer">
    <vt:lpwstr>2052-12.1.0.26375</vt:lpwstr>
  </property>
  <property fmtid="{D5CDD505-2E9C-101B-9397-08002B2CF9AE}" pid="4" name="ICV">
    <vt:lpwstr>1E8C466EF77841CBA6FFD26A666D4473_12</vt:lpwstr>
  </property>
</Properties>
</file>