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7E371">
      <w:pPr>
        <w:pStyle w:val="2"/>
        <w:keepNext/>
        <w:keepLines/>
        <w:pageBreakBefore w:val="0"/>
        <w:widowControl/>
        <w:kinsoku w:val="0"/>
        <w:wordWrap/>
        <w:overflowPunct/>
        <w:topLinePunct w:val="0"/>
        <w:autoSpaceDE w:val="0"/>
        <w:autoSpaceDN w:val="0"/>
        <w:bidi w:val="0"/>
        <w:adjustRightInd/>
        <w:snapToGrid/>
        <w:spacing w:before="0" w:beforeLines="100" w:beforeAutospacing="0" w:after="0" w:afterLines="100" w:afterAutospacing="0" w:line="360" w:lineRule="auto"/>
        <w:ind w:left="0" w:right="0"/>
        <w:jc w:val="center"/>
        <w:textAlignment w:val="baseline"/>
        <w:rPr>
          <w:rFonts w:hint="eastAsia" w:ascii="宋体" w:hAnsi="宋体" w:eastAsia="宋体" w:cs="宋体"/>
          <w:lang w:val="en-US" w:eastAsia="zh-CN"/>
        </w:rPr>
      </w:pPr>
      <w:r>
        <w:rPr>
          <w:rFonts w:hint="eastAsia" w:ascii="宋体" w:hAnsi="宋体" w:eastAsia="宋体" w:cs="宋体"/>
          <w:b/>
          <w:sz w:val="36"/>
          <w:szCs w:val="36"/>
          <w:lang w:val="en-US" w:eastAsia="zh-CN"/>
        </w:rPr>
        <w:t>第八章 项目风险管控方案</w:t>
      </w:r>
    </w:p>
    <w:p w14:paraId="6FD53A93">
      <w:pPr>
        <w:pStyle w:val="3"/>
        <w:keepNext w:val="0"/>
        <w:keepLines w:val="0"/>
        <w:widowControl w:val="0"/>
        <w:kinsoku/>
        <w:topLinePunct/>
        <w:autoSpaceDN/>
        <w:adjustRightInd/>
        <w:snapToGrid/>
        <w:spacing w:before="120" w:beforeLines="50" w:after="120" w:afterLines="50" w:line="360" w:lineRule="auto"/>
        <w:jc w:val="both"/>
        <w:rPr>
          <w:rFonts w:hint="eastAsia" w:ascii="宋体" w:hAnsi="宋体" w:eastAsia="宋体" w:cs="宋体"/>
          <w:b/>
          <w:bCs/>
          <w:snapToGrid/>
          <w:color w:val="000000"/>
          <w:spacing w:val="0"/>
          <w:w w:val="100"/>
          <w:kern w:val="2"/>
          <w:position w:val="0"/>
          <w:sz w:val="28"/>
          <w:szCs w:val="28"/>
          <w:lang w:val="en-US" w:eastAsia="zh-CN" w:bidi="ar-SA"/>
        </w:rPr>
      </w:pPr>
      <w:bookmarkStart w:id="0" w:name="_Toc23889"/>
      <w:bookmarkStart w:id="1" w:name="_Toc11711"/>
      <w:r>
        <w:rPr>
          <w:rFonts w:hint="eastAsia" w:ascii="宋体" w:hAnsi="宋体" w:eastAsia="宋体" w:cs="宋体"/>
          <w:b/>
          <w:color w:val="000000"/>
          <w:spacing w:val="0"/>
          <w:sz w:val="28"/>
          <w:szCs w:val="28"/>
          <w:lang w:val="en-US" w:eastAsia="zh-CN" w:bidi="ar-SA"/>
        </w:rPr>
        <w:t>8.1 风险识别与评价</w:t>
      </w:r>
      <w:bookmarkEnd w:id="0"/>
      <w:bookmarkEnd w:id="1"/>
    </w:p>
    <w:p w14:paraId="48FCA8B2">
      <w:pPr>
        <w:keepNext w:val="0"/>
        <w:keepLines w:val="0"/>
        <w:widowControl w:val="0"/>
        <w:suppressLineNumbers w:val="0"/>
        <w:autoSpaceDE w:val="0"/>
        <w:autoSpaceDN/>
        <w:spacing w:before="157" w:beforeLines="50" w:beforeAutospacing="0" w:after="157" w:afterLines="50" w:afterAutospacing="0" w:line="360" w:lineRule="auto"/>
        <w:ind w:left="0" w:right="0" w:firstLine="560" w:firstLineChars="200"/>
        <w:jc w:val="both"/>
        <w:rPr>
          <w:rFonts w:hint="eastAsia" w:ascii="宋体" w:hAnsi="宋体" w:eastAsia="宋体" w:cs="宋体"/>
          <w:b w:val="0"/>
          <w:bCs w:val="0"/>
          <w:i w:val="0"/>
          <w:iCs w:val="0"/>
          <w:caps w:val="0"/>
          <w:snapToGrid w:val="0"/>
          <w:color w:val="000000"/>
          <w:spacing w:val="0"/>
          <w:kern w:val="2"/>
          <w:sz w:val="28"/>
          <w:szCs w:val="28"/>
          <w:lang w:val="en-US" w:eastAsia="zh-CN" w:bidi="ar"/>
          <w:woUserID w:val="1"/>
        </w:rPr>
      </w:pPr>
      <w:r>
        <w:rPr>
          <w:rFonts w:hint="eastAsia" w:ascii="宋体" w:hAnsi="宋体" w:eastAsia="宋体" w:cs="宋体"/>
          <w:b w:val="0"/>
          <w:i w:val="0"/>
          <w:color w:val="000000"/>
          <w:spacing w:val="0"/>
          <w:sz w:val="28"/>
          <w:szCs w:val="28"/>
          <w:lang w:val="en-US" w:eastAsia="zh-CN" w:bidi="ar"/>
        </w:rPr>
        <w:t>项目风险贯穿于项目建设和运营的全过程。本项目在建设、实施以及运营阶段可能主要存在以下风险：</w:t>
      </w:r>
    </w:p>
    <w:p w14:paraId="334E363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市场风险。本项目发电全部就近供给金堆城钼业公司消纳，电力销售依赖单一用电企业，若企业经营状况发生波动或产能缩减，将直接影响项目电力消纳和售电收入。光伏组件价格、储能设备成本受上下游产业链供需关系影响存在价格波动，可能推高建设投资或降低预期收益。随着新能源装机规模持续扩大，电力市场化改革深入推进，未来电价走势存在不确定性，项目营收增长可能不及预期。电力消纳渠道单一和市场环境变化将对项目长期稳定运营构成挑战。</w:t>
      </w:r>
    </w:p>
    <w:p w14:paraId="1E9A8B5E">
      <w:pPr>
        <w:keepNext w:val="0"/>
        <w:keepLines w:val="0"/>
        <w:widowControl w:val="0"/>
        <w:suppressLineNumbers w:val="0"/>
        <w:autoSpaceDE w:val="0"/>
        <w:autoSpaceDN/>
        <w:spacing w:before="157" w:beforeLines="50" w:beforeAutospacing="0" w:after="157" w:afterLines="50" w:afterAutospacing="0" w:line="360" w:lineRule="auto"/>
        <w:ind w:left="0" w:right="0" w:firstLine="560" w:firstLineChars="200"/>
        <w:jc w:val="both"/>
        <w:rPr>
          <w:rFonts w:hint="eastAsia" w:ascii="宋体" w:hAnsi="宋体" w:eastAsia="宋体" w:cs="宋体"/>
          <w:b w:val="0"/>
          <w:bCs w:val="0"/>
          <w:i w:val="0"/>
          <w:iCs w:val="0"/>
          <w:caps w:val="0"/>
          <w:snapToGrid w:val="0"/>
          <w:color w:val="000000"/>
          <w:spacing w:val="0"/>
          <w:kern w:val="2"/>
          <w:sz w:val="28"/>
          <w:szCs w:val="28"/>
          <w:lang w:val="en-US" w:eastAsia="zh-CN" w:bidi="ar"/>
          <w:woUserID w:val="1"/>
        </w:rPr>
      </w:pPr>
      <w:r>
        <w:rPr>
          <w:rFonts w:hint="eastAsia" w:ascii="宋体" w:hAnsi="宋体" w:eastAsia="宋体" w:cs="宋体"/>
          <w:b w:val="0"/>
          <w:i w:val="0"/>
          <w:color w:val="000000"/>
          <w:spacing w:val="0"/>
          <w:sz w:val="28"/>
          <w:szCs w:val="28"/>
          <w:lang w:val="en-US" w:eastAsia="zh-CN" w:bidi="ar"/>
        </w:rPr>
        <w:t>2、资金风险。本项目总投资规模较大，资金来源以项目融资为主，若金融市场环境变化导致融资渠道收窄或融资成本上升，将影响项目建设资金及时到位。在项目建设过程中，若出现设备价格上涨、工程量增加或不可预见费用，可能导致投资超概算。项目运营初期收入尚未完全释放，而贷款还本付息压力较大，现金流管理难度较高，若资金安排不当可能出现流动性紧张。资金筹措滞后或到位不及时将直接影响项目建设工期和运营效益。</w:t>
      </w:r>
    </w:p>
    <w:p w14:paraId="07EC4446">
      <w:pPr>
        <w:keepNext w:val="0"/>
        <w:keepLines w:val="0"/>
        <w:widowControl w:val="0"/>
        <w:suppressLineNumbers w:val="0"/>
        <w:autoSpaceDE w:val="0"/>
        <w:autoSpaceDN/>
        <w:spacing w:before="157" w:beforeLines="50" w:beforeAutospacing="0" w:after="157" w:afterLines="50" w:afterAutospacing="0" w:line="360" w:lineRule="auto"/>
        <w:ind w:left="0" w:right="0" w:firstLine="560" w:firstLineChars="200"/>
        <w:jc w:val="both"/>
        <w:rPr>
          <w:rFonts w:hint="eastAsia" w:ascii="宋体" w:hAnsi="宋体" w:eastAsia="宋体" w:cs="宋体"/>
          <w:b w:val="0"/>
          <w:bCs w:val="0"/>
          <w:i w:val="0"/>
          <w:iCs w:val="0"/>
          <w:caps w:val="0"/>
          <w:snapToGrid w:val="0"/>
          <w:color w:val="000000"/>
          <w:spacing w:val="0"/>
          <w:kern w:val="2"/>
          <w:sz w:val="28"/>
          <w:szCs w:val="28"/>
          <w:lang w:val="en-US" w:eastAsia="zh-CN" w:bidi="ar"/>
          <w:woUserID w:val="1"/>
        </w:rPr>
      </w:pPr>
      <w:r>
        <w:rPr>
          <w:rFonts w:hint="eastAsia" w:ascii="宋体" w:hAnsi="宋体" w:eastAsia="宋体" w:cs="宋体"/>
          <w:b w:val="0"/>
          <w:i w:val="0"/>
          <w:color w:val="000000"/>
          <w:spacing w:val="0"/>
          <w:sz w:val="28"/>
          <w:szCs w:val="28"/>
          <w:lang w:val="en-US" w:eastAsia="zh-CN" w:bidi="ar"/>
        </w:rPr>
        <w:t>3、项目策划及管理风险。本项目涵盖光伏发电、储能系统、微电网运营、虚拟电厂和超级芦竹种植等多个业态，各业态技术标准和管理要求差异较大，项目整体策划和跨业态协调难度较高。若组织架构设置不合理、管理制度不够细化、岗位职责划分不清，可能导致管理效率低下和运营衔接不畅。项目运营团队组建初期，人员专业能力和协作水平需要磨合提升，若人员培训不到位或关键岗位人才流失，将对项目日常运营造成不利影响。</w:t>
      </w:r>
    </w:p>
    <w:p w14:paraId="5B823DF5">
      <w:pPr>
        <w:keepNext w:val="0"/>
        <w:keepLines w:val="0"/>
        <w:widowControl w:val="0"/>
        <w:suppressLineNumbers w:val="0"/>
        <w:autoSpaceDE w:val="0"/>
        <w:autoSpaceDN/>
        <w:spacing w:before="157" w:beforeLines="50" w:beforeAutospacing="0" w:after="157" w:afterLines="50" w:afterAutospacing="0" w:line="360" w:lineRule="auto"/>
        <w:ind w:left="0" w:right="0" w:firstLine="560" w:firstLineChars="200"/>
        <w:jc w:val="both"/>
        <w:rPr>
          <w:rFonts w:hint="eastAsia" w:ascii="宋体" w:hAnsi="宋体" w:eastAsia="宋体" w:cs="宋体"/>
          <w:b w:val="0"/>
          <w:bCs w:val="0"/>
          <w:i w:val="0"/>
          <w:iCs w:val="0"/>
          <w:caps w:val="0"/>
          <w:snapToGrid w:val="0"/>
          <w:color w:val="000000"/>
          <w:spacing w:val="0"/>
          <w:kern w:val="2"/>
          <w:sz w:val="28"/>
          <w:szCs w:val="28"/>
          <w:lang w:val="en-US" w:eastAsia="zh-CN" w:bidi="ar"/>
          <w:woUserID w:val="1"/>
        </w:rPr>
      </w:pPr>
      <w:r>
        <w:rPr>
          <w:rFonts w:hint="eastAsia" w:ascii="宋体" w:hAnsi="宋体" w:eastAsia="宋体" w:cs="宋体"/>
          <w:b w:val="0"/>
          <w:i w:val="0"/>
          <w:color w:val="000000"/>
          <w:spacing w:val="0"/>
          <w:sz w:val="28"/>
          <w:szCs w:val="28"/>
          <w:lang w:val="en-US" w:eastAsia="zh-CN" w:bidi="ar"/>
        </w:rPr>
        <w:t>4、政策风险。新能源行业受国家和地方政策影响较大，电力市场化改革政策、新能源上网电价政策、储能扶持政策等若发生调整，可能直接影响项目收益模式和经济性。地方土地利用规划、矿产资源开发政策和环保监管要求若发生变化，可能影响项目用地合规性和运营许可。行业准入标准和技术规范若提高门槛，项目可能需要追加投资进行升级改造。政策变动的不确定性将对项目合规经营和长期发展规划带来影响。</w:t>
      </w:r>
    </w:p>
    <w:p w14:paraId="3A56321F">
      <w:pPr>
        <w:keepNext w:val="0"/>
        <w:keepLines w:val="0"/>
        <w:widowControl w:val="0"/>
        <w:suppressLineNumbers w:val="0"/>
        <w:autoSpaceDE w:val="0"/>
        <w:autoSpaceDN/>
        <w:spacing w:before="157" w:beforeLines="50" w:beforeAutospacing="0" w:after="157" w:afterLines="50" w:afterAutospacing="0" w:line="360" w:lineRule="auto"/>
        <w:ind w:left="0" w:right="0" w:firstLine="560" w:firstLineChars="200"/>
        <w:jc w:val="both"/>
        <w:rPr>
          <w:rFonts w:hint="eastAsia" w:ascii="宋体" w:hAnsi="宋体" w:eastAsia="宋体" w:cs="宋体"/>
          <w:b w:val="0"/>
          <w:bCs w:val="0"/>
          <w:i w:val="0"/>
          <w:iCs w:val="0"/>
          <w:caps w:val="0"/>
          <w:snapToGrid w:val="0"/>
          <w:color w:val="000000"/>
          <w:spacing w:val="0"/>
          <w:kern w:val="2"/>
          <w:sz w:val="28"/>
          <w:szCs w:val="28"/>
          <w:lang w:val="en-US" w:eastAsia="zh-CN" w:bidi="ar"/>
          <w:woUserID w:val="1"/>
        </w:rPr>
      </w:pPr>
      <w:r>
        <w:rPr>
          <w:rFonts w:hint="eastAsia" w:ascii="宋体" w:hAnsi="宋体" w:eastAsia="宋体" w:cs="宋体"/>
          <w:b w:val="0"/>
          <w:i w:val="0"/>
          <w:color w:val="000000"/>
          <w:spacing w:val="0"/>
          <w:sz w:val="28"/>
          <w:szCs w:val="28"/>
          <w:lang w:val="en-US" w:eastAsia="zh-CN" w:bidi="ar"/>
        </w:rPr>
        <w:t>5、技术风险。本项目涉及光伏组件、储能电池、逆变器、能量管理系统和虚拟电厂平台等多种技术设备，虽然各项技术已相对成熟，但在多系统集成和长期运行中仍可能出现兼容性问题和性能衰减。储能电池循环寿命和容量保持率受使用环境和充放电策略影响，若运维不当可能提前老化失效。光伏组件在恶劣气象条件下存在隐裂和热斑风险，微电网控制系统在并离网切换时可能出现瞬态扰动。技术迭代更新较快，现有设备可能面临性能落后的风险。</w:t>
      </w:r>
    </w:p>
    <w:p w14:paraId="6C77398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1"/>
        <w:rPr>
          <w:rFonts w:hint="eastAsia" w:ascii="宋体" w:hAnsi="宋体" w:eastAsia="宋体" w:cs="宋体"/>
          <w:b/>
          <w:bCs/>
          <w:snapToGrid/>
          <w:color w:val="000000"/>
          <w:spacing w:val="0"/>
          <w:w w:val="100"/>
          <w:kern w:val="2"/>
          <w:position w:val="0"/>
          <w:sz w:val="28"/>
          <w:szCs w:val="28"/>
          <w:lang w:val="en-US" w:eastAsia="zh-CN" w:bidi="ar-SA"/>
        </w:rPr>
      </w:pPr>
      <w:bookmarkStart w:id="2" w:name="_Toc28524"/>
      <w:bookmarkStart w:id="3" w:name="_Toc28226"/>
      <w:r>
        <w:rPr>
          <w:rFonts w:hint="eastAsia" w:ascii="宋体" w:hAnsi="宋体" w:eastAsia="宋体" w:cs="宋体"/>
          <w:b/>
          <w:color w:val="000000"/>
          <w:spacing w:val="0"/>
          <w:sz w:val="28"/>
          <w:szCs w:val="28"/>
          <w:lang w:val="en-US" w:eastAsia="zh-CN" w:bidi="ar-SA"/>
        </w:rPr>
        <w:t>8.2 风险评估</w:t>
      </w:r>
      <w:bookmarkEnd w:id="2"/>
      <w:bookmarkEnd w:id="3"/>
    </w:p>
    <w:p w14:paraId="195101B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通过分析，本项目的风险的主要因素是市场因素和资金因素及管理风险变化因素等构成。</w:t>
      </w:r>
    </w:p>
    <w:p w14:paraId="35D1C1A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由于本项目得到当地政府以及广大群众和相关部门的支持，关于资金、技术、工程方面的风险，均已在项目前期得到了相当的重视，通过政府各部门的有力协调该项目合理措施的制定与实施，可以将这些风险控制在可控范围内，对项目的实施影响程度较小。</w:t>
      </w:r>
    </w:p>
    <w:p w14:paraId="31FCD0D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为确保项目顺利实施，建议项目的建设单位及相关部门应高度重视项目的具体操作，一开始就应该建立风险管理机制，确定相关的责任人，协调和监督项目在各阶段的运行情况，协助项目管理者制定各项管理办法，搜集信息，及时反馈，并编制和不断更新各项风险应急预案，在风险出现之前及时采取措施，有效规避风险，保证项目顺利实施。</w:t>
      </w:r>
    </w:p>
    <w:p w14:paraId="14B9099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center"/>
        <w:textAlignment w:val="baseline"/>
        <w:outlineLvl w:val="9"/>
        <w:rPr>
          <w:rFonts w:hint="eastAsia" w:ascii="宋体" w:hAnsi="宋体" w:eastAsia="宋体" w:cs="宋体"/>
          <w:b/>
          <w:bCs/>
          <w:snapToGrid/>
          <w:spacing w:val="0"/>
          <w:w w:val="100"/>
          <w:kern w:val="2"/>
          <w:position w:val="0"/>
          <w:sz w:val="28"/>
          <w:szCs w:val="28"/>
          <w:lang w:val="en-US" w:eastAsia="zh-CN"/>
        </w:rPr>
      </w:pPr>
      <w:r>
        <w:rPr>
          <w:rFonts w:hint="eastAsia" w:ascii="宋体" w:hAnsi="宋体" w:eastAsia="宋体" w:cs="宋体"/>
          <w:b/>
          <w:spacing w:val="0"/>
          <w:sz w:val="28"/>
          <w:szCs w:val="28"/>
          <w:lang w:val="en-US" w:eastAsia="zh-CN"/>
        </w:rPr>
        <w:t>表8-1风险因素分析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2445"/>
        <w:gridCol w:w="2850"/>
      </w:tblGrid>
      <w:tr w14:paraId="2455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5BD5456">
            <w:pPr>
              <w:widowControl w:val="0"/>
              <w:snapToGrid/>
              <w:jc w:val="center"/>
            </w:pPr>
            <w:r>
              <w:rPr>
                <w:rFonts w:ascii="宋体" w:hAnsi="宋体" w:eastAsia="宋体" w:cs="宋体"/>
                <w:b/>
                <w:color w:val="000000"/>
                <w:sz w:val="21"/>
                <w:szCs w:val="21"/>
                <w:lang w:val="en-US" w:eastAsia="en-US" w:bidi="ar-SA"/>
              </w:rPr>
              <w:t>风险因素名称</w:t>
            </w:r>
          </w:p>
        </w:tc>
        <w:tc>
          <w:tcPr>
            <w:tcW w:w="244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D85FAF1">
            <w:pPr>
              <w:widowControl w:val="0"/>
              <w:snapToGrid/>
              <w:jc w:val="center"/>
            </w:pPr>
            <w:r>
              <w:rPr>
                <w:rFonts w:ascii="宋体" w:hAnsi="宋体" w:eastAsia="宋体" w:cs="宋体"/>
                <w:b/>
                <w:color w:val="000000"/>
                <w:sz w:val="21"/>
                <w:szCs w:val="21"/>
                <w:lang w:val="en-US" w:eastAsia="en-US" w:bidi="ar-SA"/>
              </w:rPr>
              <w:t>风险程度</w:t>
            </w:r>
          </w:p>
        </w:tc>
        <w:tc>
          <w:tcPr>
            <w:tcW w:w="28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98197B6">
            <w:pPr>
              <w:widowControl w:val="0"/>
              <w:snapToGrid/>
              <w:jc w:val="center"/>
            </w:pPr>
            <w:r>
              <w:rPr>
                <w:rFonts w:ascii="宋体" w:hAnsi="宋体" w:eastAsia="宋体" w:cs="宋体"/>
                <w:b/>
                <w:color w:val="000000"/>
                <w:sz w:val="21"/>
                <w:szCs w:val="21"/>
                <w:lang w:val="en-US" w:eastAsia="en-US" w:bidi="ar-SA"/>
              </w:rPr>
              <w:t>说明</w:t>
            </w:r>
          </w:p>
        </w:tc>
      </w:tr>
      <w:tr w14:paraId="3C82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8210869">
            <w:pPr>
              <w:widowControl w:val="0"/>
              <w:snapToGrid/>
              <w:jc w:val="center"/>
            </w:pPr>
            <w:r>
              <w:rPr>
                <w:rFonts w:ascii="宋体" w:hAnsi="宋体" w:eastAsia="宋体" w:cs="宋体"/>
                <w:color w:val="000000"/>
                <w:sz w:val="21"/>
                <w:szCs w:val="21"/>
                <w:lang w:val="en-US" w:eastAsia="en-US" w:bidi="ar-SA"/>
              </w:rPr>
              <w:t>市场风险</w:t>
            </w:r>
          </w:p>
        </w:tc>
        <w:tc>
          <w:tcPr>
            <w:tcW w:w="244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B73A13F">
            <w:pPr>
              <w:widowControl w:val="0"/>
              <w:snapToGrid/>
              <w:jc w:val="center"/>
            </w:pPr>
            <w:r>
              <w:rPr>
                <w:rFonts w:ascii="宋体" w:hAnsi="宋体" w:eastAsia="宋体" w:cs="宋体"/>
                <w:color w:val="000000"/>
                <w:sz w:val="21"/>
                <w:szCs w:val="21"/>
                <w:lang w:val="en-US" w:eastAsia="en-US" w:bidi="ar-SA"/>
              </w:rPr>
              <w:t>一般</w:t>
            </w:r>
          </w:p>
        </w:tc>
        <w:tc>
          <w:tcPr>
            <w:tcW w:w="285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7F6C1C0">
            <w:pPr>
              <w:widowControl w:val="0"/>
              <w:snapToGrid/>
              <w:jc w:val="center"/>
            </w:pPr>
            <w:r>
              <w:rPr>
                <w:rFonts w:ascii="宋体" w:hAnsi="宋体" w:eastAsia="宋体" w:cs="宋体"/>
                <w:color w:val="000000"/>
                <w:sz w:val="21"/>
                <w:szCs w:val="21"/>
                <w:lang w:val="en-US" w:eastAsia="en-US" w:bidi="ar-SA"/>
              </w:rPr>
              <w:t>市场需求及竞争</w:t>
            </w:r>
          </w:p>
        </w:tc>
      </w:tr>
      <w:tr w14:paraId="595D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1D897A">
            <w:pPr>
              <w:widowControl w:val="0"/>
              <w:snapToGrid/>
              <w:jc w:val="center"/>
            </w:pPr>
            <w:r>
              <w:rPr>
                <w:rFonts w:ascii="宋体" w:hAnsi="宋体" w:eastAsia="宋体" w:cs="宋体"/>
                <w:color w:val="000000"/>
                <w:sz w:val="21"/>
                <w:szCs w:val="21"/>
                <w:lang w:val="en-US" w:eastAsia="en-US" w:bidi="ar-SA"/>
              </w:rPr>
              <w:t>资金风险</w:t>
            </w:r>
          </w:p>
        </w:tc>
        <w:tc>
          <w:tcPr>
            <w:tcW w:w="244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C894379">
            <w:pPr>
              <w:widowControl w:val="0"/>
              <w:snapToGrid/>
              <w:jc w:val="center"/>
            </w:pPr>
            <w:r>
              <w:rPr>
                <w:rFonts w:ascii="宋体" w:hAnsi="宋体" w:eastAsia="宋体" w:cs="宋体"/>
                <w:color w:val="000000"/>
                <w:sz w:val="21"/>
                <w:szCs w:val="21"/>
                <w:lang w:val="en-US" w:eastAsia="en-US" w:bidi="ar-SA"/>
              </w:rPr>
              <w:t>一般</w:t>
            </w:r>
          </w:p>
        </w:tc>
        <w:tc>
          <w:tcPr>
            <w:tcW w:w="285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C04C06">
            <w:pPr>
              <w:widowControl w:val="0"/>
              <w:snapToGrid/>
              <w:jc w:val="center"/>
            </w:pPr>
            <w:r>
              <w:rPr>
                <w:rFonts w:ascii="宋体" w:hAnsi="宋体" w:eastAsia="宋体" w:cs="宋体"/>
                <w:color w:val="000000"/>
                <w:sz w:val="21"/>
                <w:szCs w:val="21"/>
                <w:lang w:val="en-US" w:eastAsia="en-US" w:bidi="ar-SA"/>
              </w:rPr>
              <w:t>项目投资额较大</w:t>
            </w:r>
          </w:p>
        </w:tc>
      </w:tr>
      <w:tr w14:paraId="5392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C308405">
            <w:pPr>
              <w:widowControl w:val="0"/>
              <w:snapToGrid/>
              <w:jc w:val="center"/>
            </w:pPr>
            <w:r>
              <w:rPr>
                <w:rFonts w:ascii="宋体" w:hAnsi="宋体" w:eastAsia="宋体" w:cs="宋体"/>
                <w:color w:val="000000"/>
                <w:sz w:val="21"/>
                <w:szCs w:val="21"/>
                <w:lang w:val="en-US" w:eastAsia="en-US" w:bidi="ar-SA"/>
              </w:rPr>
              <w:t>项目策划与管理风险</w:t>
            </w:r>
          </w:p>
        </w:tc>
        <w:tc>
          <w:tcPr>
            <w:tcW w:w="244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564C16">
            <w:pPr>
              <w:widowControl w:val="0"/>
              <w:snapToGrid/>
              <w:jc w:val="center"/>
            </w:pPr>
            <w:r>
              <w:rPr>
                <w:rFonts w:ascii="宋体" w:hAnsi="宋体" w:eastAsia="宋体" w:cs="宋体"/>
                <w:color w:val="000000"/>
                <w:sz w:val="21"/>
                <w:szCs w:val="21"/>
                <w:lang w:val="en-US" w:eastAsia="en-US" w:bidi="ar-SA"/>
              </w:rPr>
              <w:t>一般</w:t>
            </w:r>
          </w:p>
        </w:tc>
        <w:tc>
          <w:tcPr>
            <w:tcW w:w="285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CF1359B">
            <w:pPr>
              <w:widowControl w:val="0"/>
              <w:snapToGrid/>
              <w:jc w:val="center"/>
            </w:pPr>
            <w:r>
              <w:rPr>
                <w:rFonts w:ascii="宋体" w:hAnsi="宋体" w:eastAsia="宋体" w:cs="宋体"/>
                <w:color w:val="000000"/>
                <w:sz w:val="21"/>
                <w:szCs w:val="21"/>
                <w:lang w:val="en-US" w:eastAsia="en-US" w:bidi="ar-SA"/>
              </w:rPr>
              <w:t>项目功能系统复杂</w:t>
            </w:r>
          </w:p>
        </w:tc>
      </w:tr>
      <w:tr w14:paraId="0E3F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58FC1FB">
            <w:pPr>
              <w:widowControl w:val="0"/>
              <w:snapToGrid/>
              <w:jc w:val="center"/>
            </w:pPr>
            <w:r>
              <w:rPr>
                <w:rFonts w:ascii="宋体" w:hAnsi="宋体" w:eastAsia="宋体" w:cs="宋体"/>
                <w:color w:val="000000"/>
                <w:sz w:val="21"/>
                <w:szCs w:val="21"/>
                <w:lang w:val="en-US" w:eastAsia="en-US" w:bidi="ar-SA"/>
              </w:rPr>
              <w:t>政策风险</w:t>
            </w:r>
          </w:p>
        </w:tc>
        <w:tc>
          <w:tcPr>
            <w:tcW w:w="244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45209D4">
            <w:pPr>
              <w:widowControl w:val="0"/>
              <w:snapToGrid/>
              <w:jc w:val="center"/>
            </w:pPr>
            <w:r>
              <w:rPr>
                <w:rFonts w:ascii="宋体" w:hAnsi="宋体" w:eastAsia="宋体" w:cs="宋体"/>
                <w:color w:val="000000"/>
                <w:sz w:val="21"/>
                <w:szCs w:val="21"/>
                <w:lang w:val="en-US" w:eastAsia="en-US" w:bidi="ar-SA"/>
              </w:rPr>
              <w:t>一般</w:t>
            </w:r>
          </w:p>
        </w:tc>
        <w:tc>
          <w:tcPr>
            <w:tcW w:w="285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A8C139">
            <w:pPr>
              <w:widowControl w:val="0"/>
              <w:snapToGrid/>
              <w:jc w:val="center"/>
            </w:pPr>
            <w:r>
              <w:rPr>
                <w:rFonts w:ascii="宋体" w:hAnsi="宋体" w:eastAsia="宋体" w:cs="宋体"/>
                <w:color w:val="000000"/>
                <w:sz w:val="21"/>
                <w:szCs w:val="21"/>
                <w:lang w:val="en-US" w:eastAsia="en-US" w:bidi="ar-SA"/>
              </w:rPr>
              <w:t>具有政策优势</w:t>
            </w:r>
          </w:p>
        </w:tc>
      </w:tr>
      <w:tr w14:paraId="23A7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DA8D06">
            <w:pPr>
              <w:widowControl w:val="0"/>
              <w:snapToGrid/>
              <w:jc w:val="center"/>
            </w:pPr>
            <w:r>
              <w:rPr>
                <w:rFonts w:ascii="宋体" w:hAnsi="宋体" w:eastAsia="宋体" w:cs="宋体"/>
                <w:color w:val="000000"/>
                <w:sz w:val="21"/>
                <w:szCs w:val="21"/>
                <w:lang w:val="en-US" w:eastAsia="en-US" w:bidi="ar-SA"/>
              </w:rPr>
              <w:t>技术风险</w:t>
            </w:r>
          </w:p>
        </w:tc>
        <w:tc>
          <w:tcPr>
            <w:tcW w:w="244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7EA55E">
            <w:pPr>
              <w:widowControl w:val="0"/>
              <w:snapToGrid/>
              <w:jc w:val="center"/>
            </w:pPr>
            <w:r>
              <w:rPr>
                <w:rFonts w:ascii="宋体" w:hAnsi="宋体" w:eastAsia="宋体" w:cs="宋体"/>
                <w:color w:val="000000"/>
                <w:sz w:val="21"/>
                <w:szCs w:val="21"/>
                <w:lang w:val="en-US" w:eastAsia="en-US" w:bidi="ar-SA"/>
              </w:rPr>
              <w:t>较小</w:t>
            </w:r>
          </w:p>
        </w:tc>
        <w:tc>
          <w:tcPr>
            <w:tcW w:w="285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A56EB9">
            <w:pPr>
              <w:widowControl w:val="0"/>
              <w:snapToGrid/>
              <w:jc w:val="center"/>
            </w:pPr>
            <w:r>
              <w:rPr>
                <w:rFonts w:ascii="宋体" w:hAnsi="宋体" w:eastAsia="宋体" w:cs="宋体"/>
                <w:color w:val="000000"/>
                <w:sz w:val="21"/>
                <w:szCs w:val="21"/>
                <w:lang w:val="en-US" w:eastAsia="en-US" w:bidi="ar-SA"/>
              </w:rPr>
              <w:t>技术成熟</w:t>
            </w:r>
          </w:p>
        </w:tc>
      </w:tr>
    </w:tbl>
    <w:p w14:paraId="6F507564">
      <w:pPr>
        <w:keepNext w:val="0"/>
        <w:keepLines w:val="0"/>
        <w:pageBreakBefore w:val="0"/>
        <w:widowControl w:val="0"/>
        <w:kinsoku/>
        <w:wordWrap/>
        <w:overflowPunct/>
        <w:topLinePunct/>
        <w:autoSpaceDE w:val="0"/>
        <w:autoSpaceDN/>
        <w:bidi w:val="0"/>
        <w:adjustRightInd/>
        <w:snapToGrid/>
        <w:spacing w:before="120" w:beforeLines="50" w:after="120" w:afterLines="50" w:line="360" w:lineRule="auto"/>
        <w:ind w:firstLine="420" w:firstLineChars="200"/>
        <w:jc w:val="both"/>
        <w:textAlignment w:val="auto"/>
        <w:rPr>
          <w:rFonts w:ascii="宋体" w:hAnsi="宋体" w:eastAsia="宋体" w:cs="宋体"/>
          <w:snapToGrid/>
          <w:color w:val="auto"/>
          <w:kern w:val="2"/>
          <w:lang w:eastAsia="zh-CN" w:bidi="zh-CN"/>
        </w:rPr>
      </w:pPr>
      <w:r>
        <w:rPr>
          <w:rFonts w:hint="eastAsia" w:ascii="宋体" w:hAnsi="宋体" w:eastAsia="宋体" w:cs="宋体"/>
          <w:color w:val="auto"/>
          <w:sz w:val="21"/>
          <w:szCs w:val="21"/>
          <w:lang w:eastAsia="zh-CN" w:bidi="zh-CN"/>
        </w:rPr>
        <w:t>注：上表把风险程度分为五个档次：微小、较小、一般、较大、重大。</w:t>
      </w:r>
    </w:p>
    <w:p w14:paraId="0C2D7850">
      <w:pPr>
        <w:pStyle w:val="3"/>
        <w:keepNext w:val="0"/>
        <w:keepLines w:val="0"/>
        <w:widowControl w:val="0"/>
        <w:kinsoku/>
        <w:adjustRightInd/>
        <w:snapToGrid/>
        <w:spacing w:before="120" w:beforeLines="50" w:after="120" w:afterLines="50" w:line="360" w:lineRule="auto"/>
        <w:jc w:val="both"/>
        <w:rPr>
          <w:rFonts w:hint="eastAsia" w:ascii="宋体" w:hAnsi="宋体" w:eastAsia="宋体" w:cs="宋体"/>
          <w:b/>
          <w:bCs/>
          <w:snapToGrid/>
          <w:color w:val="000000"/>
          <w:spacing w:val="0"/>
          <w:w w:val="100"/>
          <w:kern w:val="2"/>
          <w:position w:val="0"/>
          <w:sz w:val="28"/>
          <w:szCs w:val="28"/>
          <w:lang w:val="en-US" w:eastAsia="zh-CN" w:bidi="ar-SA"/>
        </w:rPr>
      </w:pPr>
      <w:bookmarkStart w:id="4" w:name="_Toc11781"/>
      <w:bookmarkStart w:id="5" w:name="_Toc9689"/>
      <w:r>
        <w:rPr>
          <w:rFonts w:hint="eastAsia" w:ascii="宋体" w:hAnsi="宋体" w:eastAsia="宋体" w:cs="宋体"/>
          <w:b/>
          <w:color w:val="000000"/>
          <w:spacing w:val="0"/>
          <w:sz w:val="28"/>
          <w:szCs w:val="28"/>
          <w:lang w:val="en-US" w:eastAsia="zh-CN" w:bidi="ar-SA"/>
        </w:rPr>
        <w:t>8.3 风险管控方案</w:t>
      </w:r>
      <w:bookmarkEnd w:id="4"/>
      <w:bookmarkEnd w:id="5"/>
    </w:p>
    <w:p w14:paraId="62CF5D0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color w:val="auto"/>
          <w:spacing w:val="0"/>
          <w:sz w:val="28"/>
          <w:szCs w:val="28"/>
          <w:lang w:val="en-US" w:eastAsia="zh-CN" w:bidi="zh-CN"/>
        </w:rPr>
      </w:pPr>
      <w:r>
        <w:rPr>
          <w:rFonts w:hint="eastAsia" w:ascii="宋体" w:hAnsi="宋体" w:eastAsia="宋体" w:cs="宋体"/>
          <w:color w:val="auto"/>
          <w:spacing w:val="0"/>
          <w:sz w:val="28"/>
          <w:szCs w:val="28"/>
          <w:lang w:val="en-US" w:eastAsia="zh-CN" w:bidi="zh-CN"/>
        </w:rPr>
        <w:t>项目投资的成功在很大程度上依赖于对风险的认识和管理，及早发现或预测到上述风险并能及时地采取有效的措施，可以化解或缓和、减轻、控制这些风险。本项目控制风险的措施如下：</w:t>
      </w:r>
    </w:p>
    <w:p w14:paraId="71E85F6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color w:val="auto"/>
          <w:spacing w:val="0"/>
          <w:sz w:val="28"/>
          <w:szCs w:val="28"/>
          <w:lang w:val="en-US" w:eastAsia="zh-CN" w:bidi="zh-CN"/>
        </w:rPr>
      </w:pPr>
      <w:r>
        <w:rPr>
          <w:rFonts w:hint="eastAsia" w:ascii="宋体" w:hAnsi="宋体" w:eastAsia="宋体" w:cs="宋体"/>
          <w:color w:val="auto"/>
          <w:spacing w:val="0"/>
          <w:sz w:val="28"/>
          <w:szCs w:val="28"/>
          <w:lang w:val="en-US" w:eastAsia="zh-CN" w:bidi="zh-CN"/>
        </w:rPr>
        <w:t>1、市场风险应对。加强与用电企业的沟通协调，签订长期稳定的电力供应协议，锁定售电关系和电价机制，降低单一客户依赖风险。密切关注电力市场动态和行业发展趋势，灵活调整运营策略，积极拓展虚拟电厂运营等增量收益渠道。建立市场信息收集和分析机制，及时掌握竞争对手动态和政策变化，制定差异化经营方案。持续优化运维管理降低运营成本，提升项目盈利能力和抗风险能力，确保项目在市场环境变化中保持竞争力。</w:t>
      </w:r>
    </w:p>
    <w:p w14:paraId="24D39C8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color w:val="auto"/>
          <w:spacing w:val="0"/>
          <w:sz w:val="28"/>
          <w:szCs w:val="28"/>
          <w:lang w:val="en-US" w:eastAsia="zh-CN" w:bidi="zh-CN"/>
        </w:rPr>
      </w:pPr>
      <w:r>
        <w:rPr>
          <w:rFonts w:hint="eastAsia" w:ascii="宋体" w:hAnsi="宋体" w:eastAsia="宋体" w:cs="宋体"/>
          <w:color w:val="auto"/>
          <w:spacing w:val="0"/>
          <w:sz w:val="28"/>
          <w:szCs w:val="28"/>
          <w:lang w:val="en-US" w:eastAsia="zh-CN" w:bidi="zh-CN"/>
        </w:rPr>
        <w:t>2、资金风险应对。积极拓展多元化融资渠道，除银行贷款外探索绿色债券、融资租赁、产业基金等融资方式，降低单一融资来源依赖。合理编制投资预算和资金使用计划，严格执行工程概算管理，加强建设过程成本控制，防止投资超概算。建立分阶段资金拨付机制，根据工程进度合理安排资金支出，强化现金流预测和管理，确保资金链安全稳定。积极对接政策性资金支持和绿色金融优惠政策，降低融资成本，保障项目建设和运营资金需求。</w:t>
      </w:r>
    </w:p>
    <w:p w14:paraId="4B7C844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color w:val="auto"/>
          <w:spacing w:val="0"/>
          <w:sz w:val="28"/>
          <w:szCs w:val="28"/>
          <w:lang w:val="en-US" w:eastAsia="zh-CN" w:bidi="zh-CN"/>
        </w:rPr>
      </w:pPr>
      <w:r>
        <w:rPr>
          <w:rFonts w:hint="eastAsia" w:ascii="宋体" w:hAnsi="宋体" w:eastAsia="宋体" w:cs="宋体"/>
          <w:color w:val="auto"/>
          <w:spacing w:val="0"/>
          <w:sz w:val="28"/>
          <w:szCs w:val="28"/>
          <w:lang w:val="en-US" w:eastAsia="zh-CN" w:bidi="zh-CN"/>
        </w:rPr>
        <w:t>3、项目策划及管理风险应对。完善项目组织架构，建立扁平化高效的管理体系，明确各部门职责权限和汇报关系，实现管理流程规范化。制定覆盖各业态的精细化管理制度和操作规程，建立跨部门协调沟通机制，确保各业务板块高效协同运转。加强人员培训和能力建设，制定岗位培训计划和职业发展通道，建立绩效考核和激励机制，吸引和留住专业人才。强化内部审计监督管理，定期开展管理评估和流程优化，持续提升项目管理水平和运营效率。</w:t>
      </w:r>
    </w:p>
    <w:p w14:paraId="14DB038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color w:val="auto"/>
          <w:spacing w:val="0"/>
          <w:sz w:val="28"/>
          <w:szCs w:val="28"/>
          <w:lang w:val="en-US" w:eastAsia="zh-CN" w:bidi="zh-CN"/>
        </w:rPr>
      </w:pPr>
      <w:r>
        <w:rPr>
          <w:rFonts w:hint="eastAsia" w:ascii="宋体" w:hAnsi="宋体" w:eastAsia="宋体" w:cs="宋体"/>
          <w:color w:val="auto"/>
          <w:spacing w:val="0"/>
          <w:sz w:val="28"/>
          <w:szCs w:val="28"/>
          <w:lang w:val="en-US" w:eastAsia="zh-CN" w:bidi="zh-CN"/>
        </w:rPr>
        <w:t>4、政策风险应对。安排专人跟踪国家和地方新能源政策、电力市场改革政策、环保法规等动态，建立政策信息收集和研判机制，及时掌握政策变化趋势。加强与政府主管部门的沟通联系，积极参与行业政策研讨和标准制定，争取政策支持和资源倾斜。根据政策变化及时调整项目运营策略和发展规划，主动适应政策要求，确保项目合规经营。充分利用现行优惠政策，在政策窗口期内加快推进项目建设，锁定有利政策条件。</w:t>
      </w:r>
    </w:p>
    <w:p w14:paraId="3D54C0F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color w:val="auto"/>
          <w:spacing w:val="0"/>
          <w:sz w:val="28"/>
          <w:szCs w:val="28"/>
          <w:lang w:val="en-US" w:eastAsia="zh-CN" w:bidi="zh-CN"/>
        </w:rPr>
      </w:pPr>
      <w:r>
        <w:rPr>
          <w:rFonts w:hint="eastAsia" w:ascii="宋体" w:hAnsi="宋体" w:eastAsia="宋体" w:cs="宋体"/>
          <w:color w:val="auto"/>
          <w:spacing w:val="0"/>
          <w:sz w:val="28"/>
          <w:szCs w:val="28"/>
          <w:lang w:val="en-US" w:eastAsia="zh-CN" w:bidi="zh-CN"/>
        </w:rPr>
        <w:t>5、技术风险应对。选用技术成熟、质量可靠的光伏组件、储能系统和逆变器等关键设备，优先选择具有良好市场口碑和售后服务保障的品牌产品。与专业技术服务商建立长期合作关系，签订设备维护保养协议，确保设备故障及时修复和技术支持到位。建立设备全生命周期维保体系，制定预防性维护计划和设备更新改造方案，延长设备使用寿命。开展运维人员技术培训，提升故障诊断和应急处置能力，储备关键备品备件和备选技术方案，保障技术体系长期稳定可靠运行。</w:t>
      </w:r>
    </w:p>
    <w:p w14:paraId="38357AFF">
      <w:pPr>
        <w:pStyle w:val="3"/>
        <w:keepNext w:val="0"/>
        <w:keepLines w:val="0"/>
        <w:widowControl w:val="0"/>
        <w:kinsoku/>
        <w:adjustRightInd/>
        <w:snapToGrid/>
        <w:spacing w:before="120" w:beforeLines="50" w:after="120" w:afterLines="50" w:line="360" w:lineRule="auto"/>
        <w:rPr>
          <w:rFonts w:hint="eastAsia" w:ascii="宋体" w:hAnsi="宋体" w:eastAsia="宋体" w:cs="宋体"/>
          <w:b/>
          <w:bCs/>
          <w:snapToGrid/>
          <w:color w:val="000000"/>
          <w:spacing w:val="0"/>
          <w:w w:val="100"/>
          <w:kern w:val="2"/>
          <w:position w:val="0"/>
          <w:sz w:val="28"/>
          <w:szCs w:val="28"/>
          <w:lang w:val="en-US" w:eastAsia="zh-CN" w:bidi="ar-SA"/>
        </w:rPr>
      </w:pPr>
      <w:bookmarkStart w:id="6" w:name="_Toc20392"/>
      <w:bookmarkStart w:id="7" w:name="_Toc15912"/>
      <w:r>
        <w:rPr>
          <w:rFonts w:hint="eastAsia" w:ascii="宋体" w:hAnsi="宋体" w:eastAsia="宋体" w:cs="宋体"/>
          <w:b/>
          <w:color w:val="000000"/>
          <w:spacing w:val="0"/>
          <w:sz w:val="28"/>
          <w:szCs w:val="28"/>
          <w:lang w:val="en-US" w:eastAsia="zh-CN" w:bidi="ar-SA"/>
        </w:rPr>
        <w:t>8.4 重大风险管控应急预案</w:t>
      </w:r>
      <w:bookmarkEnd w:id="6"/>
      <w:bookmarkEnd w:id="7"/>
    </w:p>
    <w:p w14:paraId="43C3812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bookmarkStart w:id="8" w:name="_GoBack"/>
      <w:bookmarkEnd w:id="8"/>
      <w:r>
        <w:rPr>
          <w:rFonts w:hint="eastAsia" w:ascii="宋体" w:hAnsi="宋体" w:eastAsia="宋体" w:cs="宋体"/>
          <w:color w:val="auto"/>
          <w:spacing w:val="0"/>
          <w:sz w:val="28"/>
          <w:szCs w:val="28"/>
          <w:lang w:val="en-US" w:eastAsia="zh-CN" w:bidi="zh-CN"/>
        </w:rPr>
        <w:t>根据对各种风险因素及风险程度的分析，本项目面临的主要风险已经明确，针对这些风险因素提出如下防范和降低风险的措施：</w:t>
      </w:r>
    </w:p>
    <w:p w14:paraId="78AA8BB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1、为了使该项目顺利实施，甲方事前做好充分准备，通过多渠道进行融资，利用好各级政府的各项优惠政策，在保证质量的前提下，加快项目实施进度，尽可能规避融资风险。</w:t>
      </w:r>
    </w:p>
    <w:p w14:paraId="4C36FC0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2、加强光伏及储能工程施工管理，严格把控光伏组件安装、储能系统调试和微电网集成质量，确保各分项工程按期完工并顺利并网投产。</w:t>
      </w:r>
    </w:p>
    <w:p w14:paraId="3381F62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3、加强项目运营管理，完善内部监管体系，严控工程造价和运营成本，提升跨业态统筹协调能力，确保项目投资效益最大化。</w:t>
      </w:r>
    </w:p>
    <w:p w14:paraId="6AE3F4D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4、密切关注国家宏观经济政策的变化，加强对影响行业的政策和相关因素的分析研究，及时制定有效的对策，使建设规模和结构适应行业发展和市场供求的趋势，尽可能把政策影响降低到最低水平，确保本项目的顺利实施。</w:t>
      </w:r>
    </w:p>
    <w:p w14:paraId="13EAB18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color w:val="auto"/>
          <w:spacing w:val="0"/>
          <w:sz w:val="28"/>
          <w:szCs w:val="28"/>
          <w:lang w:val="en-US" w:eastAsia="zh-CN" w:bidi="zh-CN"/>
        </w:rPr>
        <w:t>5、要严格贯彻执行建设和管理的有关法规，加强人员培训，严格技术管理，严把建设过程的每一道关口，确保工程质量稳定可靠。</w:t>
      </w:r>
    </w:p>
    <w:p w14:paraId="51E06B9D">
      <w:pPr>
        <w:rPr>
          <w:rFonts w:hint="eastAsia" w:ascii="宋体" w:hAnsi="宋体" w:eastAsia="宋体" w:cs="宋体"/>
          <w:b/>
          <w:bCs/>
          <w:snapToGrid w:val="0"/>
          <w:color w:val="auto"/>
          <w:kern w:val="0"/>
          <w:sz w:val="36"/>
          <w:szCs w:val="36"/>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016FF"/>
    <w:rsid w:val="183A48BA"/>
    <w:rsid w:val="53FA63B2"/>
    <w:rsid w:val="57D54C01"/>
    <w:rsid w:val="6FAFF793"/>
    <w:rsid w:val="75FCC62A"/>
    <w:rsid w:val="7FCC4EBA"/>
    <w:rsid w:val="C77F76C8"/>
    <w:rsid w:val="CDFC1BB8"/>
    <w:rsid w:val="DD5FACFF"/>
    <w:rsid w:val="DEFF5706"/>
    <w:rsid w:val="E8FFC209"/>
    <w:rsid w:val="EFEE891A"/>
    <w:rsid w:val="FDF74E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Autospacing="0" w:after="330" w:afterAutospacing="0" w:line="576" w:lineRule="auto"/>
      <w:outlineLvl w:val="0"/>
    </w:pPr>
    <w:rPr>
      <w:rFonts w:ascii="Calibri" w:hAnsi="Calibri" w:eastAsia="黑体"/>
      <w:b/>
      <w:kern w:val="44"/>
      <w:sz w:val="36"/>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2959</Words>
  <Characters>2969</Characters>
  <Lines>1</Lines>
  <Paragraphs>1</Paragraphs>
  <TotalTime>0</TotalTime>
  <ScaleCrop>false</ScaleCrop>
  <LinksUpToDate>false</LinksUpToDate>
  <CharactersWithSpaces>2974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2026-05-27T14:17:00Z</dcterms:created>
  <dc:creator>thinkpad</dc:creator>
  <cp:lastModifiedBy>高昂</cp:lastModifiedBy>
  <dcterms:modified xsi:type="dcterms:W3CDTF">2026-06-09T10:42:37Z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eyJoZGlkIjoiMDc3OTI0Zjg1OWJkMjY4YjkyZmJhYWE2MGVkMDZlYTYiLCJ1c2VySWQiOiIxNjMzOTIwMzE5In0=</vt:lpwstr>
  </property>
  <property fmtid="{D5CDD505-2E9C-101B-9397-08002B2CF9AE}" pid="4" name="ICV">
    <vt:lpwstr>7DC9DCF5F6D86051EDBB276AFF820653_43</vt:lpwstr>
  </property>
</Properties>
</file>