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before="0" w:beforeLines="150" w:after="0" w:afterLines="150"/>
        <w:ind w:firstLine="0"/>
        <w:jc w:val="center"/>
        <w:textAlignment w:val="auto"/>
        <w:rPr>
          <w:rFonts w:ascii="Times New Roman" w:hAnsi="Times New Roman" w:eastAsia="宋体"/>
          <w:b/>
          <w:bCs/>
          <w:color w:val="000000"/>
          <w:sz w:val="52"/>
          <w:szCs w:val="52"/>
        </w:rPr>
      </w:pPr>
    </w:p>
    <w:p>
      <w:pPr>
        <w:keepNext w:val="0"/>
        <w:keepLines w:val="0"/>
        <w:pageBreakBefore w:val="0"/>
        <w:widowControl/>
        <w:kinsoku/>
        <w:wordWrap/>
        <w:overflowPunct/>
        <w:topLinePunct w:val="0"/>
        <w:autoSpaceDE/>
        <w:autoSpaceDN/>
        <w:bidi w:val="0"/>
        <w:adjustRightInd/>
        <w:snapToGrid/>
        <w:spacing w:before="0" w:beforeLines="150" w:after="0" w:afterLines="150"/>
        <w:ind w:firstLine="0"/>
        <w:jc w:val="center"/>
        <w:textAlignment w:val="auto"/>
        <w:rPr>
          <w:rFonts w:ascii="Times New Roman" w:hAnsi="Times New Roman" w:eastAsia="宋体"/>
          <w:b/>
          <w:bCs/>
          <w:color w:val="000000"/>
          <w:sz w:val="52"/>
          <w:szCs w:val="52"/>
        </w:rPr>
      </w:pPr>
    </w:p>
    <w:p>
      <w:pPr>
        <w:keepNext w:val="0"/>
        <w:keepLines w:val="0"/>
        <w:pageBreakBefore w:val="0"/>
        <w:widowControl/>
        <w:kinsoku/>
        <w:wordWrap/>
        <w:overflowPunct/>
        <w:topLinePunct w:val="0"/>
        <w:autoSpaceDE/>
        <w:autoSpaceDN/>
        <w:bidi w:val="0"/>
        <w:adjustRightInd/>
        <w:snapToGrid/>
        <w:spacing w:before="0" w:beforeLines="150" w:after="0" w:afterLines="150"/>
        <w:ind w:firstLine="0"/>
        <w:jc w:val="center"/>
        <w:textAlignment w:val="auto"/>
        <w:rPr>
          <w:sz w:val="52"/>
          <w:szCs w:val="52"/>
        </w:rPr>
      </w:pPr>
      <w:bookmarkStart w:id="0" w:name="_GoBack"/>
      <w:bookmarkEnd w:id="0"/>
      <w:r>
        <w:rPr>
          <w:rFonts w:ascii="Times New Roman" w:hAnsi="Times New Roman" w:eastAsia="宋体"/>
          <w:b/>
          <w:bCs/>
          <w:color w:val="000000"/>
          <w:sz w:val="52"/>
          <w:szCs w:val="52"/>
        </w:rPr>
        <w:t>汝阳县金堆城矿山修复与微网一体化项目可行性研究报告</w:t>
      </w:r>
    </w:p>
    <w:p>
      <w:pPr>
        <w:spacing w:before="2400"/>
      </w:pPr>
    </w:p>
    <w:p>
      <w:pPr>
        <w:spacing w:before="2400"/>
        <w:ind w:firstLine="0"/>
      </w:pPr>
    </w:p>
    <w:p>
      <w:pPr>
        <w:spacing w:before="400" w:after="200"/>
        <w:ind w:firstLine="0"/>
        <w:jc w:val="center"/>
        <w:rPr>
          <w:rFonts w:hint="eastAsia" w:ascii="宋体" w:hAnsi="宋体" w:eastAsia="宋体" w:cs="宋体"/>
          <w:sz w:val="36"/>
          <w:szCs w:val="36"/>
        </w:rPr>
      </w:pPr>
      <w:r>
        <w:rPr>
          <w:rFonts w:hint="eastAsia" w:ascii="宋体" w:hAnsi="宋体" w:eastAsia="宋体" w:cs="宋体"/>
          <w:b/>
          <w:bCs/>
          <w:color w:val="000000"/>
          <w:sz w:val="36"/>
          <w:szCs w:val="36"/>
        </w:rPr>
        <w:t>建设单位：汝阳城市建设公司</w:t>
      </w:r>
    </w:p>
    <w:p>
      <w:pPr>
        <w:spacing w:before="200" w:after="200"/>
        <w:ind w:firstLine="0"/>
        <w:jc w:val="center"/>
        <w:rPr>
          <w:rFonts w:hint="eastAsia" w:ascii="宋体" w:hAnsi="宋体" w:eastAsia="宋体" w:cs="宋体"/>
          <w:sz w:val="36"/>
          <w:szCs w:val="36"/>
        </w:rPr>
      </w:pPr>
      <w:r>
        <w:rPr>
          <w:rFonts w:hint="eastAsia" w:ascii="宋体" w:hAnsi="宋体" w:eastAsia="宋体" w:cs="宋体"/>
          <w:b/>
          <w:bCs/>
          <w:color w:val="000000"/>
          <w:sz w:val="36"/>
          <w:szCs w:val="36"/>
        </w:rPr>
        <w:t>编制单位：北京新元工程咨询有限公司</w:t>
      </w:r>
    </w:p>
    <w:p>
      <w:pPr>
        <w:spacing w:before="200" w:after="200"/>
        <w:ind w:firstLine="0"/>
        <w:jc w:val="center"/>
        <w:rPr>
          <w:rFonts w:hint="eastAsia" w:ascii="宋体" w:hAnsi="宋体" w:eastAsia="宋体" w:cs="宋体"/>
          <w:sz w:val="36"/>
          <w:szCs w:val="36"/>
        </w:rPr>
      </w:pPr>
      <w:r>
        <w:rPr>
          <w:rFonts w:hint="eastAsia" w:ascii="宋体" w:hAnsi="宋体" w:eastAsia="宋体" w:cs="宋体"/>
          <w:b/>
          <w:bCs/>
          <w:color w:val="000000"/>
          <w:sz w:val="36"/>
          <w:szCs w:val="36"/>
        </w:rPr>
        <w:t>编制日期：2026年6月</w:t>
      </w:r>
    </w:p>
    <w:p>
      <w:pPr>
        <w:rPr>
          <w:rFonts w:hint="eastAsia" w:ascii="宋体" w:hAnsi="宋体" w:eastAsia="宋体" w:cs="宋体"/>
          <w:sz w:val="36"/>
          <w:szCs w:val="36"/>
        </w:rPr>
        <w:sectPr>
          <w:pgSz w:w="11906" w:h="16838"/>
          <w:pgMar w:top="1440" w:right="1800" w:bottom="1440" w:left="1800" w:header="720" w:footer="720" w:gutter="0"/>
          <w:cols w:space="720" w:num="1"/>
          <w:titlePg/>
        </w:sectPr>
      </w:pPr>
    </w:p>
    <w:p>
      <w:pPr>
        <w:rPr>
          <w:rFonts w:hint="eastAsia"/>
          <w:lang w:val="en-US" w:eastAsia="zh-CN"/>
        </w:rPr>
        <w:sectPr>
          <w:pgSz w:w="16838" w:h="11906" w:orient="landscape"/>
          <w:pgMar w:top="1800" w:right="1440" w:bottom="1800" w:left="1440" w:header="720" w:footer="720" w:gutter="0"/>
          <w:cols w:space="720" w:num="1"/>
          <w:titlePg/>
        </w:sectPr>
      </w:pPr>
      <w:r>
        <w:rPr>
          <w:rFonts w:hint="eastAsia"/>
          <w:lang w:val="en-US" w:eastAsia="zh-CN"/>
        </w:rPr>
        <w:drawing>
          <wp:inline distT="0" distB="0" distL="114300" distR="114300">
            <wp:extent cx="7002780" cy="4957445"/>
            <wp:effectExtent l="0" t="0" r="7620" b="10795"/>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7"/>
                    <a:stretch>
                      <a:fillRect/>
                    </a:stretch>
                  </pic:blipFill>
                  <pic:spPr>
                    <a:xfrm>
                      <a:off x="0" y="0"/>
                      <a:ext cx="7002780" cy="4957445"/>
                    </a:xfrm>
                    <a:prstGeom prst="rect">
                      <a:avLst/>
                    </a:prstGeom>
                  </pic:spPr>
                </pic:pic>
              </a:graphicData>
            </a:graphic>
          </wp:inline>
        </w:drawing>
      </w:r>
    </w:p>
    <w:p>
      <w:pPr>
        <w:rPr>
          <w:rFonts w:hint="eastAsia"/>
          <w:lang w:val="en-US" w:eastAsia="zh-CN"/>
        </w:rPr>
        <w:sectPr>
          <w:pgSz w:w="16838" w:h="11906" w:orient="landscape"/>
          <w:pgMar w:top="1800" w:right="1440" w:bottom="1800" w:left="1440" w:header="720" w:footer="720" w:gutter="0"/>
          <w:cols w:space="720" w:num="1"/>
          <w:titlePg/>
        </w:sectPr>
      </w:pPr>
      <w:r>
        <w:rPr>
          <w:rFonts w:hint="eastAsia"/>
          <w:lang w:val="en-US" w:eastAsia="zh-CN"/>
        </w:rPr>
        <w:drawing>
          <wp:inline distT="0" distB="0" distL="114300" distR="114300">
            <wp:extent cx="8138160" cy="5633720"/>
            <wp:effectExtent l="0" t="0" r="0" b="5080"/>
            <wp:docPr id="5"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2"/>
                    <pic:cNvPicPr>
                      <a:picLocks noChangeAspect="1"/>
                    </pic:cNvPicPr>
                  </pic:nvPicPr>
                  <pic:blipFill>
                    <a:blip r:embed="rId8"/>
                    <a:stretch>
                      <a:fillRect/>
                    </a:stretch>
                  </pic:blipFill>
                  <pic:spPr>
                    <a:xfrm>
                      <a:off x="0" y="0"/>
                      <a:ext cx="8138160" cy="5633720"/>
                    </a:xfrm>
                    <a:prstGeom prst="rect">
                      <a:avLst/>
                    </a:prstGeom>
                  </pic:spPr>
                </pic:pic>
              </a:graphicData>
            </a:graphic>
          </wp:inline>
        </w:drawing>
      </w:r>
    </w:p>
    <w:p>
      <w:pPr>
        <w:spacing w:before="600" w:after="600"/>
        <w:ind w:firstLine="0"/>
        <w:jc w:val="center"/>
        <w:rPr>
          <w:sz w:val="44"/>
          <w:szCs w:val="44"/>
        </w:rPr>
      </w:pPr>
      <w:r>
        <w:rPr>
          <w:rFonts w:ascii="Times New Roman" w:hAnsi="Times New Roman" w:eastAsia="宋体"/>
          <w:b/>
          <w:bCs/>
          <w:color w:val="000000"/>
          <w:sz w:val="44"/>
          <w:szCs w:val="44"/>
        </w:rPr>
        <w:t>目    录</w:t>
      </w:r>
    </w:p>
    <w:p>
      <w:r>
        <w:fldChar w:fldCharType="begin"/>
      </w:r>
      <w:r>
        <w:instrText xml:space="preserve"> TOC \o "1-4" \h \z \u </w:instrText>
      </w:r>
      <w:r>
        <w:fldChar w:fldCharType="separate"/>
      </w:r>
    </w:p>
    <w:p>
      <w:pPr>
        <w:pStyle w:val="7"/>
      </w:pPr>
      <w:r>
        <w:t>第一章 总论</w:t>
      </w:r>
      <w:r>
        <w:tab/>
      </w:r>
      <w:r>
        <w:t>1</w:t>
      </w:r>
    </w:p>
    <w:p>
      <w:pPr>
        <w:pStyle w:val="8"/>
      </w:pPr>
      <w:r>
        <w:t>1.1 项目概况</w:t>
      </w:r>
      <w:r>
        <w:tab/>
      </w:r>
      <w:r>
        <w:t>1</w:t>
      </w:r>
    </w:p>
    <w:p>
      <w:pPr>
        <w:pStyle w:val="8"/>
      </w:pPr>
      <w:r>
        <w:t>1.2 企业及实际控制人概况</w:t>
      </w:r>
      <w:r>
        <w:tab/>
      </w:r>
      <w:r>
        <w:t>1</w:t>
      </w:r>
    </w:p>
    <w:p>
      <w:pPr>
        <w:pStyle w:val="8"/>
      </w:pPr>
      <w:r>
        <w:t>1.3 编制依据</w:t>
      </w:r>
      <w:r>
        <w:tab/>
      </w:r>
      <w:r>
        <w:t>1</w:t>
      </w:r>
    </w:p>
    <w:p>
      <w:pPr>
        <w:pStyle w:val="8"/>
      </w:pPr>
      <w:r>
        <w:t>1.4 研究范围</w:t>
      </w:r>
      <w:r>
        <w:tab/>
      </w:r>
      <w:r>
        <w:t>1</w:t>
      </w:r>
    </w:p>
    <w:p>
      <w:pPr>
        <w:pStyle w:val="8"/>
      </w:pPr>
      <w:r>
        <w:t>1.5 结论及建议</w:t>
      </w:r>
      <w:r>
        <w:tab/>
      </w:r>
      <w:r>
        <w:t>1</w:t>
      </w:r>
    </w:p>
    <w:p>
      <w:pPr>
        <w:pStyle w:val="7"/>
      </w:pPr>
      <w:r>
        <w:t>第二章 项目建设背景、需求分析及产出方案</w:t>
      </w:r>
      <w:r>
        <w:tab/>
      </w:r>
      <w:r>
        <w:t>1</w:t>
      </w:r>
    </w:p>
    <w:p>
      <w:pPr>
        <w:pStyle w:val="8"/>
      </w:pPr>
      <w:r>
        <w:t>2.1 规划政策符合性</w:t>
      </w:r>
      <w:r>
        <w:tab/>
      </w:r>
      <w:r>
        <w:t>1</w:t>
      </w:r>
    </w:p>
    <w:p>
      <w:pPr>
        <w:pStyle w:val="8"/>
      </w:pPr>
      <w:r>
        <w:t>2.2 企业发展战略需求分析</w:t>
      </w:r>
      <w:r>
        <w:tab/>
      </w:r>
      <w:r>
        <w:t>1</w:t>
      </w:r>
    </w:p>
    <w:p>
      <w:pPr>
        <w:pStyle w:val="8"/>
      </w:pPr>
      <w:r>
        <w:t>2.3 项目市场需求分析</w:t>
      </w:r>
      <w:r>
        <w:tab/>
      </w:r>
      <w:r>
        <w:t>1</w:t>
      </w:r>
    </w:p>
    <w:p>
      <w:pPr>
        <w:pStyle w:val="8"/>
      </w:pPr>
      <w:r>
        <w:t>2.4 项目建设内容、规模及产出方案</w:t>
      </w:r>
      <w:r>
        <w:tab/>
      </w:r>
      <w:r>
        <w:t>1</w:t>
      </w:r>
    </w:p>
    <w:p>
      <w:pPr>
        <w:pStyle w:val="8"/>
      </w:pPr>
      <w:r>
        <w:t>2.5 项目商业模式</w:t>
      </w:r>
      <w:r>
        <w:tab/>
      </w:r>
      <w:r>
        <w:t>1</w:t>
      </w:r>
    </w:p>
    <w:p>
      <w:pPr>
        <w:pStyle w:val="7"/>
      </w:pPr>
      <w:r>
        <w:t>第三章 项目选址与要素保障</w:t>
      </w:r>
      <w:r>
        <w:tab/>
      </w:r>
      <w:r>
        <w:t>1</w:t>
      </w:r>
    </w:p>
    <w:p>
      <w:pPr>
        <w:pStyle w:val="8"/>
      </w:pPr>
      <w:r>
        <w:t>3.1 项目地址</w:t>
      </w:r>
      <w:r>
        <w:tab/>
      </w:r>
      <w:r>
        <w:t>1</w:t>
      </w:r>
    </w:p>
    <w:p>
      <w:pPr>
        <w:pStyle w:val="8"/>
      </w:pPr>
      <w:r>
        <w:t>3.2 项目建设条件</w:t>
      </w:r>
      <w:r>
        <w:tab/>
      </w:r>
      <w:r>
        <w:t>1</w:t>
      </w:r>
    </w:p>
    <w:p>
      <w:pPr>
        <w:pStyle w:val="8"/>
      </w:pPr>
      <w:r>
        <w:t>3.3 要素保障分析</w:t>
      </w:r>
      <w:r>
        <w:tab/>
      </w:r>
      <w:r>
        <w:t>1</w:t>
      </w:r>
    </w:p>
    <w:p>
      <w:pPr>
        <w:pStyle w:val="7"/>
      </w:pPr>
      <w:r>
        <w:t>第四章 项目内容建设方案</w:t>
      </w:r>
      <w:r>
        <w:tab/>
      </w:r>
      <w:r>
        <w:t>1</w:t>
      </w:r>
    </w:p>
    <w:p>
      <w:pPr>
        <w:pStyle w:val="8"/>
      </w:pPr>
      <w:r>
        <w:t>4.1 技术方案</w:t>
      </w:r>
      <w:r>
        <w:tab/>
      </w:r>
      <w:r>
        <w:t>1</w:t>
      </w:r>
    </w:p>
    <w:p>
      <w:pPr>
        <w:pStyle w:val="8"/>
      </w:pPr>
      <w:r>
        <w:t>4.2 设备方案</w:t>
      </w:r>
      <w:r>
        <w:tab/>
      </w:r>
      <w:r>
        <w:t>1</w:t>
      </w:r>
    </w:p>
    <w:p>
      <w:pPr>
        <w:pStyle w:val="8"/>
      </w:pPr>
      <w:r>
        <w:t>4.3 工程方案</w:t>
      </w:r>
      <w:r>
        <w:tab/>
      </w:r>
      <w:r>
        <w:t>1</w:t>
      </w:r>
    </w:p>
    <w:p>
      <w:pPr>
        <w:pStyle w:val="8"/>
      </w:pPr>
      <w:r>
        <w:t>4.4 数字化方案</w:t>
      </w:r>
      <w:r>
        <w:tab/>
      </w:r>
      <w:r>
        <w:t>1</w:t>
      </w:r>
    </w:p>
    <w:p>
      <w:pPr>
        <w:pStyle w:val="8"/>
      </w:pPr>
      <w:r>
        <w:t>4.5 建设管理方案</w:t>
      </w:r>
      <w:r>
        <w:tab/>
      </w:r>
      <w:r>
        <w:t>1</w:t>
      </w:r>
    </w:p>
    <w:p>
      <w:pPr>
        <w:pStyle w:val="7"/>
      </w:pPr>
      <w:r>
        <w:t>第五章 项目运营方案</w:t>
      </w:r>
      <w:r>
        <w:tab/>
      </w:r>
      <w:r>
        <w:t>1</w:t>
      </w:r>
    </w:p>
    <w:p>
      <w:pPr>
        <w:pStyle w:val="8"/>
      </w:pPr>
      <w:r>
        <w:t>5.1 运营方案</w:t>
      </w:r>
      <w:r>
        <w:tab/>
      </w:r>
      <w:r>
        <w:t>1</w:t>
      </w:r>
    </w:p>
    <w:p>
      <w:pPr>
        <w:pStyle w:val="8"/>
      </w:pPr>
      <w:r>
        <w:t>5.2 安全保障方案</w:t>
      </w:r>
      <w:r>
        <w:tab/>
      </w:r>
      <w:r>
        <w:t>1</w:t>
      </w:r>
    </w:p>
    <w:p>
      <w:pPr>
        <w:pStyle w:val="8"/>
      </w:pPr>
      <w:r>
        <w:t>5.3 运营管理方案</w:t>
      </w:r>
      <w:r>
        <w:tab/>
      </w:r>
      <w:r>
        <w:t>1</w:t>
      </w:r>
    </w:p>
    <w:p>
      <w:pPr>
        <w:pStyle w:val="7"/>
      </w:pPr>
      <w:r>
        <w:t>第六章 项目投融资与财务方案</w:t>
      </w:r>
      <w:r>
        <w:tab/>
      </w:r>
      <w:r>
        <w:t>1</w:t>
      </w:r>
    </w:p>
    <w:p>
      <w:pPr>
        <w:pStyle w:val="8"/>
      </w:pPr>
      <w:r>
        <w:t>6.1 项目投资估算及说明</w:t>
      </w:r>
      <w:r>
        <w:tab/>
      </w:r>
      <w:r>
        <w:t>1</w:t>
      </w:r>
    </w:p>
    <w:p>
      <w:pPr>
        <w:pStyle w:val="8"/>
      </w:pPr>
      <w:r>
        <w:t>6.2 财务盈利能力分析</w:t>
      </w:r>
      <w:r>
        <w:tab/>
      </w:r>
      <w:r>
        <w:t>1</w:t>
      </w:r>
    </w:p>
    <w:p>
      <w:pPr>
        <w:pStyle w:val="8"/>
      </w:pPr>
      <w:r>
        <w:t>6.3 资金投入计划和筹措方案</w:t>
      </w:r>
      <w:r>
        <w:tab/>
      </w:r>
      <w:r>
        <w:t>1</w:t>
      </w:r>
    </w:p>
    <w:p>
      <w:pPr>
        <w:pStyle w:val="8"/>
      </w:pPr>
      <w:r>
        <w:t>6.4 债务清偿能力分析</w:t>
      </w:r>
      <w:r>
        <w:tab/>
      </w:r>
      <w:r>
        <w:t>1</w:t>
      </w:r>
    </w:p>
    <w:p>
      <w:pPr>
        <w:pStyle w:val="8"/>
      </w:pPr>
      <w:r>
        <w:t>6.5 财务可持续性分析</w:t>
      </w:r>
      <w:r>
        <w:tab/>
      </w:r>
      <w:r>
        <w:t>1</w:t>
      </w:r>
    </w:p>
    <w:p>
      <w:pPr>
        <w:pStyle w:val="7"/>
      </w:pPr>
      <w:r>
        <w:t>第七章 项目影响效果分析</w:t>
      </w:r>
      <w:r>
        <w:tab/>
      </w:r>
      <w:r>
        <w:t>1</w:t>
      </w:r>
    </w:p>
    <w:p>
      <w:pPr>
        <w:pStyle w:val="8"/>
      </w:pPr>
      <w:r>
        <w:t>7.1 经济影响分析</w:t>
      </w:r>
      <w:r>
        <w:tab/>
      </w:r>
      <w:r>
        <w:t>1</w:t>
      </w:r>
    </w:p>
    <w:p>
      <w:pPr>
        <w:pStyle w:val="8"/>
      </w:pPr>
      <w:r>
        <w:t>7.2 社会影响分析</w:t>
      </w:r>
      <w:r>
        <w:tab/>
      </w:r>
      <w:r>
        <w:t>1</w:t>
      </w:r>
    </w:p>
    <w:p>
      <w:pPr>
        <w:pStyle w:val="8"/>
      </w:pPr>
      <w:r>
        <w:t>7.3 生态环境影响分析</w:t>
      </w:r>
      <w:r>
        <w:tab/>
      </w:r>
      <w:r>
        <w:t>1</w:t>
      </w:r>
    </w:p>
    <w:p>
      <w:pPr>
        <w:pStyle w:val="8"/>
      </w:pPr>
      <w:r>
        <w:t>7.4 资源和能源利用效果分析</w:t>
      </w:r>
      <w:r>
        <w:tab/>
      </w:r>
      <w:r>
        <w:t>1</w:t>
      </w:r>
    </w:p>
    <w:p>
      <w:pPr>
        <w:pStyle w:val="8"/>
      </w:pPr>
      <w:r>
        <w:t>7.5 碳达峰碳中和分析</w:t>
      </w:r>
      <w:r>
        <w:tab/>
      </w:r>
      <w:r>
        <w:t>1</w:t>
      </w:r>
    </w:p>
    <w:p>
      <w:pPr>
        <w:pStyle w:val="7"/>
      </w:pPr>
      <w:r>
        <w:t>第八章 项目风险管控方案</w:t>
      </w:r>
      <w:r>
        <w:tab/>
      </w:r>
      <w:r>
        <w:t>1</w:t>
      </w:r>
    </w:p>
    <w:p>
      <w:pPr>
        <w:pStyle w:val="8"/>
      </w:pPr>
      <w:r>
        <w:t>8.1 风险识别与评价</w:t>
      </w:r>
      <w:r>
        <w:tab/>
      </w:r>
      <w:r>
        <w:t>1</w:t>
      </w:r>
    </w:p>
    <w:p>
      <w:pPr>
        <w:pStyle w:val="8"/>
      </w:pPr>
      <w:r>
        <w:t>8.2 风险评估</w:t>
      </w:r>
      <w:r>
        <w:tab/>
      </w:r>
      <w:r>
        <w:t>1</w:t>
      </w:r>
    </w:p>
    <w:p>
      <w:pPr>
        <w:pStyle w:val="8"/>
      </w:pPr>
      <w:r>
        <w:t>8.3 风险管控方案</w:t>
      </w:r>
      <w:r>
        <w:tab/>
      </w:r>
      <w:r>
        <w:t>1</w:t>
      </w:r>
    </w:p>
    <w:p>
      <w:pPr>
        <w:pStyle w:val="8"/>
      </w:pPr>
      <w:r>
        <w:t>8.4 重大风险管控应急预案</w:t>
      </w:r>
      <w:r>
        <w:tab/>
      </w:r>
      <w:r>
        <w:t>1</w:t>
      </w:r>
    </w:p>
    <w:p>
      <w:pPr>
        <w:pStyle w:val="7"/>
      </w:pPr>
      <w:r>
        <w:t>第九章 结论和建议</w:t>
      </w:r>
      <w:r>
        <w:tab/>
      </w:r>
      <w:r>
        <w:t>1</w:t>
      </w:r>
    </w:p>
    <w:p>
      <w:pPr>
        <w:pStyle w:val="8"/>
      </w:pPr>
      <w:r>
        <w:t>9.1 结论</w:t>
      </w:r>
      <w:r>
        <w:tab/>
      </w:r>
      <w:r>
        <w:t>1</w:t>
      </w:r>
    </w:p>
    <w:p>
      <w:pPr>
        <w:pStyle w:val="8"/>
      </w:pPr>
      <w:r>
        <w:t>9.2 建议</w:t>
      </w:r>
      <w:r>
        <w:tab/>
      </w:r>
      <w:r>
        <w:t>1</w:t>
      </w:r>
    </w:p>
    <w:p>
      <w:r>
        <w:fldChar w:fldCharType="end"/>
      </w:r>
    </w:p>
    <w:p>
      <w:pPr>
        <w:sectPr>
          <w:pgSz w:w="11906" w:h="16838"/>
          <w:pgMar w:top="1440" w:right="1800" w:bottom="1440" w:left="1800" w:header="720" w:footer="720" w:gutter="0"/>
          <w:cols w:space="720" w:num="1"/>
        </w:sectPr>
      </w:pPr>
    </w:p>
    <w:p>
      <w:pPr>
        <w:pStyle w:val="2"/>
      </w:pPr>
      <w:r>
        <w:t>第一章 总论</w:t>
      </w:r>
    </w:p>
    <w:p>
      <w:pPr>
        <w:pStyle w:val="3"/>
      </w:pPr>
      <w:r>
        <w:t>1.1 项目概况</w:t>
      </w:r>
    </w:p>
    <w:p>
      <w:pPr>
        <w:pStyle w:val="4"/>
      </w:pPr>
      <w:r>
        <w:t>1.1.1 项目名称</w:t>
      </w:r>
    </w:p>
    <w:p>
      <w:r>
        <w:t>汝阳县金堆城矿山修复与微电网一体化项目</w:t>
      </w:r>
    </w:p>
    <w:p>
      <w:pPr>
        <w:pStyle w:val="4"/>
      </w:pPr>
      <w:r>
        <w:t>1.1.2 项目建设单位</w:t>
      </w:r>
    </w:p>
    <w:p>
      <w:r>
        <w:t>单位名称：汝阳城市建设公司。汝阳城市建设公司系汝阳县政府平台公司，承担着地方国有企业的社会责任和经营性转型使命，是本项目投资建设的主体单位。</w:t>
      </w:r>
    </w:p>
    <w:p>
      <w:pPr>
        <w:pStyle w:val="4"/>
      </w:pPr>
      <w:r>
        <w:t>1.1.3 建设地点</w:t>
      </w:r>
    </w:p>
    <w:p>
      <w:r>
        <w:t>项目位于：河南省洛阳市汝阳县金堆城钼业东沟矿区尾矿库及周边工矿用地。</w:t>
      </w:r>
    </w:p>
    <w:p>
      <w:pPr>
        <w:pStyle w:val="4"/>
      </w:pPr>
      <w:r>
        <w:drawing>
          <wp:inline distT="0" distB="0" distL="114300" distR="114300">
            <wp:extent cx="4147185" cy="2551430"/>
            <wp:effectExtent l="0" t="0" r="13335"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4147185" cy="2551430"/>
                    </a:xfrm>
                    <a:prstGeom prst="rect">
                      <a:avLst/>
                    </a:prstGeom>
                    <a:noFill/>
                    <a:ln>
                      <a:noFill/>
                    </a:ln>
                  </pic:spPr>
                </pic:pic>
              </a:graphicData>
            </a:graphic>
          </wp:inline>
        </w:drawing>
      </w:r>
    </w:p>
    <w:p>
      <w:pPr>
        <w:pStyle w:val="4"/>
      </w:pPr>
      <w:r>
        <w:t>1.1.4 建设性质</w:t>
      </w:r>
    </w:p>
    <w:p>
      <w:r>
        <w:t>建设性质：新建。</w:t>
      </w:r>
    </w:p>
    <w:p>
      <w:pPr>
        <w:pStyle w:val="4"/>
      </w:pPr>
      <w:r>
        <w:t>1.1.5 项目建设内容和规模</w:t>
      </w:r>
    </w:p>
    <w:p>
      <w:pPr>
        <w:pStyle w:val="5"/>
      </w:pPr>
      <w:r>
        <w:t>1、项目建设原因</w:t>
      </w:r>
    </w:p>
    <w:p>
      <w:r>
        <w:t>国家"双碳"战略持续推进，非化石能源发展目标明确。在此背景下，两项关键政策直接推动本项目建设：一是136号文推动新能源全面入市，传统上网模式收益大幅下滑，客观上要求新能源项目必须就近消纳，而就近消纳的技术载体正是微电网；二是1710号文首次从国家层面确立微电网在新型电力系统中的定位，为项目构建源网荷储一体化微电网系统提供了直接政策依据。加之欧盟碳关税机制已正式实施，钼产品出口面临绿色贸易壁垒，建设绿电项目获取清洁能源消费凭证成为刚需。多项因素叠加，使本项目兼具政策合规性和市场紧迫性。</w:t>
      </w:r>
    </w:p>
    <w:p>
      <w:r>
        <w:t>从建设条件看，河南省新能源装机已超过煤电成为省内第一大电源，"十五五"期间规划新增清洁能源装机3000万千瓦，省内新能源消纳空间和政策环境持续向好。从成本端看，光伏组件价格较2022年高点下降超过六成，已处于历史低位区间，叠加储能系统成本同步下行，当前正是光伏配储项目的最佳投资窗口期。</w:t>
      </w:r>
    </w:p>
    <w:p>
      <w:r>
        <w:t>从用电端看，金堆城钼业年用电量超过4.5亿度，用电成本压力显著。本项目年发电约3000万度，可就近满足企业部分用电需求，降低购电成本的同时获取绿电凭证，破解碳关税壁垒。</w:t>
      </w:r>
    </w:p>
    <w:p>
      <w:r>
        <w:t>从投资主体看，汝阳城市建设公司作为县级平台公司，正处于市场化转型的关键期，国家严控地方债务背景下，公司迫切需要通过投资运营型项目培育自我造血功能。本项目具备稳定现金流和可复制推广的特征，是平台公司转型发展的理想切入点，也能将尾矿治理后的闲置土地转化为持续产生收益的经营性资产。</w:t>
      </w:r>
    </w:p>
    <w:p>
      <w:pPr>
        <w:pStyle w:val="5"/>
      </w:pPr>
      <w:r>
        <w:t>2、项目建设内容</w:t>
      </w:r>
    </w:p>
    <w:p>
      <w:r>
        <w:t>项目需要在金堆城钼业汝阳东沟矿区尾矿库及周边工矿用地区域内建设安装26MW分布式光伏发电设备，配套安装3MW/6MWh储能设备，并在光伏下方种植超级芦竹能源植物，同时完成其他相关配套工程。项目采用源网荷储一体化微电网架构，具备低压并网运行能力，所产出的电力通过源网荷储模式供应给金堆城钼业企业使用，种植超级芦竹能源植物将对外进行出售。项目年发电量约3000万度，所发电力全部由金堆城钼业公司就近消纳，实现生态修复与新能源开发的有机结合。</w:t>
      </w:r>
    </w:p>
    <w:p>
      <w:pPr>
        <w:jc w:val="center"/>
      </w:pPr>
      <w:r>
        <w:rPr>
          <w:b/>
          <w:bCs/>
        </w:rPr>
        <w:t>建设参数表</w:t>
      </w:r>
    </w:p>
    <w:tbl>
      <w:tblPr>
        <w:tblStyle w:val="9"/>
        <w:tblW w:w="5000" w:type="pct"/>
        <w:tblInd w:w="0" w:type="dxa"/>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Layout w:type="autofit"/>
        <w:tblCellMar>
          <w:top w:w="0" w:type="dxa"/>
          <w:left w:w="10" w:type="dxa"/>
          <w:bottom w:w="0" w:type="dxa"/>
          <w:right w:w="10" w:type="dxa"/>
        </w:tblCellMar>
      </w:tblPr>
      <w:tblGrid>
        <w:gridCol w:w="949"/>
        <w:gridCol w:w="1859"/>
        <w:gridCol w:w="1219"/>
        <w:gridCol w:w="1129"/>
        <w:gridCol w:w="1129"/>
        <w:gridCol w:w="2041"/>
      </w:tblGrid>
      <w:tr>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rPr>
          <w:tblHeader/>
        </w:trPr>
        <w:tc>
          <w:tcPr>
            <w:shd w:val="clear" w:color="auto" w:fill="F2F2F2"/>
            <w:vAlign w:val="center"/>
          </w:tcPr>
          <w:p>
            <w:pPr>
              <w:spacing w:before="40" w:after="40" w:line="360" w:lineRule="auto"/>
              <w:ind w:firstLine="0"/>
              <w:jc w:val="center"/>
              <w:rPr>
                <w:rFonts w:hint="eastAsia" w:ascii="宋体" w:hAnsi="宋体" w:eastAsia="宋体" w:cs="宋体"/>
                <w:sz w:val="18"/>
                <w:szCs w:val="18"/>
              </w:rPr>
            </w:pPr>
            <w:r>
              <w:rPr>
                <w:rFonts w:hint="eastAsia" w:ascii="宋体" w:hAnsi="宋体" w:eastAsia="宋体" w:cs="宋体"/>
                <w:b/>
                <w:bCs/>
                <w:sz w:val="18"/>
                <w:szCs w:val="18"/>
              </w:rPr>
              <w:t>序号</w:t>
            </w:r>
          </w:p>
        </w:tc>
        <w:tc>
          <w:tcPr>
            <w:shd w:val="clear" w:color="auto" w:fill="F2F2F2"/>
            <w:vAlign w:val="center"/>
          </w:tcPr>
          <w:p>
            <w:pPr>
              <w:spacing w:before="40" w:after="40" w:line="360" w:lineRule="auto"/>
              <w:ind w:firstLine="0"/>
              <w:jc w:val="center"/>
              <w:rPr>
                <w:rFonts w:hint="eastAsia" w:ascii="宋体" w:hAnsi="宋体" w:eastAsia="宋体" w:cs="宋体"/>
                <w:sz w:val="18"/>
                <w:szCs w:val="18"/>
              </w:rPr>
            </w:pPr>
            <w:r>
              <w:rPr>
                <w:rFonts w:hint="eastAsia" w:ascii="宋体" w:hAnsi="宋体" w:eastAsia="宋体" w:cs="宋体"/>
                <w:b/>
                <w:bCs/>
                <w:sz w:val="18"/>
                <w:szCs w:val="18"/>
              </w:rPr>
              <w:t>工程或费用名称</w:t>
            </w:r>
          </w:p>
        </w:tc>
        <w:tc>
          <w:tcPr>
            <w:shd w:val="clear" w:color="auto" w:fill="F2F2F2"/>
            <w:vAlign w:val="center"/>
          </w:tcPr>
          <w:p>
            <w:pPr>
              <w:spacing w:before="40" w:after="40" w:line="360" w:lineRule="auto"/>
              <w:ind w:firstLine="0"/>
              <w:jc w:val="center"/>
              <w:rPr>
                <w:rFonts w:hint="eastAsia" w:ascii="宋体" w:hAnsi="宋体" w:eastAsia="宋体" w:cs="宋体"/>
                <w:sz w:val="18"/>
                <w:szCs w:val="18"/>
              </w:rPr>
            </w:pPr>
            <w:r>
              <w:rPr>
                <w:rFonts w:hint="eastAsia" w:ascii="宋体" w:hAnsi="宋体" w:eastAsia="宋体" w:cs="宋体"/>
                <w:b/>
                <w:bCs/>
                <w:sz w:val="18"/>
                <w:szCs w:val="18"/>
              </w:rPr>
              <w:t>合计</w:t>
            </w:r>
          </w:p>
        </w:tc>
        <w:tc>
          <w:tcPr>
            <w:shd w:val="clear" w:color="auto" w:fill="F2F2F2"/>
            <w:vAlign w:val="center"/>
          </w:tcPr>
          <w:p>
            <w:pPr>
              <w:spacing w:before="40" w:after="40" w:line="360" w:lineRule="auto"/>
              <w:ind w:firstLine="0"/>
              <w:jc w:val="center"/>
              <w:rPr>
                <w:rFonts w:hint="eastAsia" w:ascii="宋体" w:hAnsi="宋体" w:eastAsia="宋体" w:cs="宋体"/>
                <w:sz w:val="18"/>
                <w:szCs w:val="18"/>
              </w:rPr>
            </w:pPr>
            <w:r>
              <w:rPr>
                <w:rFonts w:hint="eastAsia" w:ascii="宋体" w:hAnsi="宋体" w:eastAsia="宋体" w:cs="宋体"/>
                <w:b/>
                <w:bCs/>
                <w:sz w:val="18"/>
                <w:szCs w:val="18"/>
              </w:rPr>
              <w:t>单位</w:t>
            </w:r>
          </w:p>
        </w:tc>
        <w:tc>
          <w:tcPr>
            <w:shd w:val="clear" w:color="auto" w:fill="F2F2F2"/>
            <w:vAlign w:val="center"/>
          </w:tcPr>
          <w:p>
            <w:pPr>
              <w:spacing w:before="40" w:after="40" w:line="360" w:lineRule="auto"/>
              <w:ind w:firstLine="0"/>
              <w:jc w:val="center"/>
              <w:rPr>
                <w:rFonts w:hint="eastAsia" w:ascii="宋体" w:hAnsi="宋体" w:eastAsia="宋体" w:cs="宋体"/>
                <w:sz w:val="18"/>
                <w:szCs w:val="18"/>
              </w:rPr>
            </w:pPr>
            <w:r>
              <w:rPr>
                <w:rFonts w:hint="eastAsia" w:ascii="宋体" w:hAnsi="宋体" w:eastAsia="宋体" w:cs="宋体"/>
                <w:b/>
                <w:bCs/>
                <w:sz w:val="18"/>
                <w:szCs w:val="18"/>
              </w:rPr>
              <w:t>数量</w:t>
            </w:r>
          </w:p>
        </w:tc>
        <w:tc>
          <w:tcPr>
            <w:shd w:val="clear" w:color="auto" w:fill="F2F2F2"/>
            <w:vAlign w:val="center"/>
          </w:tcPr>
          <w:p>
            <w:pPr>
              <w:spacing w:before="40" w:after="40" w:line="360" w:lineRule="auto"/>
              <w:ind w:firstLine="0"/>
              <w:jc w:val="center"/>
              <w:rPr>
                <w:rFonts w:hint="eastAsia" w:ascii="宋体" w:hAnsi="宋体" w:eastAsia="宋体" w:cs="宋体"/>
                <w:sz w:val="18"/>
                <w:szCs w:val="18"/>
              </w:rPr>
            </w:pPr>
            <w:r>
              <w:rPr>
                <w:rFonts w:hint="eastAsia" w:ascii="宋体" w:hAnsi="宋体" w:eastAsia="宋体" w:cs="宋体"/>
                <w:b/>
                <w:bCs/>
                <w:sz w:val="18"/>
                <w:szCs w:val="18"/>
              </w:rPr>
              <w:t>综合单价（万元）</w:t>
            </w:r>
          </w:p>
        </w:tc>
      </w:tr>
      <w:tr>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c>
          <w:tcPr>
            <w:vAlign w:val="center"/>
          </w:tcPr>
          <w:p>
            <w:pPr>
              <w:spacing w:before="40" w:after="40" w:line="360" w:lineRule="auto"/>
              <w:ind w:firstLine="0"/>
              <w:rPr>
                <w:rFonts w:hint="eastAsia" w:ascii="宋体" w:hAnsi="宋体" w:eastAsia="宋体" w:cs="宋体"/>
                <w:sz w:val="18"/>
                <w:szCs w:val="18"/>
              </w:rPr>
            </w:pPr>
            <w:r>
              <w:rPr>
                <w:rFonts w:hint="eastAsia" w:ascii="宋体" w:hAnsi="宋体" w:eastAsia="宋体" w:cs="宋体"/>
                <w:sz w:val="18"/>
                <w:szCs w:val="18"/>
              </w:rPr>
              <w:t>一</w:t>
            </w:r>
          </w:p>
        </w:tc>
        <w:tc>
          <w:tcPr>
            <w:vAlign w:val="center"/>
          </w:tcPr>
          <w:p>
            <w:pPr>
              <w:spacing w:before="40" w:after="40" w:line="360" w:lineRule="auto"/>
              <w:ind w:firstLine="0"/>
              <w:rPr>
                <w:rFonts w:hint="eastAsia" w:ascii="宋体" w:hAnsi="宋体" w:eastAsia="宋体" w:cs="宋体"/>
                <w:sz w:val="18"/>
                <w:szCs w:val="18"/>
              </w:rPr>
            </w:pPr>
            <w:r>
              <w:rPr>
                <w:rFonts w:hint="eastAsia" w:ascii="宋体" w:hAnsi="宋体" w:eastAsia="宋体" w:cs="宋体"/>
                <w:sz w:val="18"/>
                <w:szCs w:val="18"/>
              </w:rPr>
              <w:t>工程费用</w:t>
            </w:r>
          </w:p>
        </w:tc>
        <w:tc>
          <w:tcPr>
            <w:vAlign w:val="center"/>
          </w:tcPr>
          <w:p>
            <w:pPr>
              <w:spacing w:before="40" w:after="40" w:line="360" w:lineRule="auto"/>
              <w:ind w:firstLine="0"/>
              <w:rPr>
                <w:rFonts w:hint="eastAsia" w:ascii="宋体" w:hAnsi="宋体" w:eastAsia="宋体" w:cs="宋体"/>
                <w:sz w:val="18"/>
                <w:szCs w:val="18"/>
              </w:rPr>
            </w:pPr>
            <w:r>
              <w:rPr>
                <w:rFonts w:hint="eastAsia" w:ascii="宋体" w:hAnsi="宋体" w:eastAsia="宋体" w:cs="宋体"/>
                <w:sz w:val="18"/>
                <w:szCs w:val="18"/>
              </w:rPr>
              <w:t>7881.76</w:t>
            </w:r>
          </w:p>
        </w:tc>
        <w:tc>
          <w:tcPr>
            <w:vAlign w:val="center"/>
          </w:tcPr>
          <w:p>
            <w:pPr>
              <w:spacing w:before="40" w:after="40" w:line="360" w:lineRule="auto"/>
              <w:ind w:firstLine="0"/>
              <w:rPr>
                <w:rFonts w:hint="eastAsia" w:ascii="宋体" w:hAnsi="宋体" w:eastAsia="宋体" w:cs="宋体"/>
                <w:sz w:val="18"/>
                <w:szCs w:val="18"/>
              </w:rPr>
            </w:pPr>
            <w:r>
              <w:rPr>
                <w:rFonts w:hint="eastAsia" w:ascii="宋体" w:hAnsi="宋体" w:eastAsia="宋体" w:cs="宋体"/>
                <w:sz w:val="18"/>
                <w:szCs w:val="18"/>
              </w:rPr>
              <w:t>87.75%</w:t>
            </w:r>
          </w:p>
        </w:tc>
        <w:tc>
          <w:tcPr>
            <w:vAlign w:val="center"/>
          </w:tcPr>
          <w:p>
            <w:pPr>
              <w:spacing w:before="40" w:after="40" w:line="360" w:lineRule="auto"/>
              <w:ind w:firstLine="0"/>
              <w:rPr>
                <w:rFonts w:hint="eastAsia" w:ascii="宋体" w:hAnsi="宋体" w:eastAsia="宋体" w:cs="宋体"/>
                <w:sz w:val="18"/>
                <w:szCs w:val="18"/>
              </w:rPr>
            </w:pPr>
          </w:p>
        </w:tc>
        <w:tc>
          <w:tcPr>
            <w:vAlign w:val="center"/>
          </w:tcPr>
          <w:p>
            <w:pPr>
              <w:spacing w:before="40" w:after="40" w:line="360" w:lineRule="auto"/>
              <w:ind w:firstLine="0"/>
              <w:rPr>
                <w:rFonts w:hint="eastAsia" w:ascii="宋体" w:hAnsi="宋体" w:eastAsia="宋体" w:cs="宋体"/>
                <w:sz w:val="18"/>
                <w:szCs w:val="18"/>
              </w:rPr>
            </w:pPr>
          </w:p>
        </w:tc>
      </w:tr>
      <w:tr>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c>
          <w:tcPr>
            <w:vAlign w:val="center"/>
          </w:tcPr>
          <w:p>
            <w:pPr>
              <w:spacing w:before="40" w:after="40" w:line="360" w:lineRule="auto"/>
              <w:ind w:firstLine="0"/>
              <w:rPr>
                <w:rFonts w:hint="eastAsia" w:ascii="宋体" w:hAnsi="宋体" w:eastAsia="宋体" w:cs="宋体"/>
                <w:sz w:val="18"/>
                <w:szCs w:val="18"/>
              </w:rPr>
            </w:pPr>
            <w:r>
              <w:rPr>
                <w:rFonts w:hint="eastAsia" w:ascii="宋体" w:hAnsi="宋体" w:eastAsia="宋体" w:cs="宋体"/>
                <w:sz w:val="18"/>
                <w:szCs w:val="18"/>
              </w:rPr>
              <w:t>1</w:t>
            </w:r>
          </w:p>
        </w:tc>
        <w:tc>
          <w:tcPr>
            <w:vAlign w:val="center"/>
          </w:tcPr>
          <w:p>
            <w:pPr>
              <w:spacing w:before="40" w:after="40" w:line="360" w:lineRule="auto"/>
              <w:ind w:firstLine="0"/>
              <w:rPr>
                <w:rFonts w:hint="eastAsia" w:ascii="宋体" w:hAnsi="宋体" w:eastAsia="宋体" w:cs="宋体"/>
                <w:sz w:val="18"/>
                <w:szCs w:val="18"/>
              </w:rPr>
            </w:pPr>
            <w:r>
              <w:rPr>
                <w:rFonts w:hint="eastAsia" w:ascii="宋体" w:hAnsi="宋体" w:eastAsia="宋体" w:cs="宋体"/>
                <w:sz w:val="18"/>
                <w:szCs w:val="18"/>
              </w:rPr>
              <w:t>光伏组件</w:t>
            </w:r>
          </w:p>
        </w:tc>
        <w:tc>
          <w:tcPr>
            <w:vAlign w:val="center"/>
          </w:tcPr>
          <w:p>
            <w:pPr>
              <w:spacing w:before="40" w:after="40" w:line="360" w:lineRule="auto"/>
              <w:ind w:firstLine="0"/>
              <w:rPr>
                <w:rFonts w:hint="eastAsia" w:ascii="宋体" w:hAnsi="宋体" w:eastAsia="宋体" w:cs="宋体"/>
                <w:sz w:val="18"/>
                <w:szCs w:val="18"/>
              </w:rPr>
            </w:pPr>
            <w:r>
              <w:rPr>
                <w:rFonts w:hint="eastAsia" w:ascii="宋体" w:hAnsi="宋体" w:eastAsia="宋体" w:cs="宋体"/>
                <w:sz w:val="18"/>
                <w:szCs w:val="18"/>
              </w:rPr>
              <w:t>6960.82</w:t>
            </w:r>
          </w:p>
        </w:tc>
        <w:tc>
          <w:tcPr>
            <w:vAlign w:val="center"/>
          </w:tcPr>
          <w:p>
            <w:pPr>
              <w:spacing w:before="40" w:after="40" w:line="360" w:lineRule="auto"/>
              <w:ind w:firstLine="0"/>
              <w:rPr>
                <w:rFonts w:hint="eastAsia" w:ascii="宋体" w:hAnsi="宋体" w:eastAsia="宋体" w:cs="宋体"/>
                <w:sz w:val="18"/>
                <w:szCs w:val="18"/>
              </w:rPr>
            </w:pPr>
            <w:r>
              <w:rPr>
                <w:rFonts w:hint="eastAsia" w:ascii="宋体" w:hAnsi="宋体" w:eastAsia="宋体" w:cs="宋体"/>
                <w:sz w:val="18"/>
                <w:szCs w:val="18"/>
              </w:rPr>
              <w:t>KW</w:t>
            </w:r>
          </w:p>
        </w:tc>
        <w:tc>
          <w:tcPr>
            <w:vAlign w:val="center"/>
          </w:tcPr>
          <w:p>
            <w:pPr>
              <w:spacing w:before="40" w:after="40" w:line="360" w:lineRule="auto"/>
              <w:ind w:firstLine="0"/>
              <w:rPr>
                <w:rFonts w:hint="eastAsia" w:ascii="宋体" w:hAnsi="宋体" w:eastAsia="宋体" w:cs="宋体"/>
                <w:sz w:val="18"/>
                <w:szCs w:val="18"/>
              </w:rPr>
            </w:pPr>
            <w:r>
              <w:rPr>
                <w:rFonts w:hint="eastAsia" w:ascii="宋体" w:hAnsi="宋体" w:eastAsia="宋体" w:cs="宋体"/>
                <w:sz w:val="18"/>
                <w:szCs w:val="18"/>
              </w:rPr>
              <w:t>26000</w:t>
            </w:r>
          </w:p>
        </w:tc>
        <w:tc>
          <w:tcPr>
            <w:vAlign w:val="center"/>
          </w:tcPr>
          <w:p>
            <w:pPr>
              <w:spacing w:before="40" w:after="40" w:line="360" w:lineRule="auto"/>
              <w:ind w:firstLine="0"/>
              <w:rPr>
                <w:rFonts w:hint="eastAsia" w:ascii="宋体" w:hAnsi="宋体" w:eastAsia="宋体" w:cs="宋体"/>
                <w:sz w:val="18"/>
                <w:szCs w:val="18"/>
              </w:rPr>
            </w:pPr>
            <w:r>
              <w:rPr>
                <w:rFonts w:hint="eastAsia" w:ascii="宋体" w:hAnsi="宋体" w:eastAsia="宋体" w:cs="宋体"/>
                <w:sz w:val="18"/>
                <w:szCs w:val="18"/>
              </w:rPr>
              <w:t>0.268</w:t>
            </w:r>
          </w:p>
        </w:tc>
      </w:tr>
      <w:tr>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c>
          <w:tcPr>
            <w:vAlign w:val="center"/>
          </w:tcPr>
          <w:p>
            <w:pPr>
              <w:spacing w:before="40" w:after="40" w:line="360" w:lineRule="auto"/>
              <w:ind w:firstLine="0"/>
              <w:rPr>
                <w:rFonts w:hint="eastAsia" w:ascii="宋体" w:hAnsi="宋体" w:eastAsia="宋体" w:cs="宋体"/>
                <w:sz w:val="18"/>
                <w:szCs w:val="18"/>
              </w:rPr>
            </w:pPr>
            <w:r>
              <w:rPr>
                <w:rFonts w:hint="eastAsia" w:ascii="宋体" w:hAnsi="宋体" w:eastAsia="宋体" w:cs="宋体"/>
                <w:sz w:val="18"/>
                <w:szCs w:val="18"/>
              </w:rPr>
              <w:t>2</w:t>
            </w:r>
          </w:p>
        </w:tc>
        <w:tc>
          <w:tcPr>
            <w:vAlign w:val="center"/>
          </w:tcPr>
          <w:p>
            <w:pPr>
              <w:spacing w:before="40" w:after="40" w:line="360" w:lineRule="auto"/>
              <w:ind w:firstLine="0"/>
              <w:rPr>
                <w:rFonts w:hint="eastAsia" w:ascii="宋体" w:hAnsi="宋体" w:eastAsia="宋体" w:cs="宋体"/>
                <w:sz w:val="18"/>
                <w:szCs w:val="18"/>
              </w:rPr>
            </w:pPr>
            <w:r>
              <w:rPr>
                <w:rFonts w:hint="eastAsia" w:ascii="宋体" w:hAnsi="宋体" w:eastAsia="宋体" w:cs="宋体"/>
                <w:sz w:val="18"/>
                <w:szCs w:val="18"/>
              </w:rPr>
              <w:t>电池储能集装箱</w:t>
            </w:r>
          </w:p>
        </w:tc>
        <w:tc>
          <w:tcPr>
            <w:vAlign w:val="center"/>
          </w:tcPr>
          <w:p>
            <w:pPr>
              <w:spacing w:before="40" w:after="40" w:line="360" w:lineRule="auto"/>
              <w:ind w:firstLine="0"/>
              <w:rPr>
                <w:rFonts w:hint="eastAsia" w:ascii="宋体" w:hAnsi="宋体" w:eastAsia="宋体" w:cs="宋体"/>
                <w:sz w:val="18"/>
                <w:szCs w:val="18"/>
              </w:rPr>
            </w:pPr>
            <w:r>
              <w:rPr>
                <w:rFonts w:hint="eastAsia" w:ascii="宋体" w:hAnsi="宋体" w:eastAsia="宋体" w:cs="宋体"/>
                <w:sz w:val="18"/>
                <w:szCs w:val="18"/>
              </w:rPr>
              <w:t>539.5</w:t>
            </w:r>
          </w:p>
        </w:tc>
        <w:tc>
          <w:tcPr>
            <w:vAlign w:val="center"/>
          </w:tcPr>
          <w:p>
            <w:pPr>
              <w:spacing w:before="40" w:after="40" w:line="360" w:lineRule="auto"/>
              <w:ind w:firstLine="0"/>
              <w:rPr>
                <w:rFonts w:hint="eastAsia" w:ascii="宋体" w:hAnsi="宋体" w:eastAsia="宋体" w:cs="宋体"/>
                <w:sz w:val="18"/>
                <w:szCs w:val="18"/>
              </w:rPr>
            </w:pPr>
            <w:r>
              <w:rPr>
                <w:rFonts w:hint="eastAsia" w:ascii="宋体" w:hAnsi="宋体" w:eastAsia="宋体" w:cs="宋体"/>
                <w:sz w:val="18"/>
                <w:szCs w:val="18"/>
              </w:rPr>
              <w:t>KWH</w:t>
            </w:r>
          </w:p>
        </w:tc>
        <w:tc>
          <w:tcPr>
            <w:vAlign w:val="center"/>
          </w:tcPr>
          <w:p>
            <w:pPr>
              <w:spacing w:before="40" w:after="40" w:line="360" w:lineRule="auto"/>
              <w:ind w:firstLine="0"/>
              <w:rPr>
                <w:rFonts w:hint="eastAsia" w:ascii="宋体" w:hAnsi="宋体" w:eastAsia="宋体" w:cs="宋体"/>
                <w:sz w:val="18"/>
                <w:szCs w:val="18"/>
              </w:rPr>
            </w:pPr>
            <w:r>
              <w:rPr>
                <w:rFonts w:hint="eastAsia" w:ascii="宋体" w:hAnsi="宋体" w:eastAsia="宋体" w:cs="宋体"/>
                <w:sz w:val="18"/>
                <w:szCs w:val="18"/>
              </w:rPr>
              <w:t>6000</w:t>
            </w:r>
          </w:p>
        </w:tc>
        <w:tc>
          <w:tcPr>
            <w:vAlign w:val="center"/>
          </w:tcPr>
          <w:p>
            <w:pPr>
              <w:spacing w:before="40" w:after="40" w:line="360" w:lineRule="auto"/>
              <w:ind w:firstLine="0"/>
              <w:rPr>
                <w:rFonts w:hint="eastAsia" w:ascii="宋体" w:hAnsi="宋体" w:eastAsia="宋体" w:cs="宋体"/>
                <w:sz w:val="18"/>
                <w:szCs w:val="18"/>
              </w:rPr>
            </w:pPr>
            <w:r>
              <w:rPr>
                <w:rFonts w:hint="eastAsia" w:ascii="宋体" w:hAnsi="宋体" w:eastAsia="宋体" w:cs="宋体"/>
                <w:sz w:val="18"/>
                <w:szCs w:val="18"/>
              </w:rPr>
              <w:t>0.0899</w:t>
            </w:r>
          </w:p>
        </w:tc>
      </w:tr>
      <w:tr>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c>
          <w:tcPr>
            <w:vAlign w:val="center"/>
          </w:tcPr>
          <w:p>
            <w:pPr>
              <w:spacing w:before="40" w:after="40" w:line="360" w:lineRule="auto"/>
              <w:ind w:firstLine="0"/>
              <w:rPr>
                <w:rFonts w:hint="eastAsia" w:ascii="宋体" w:hAnsi="宋体" w:eastAsia="宋体" w:cs="宋体"/>
                <w:sz w:val="18"/>
                <w:szCs w:val="18"/>
              </w:rPr>
            </w:pPr>
            <w:r>
              <w:rPr>
                <w:rFonts w:hint="eastAsia" w:ascii="宋体" w:hAnsi="宋体" w:eastAsia="宋体" w:cs="宋体"/>
                <w:sz w:val="18"/>
                <w:szCs w:val="18"/>
              </w:rPr>
              <w:t>3</w:t>
            </w:r>
          </w:p>
        </w:tc>
        <w:tc>
          <w:tcPr>
            <w:vAlign w:val="center"/>
          </w:tcPr>
          <w:p>
            <w:pPr>
              <w:spacing w:before="40" w:after="40" w:line="360" w:lineRule="auto"/>
              <w:ind w:firstLine="0"/>
              <w:rPr>
                <w:rFonts w:hint="eastAsia" w:ascii="宋体" w:hAnsi="宋体" w:eastAsia="宋体" w:cs="宋体"/>
                <w:sz w:val="18"/>
                <w:szCs w:val="18"/>
              </w:rPr>
            </w:pPr>
            <w:r>
              <w:rPr>
                <w:rFonts w:hint="eastAsia" w:ascii="宋体" w:hAnsi="宋体" w:eastAsia="宋体" w:cs="宋体"/>
                <w:sz w:val="18"/>
                <w:szCs w:val="18"/>
              </w:rPr>
              <w:t>超级芦竹种植</w:t>
            </w:r>
          </w:p>
        </w:tc>
        <w:tc>
          <w:tcPr>
            <w:vAlign w:val="center"/>
          </w:tcPr>
          <w:p>
            <w:pPr>
              <w:spacing w:before="40" w:after="40" w:line="360" w:lineRule="auto"/>
              <w:ind w:firstLine="0"/>
              <w:rPr>
                <w:rFonts w:hint="eastAsia" w:ascii="宋体" w:hAnsi="宋体" w:eastAsia="宋体" w:cs="宋体"/>
                <w:sz w:val="18"/>
                <w:szCs w:val="18"/>
              </w:rPr>
            </w:pPr>
            <w:r>
              <w:rPr>
                <w:rFonts w:hint="eastAsia" w:ascii="宋体" w:hAnsi="宋体" w:eastAsia="宋体" w:cs="宋体"/>
                <w:sz w:val="18"/>
                <w:szCs w:val="18"/>
              </w:rPr>
              <w:t>180</w:t>
            </w:r>
          </w:p>
        </w:tc>
        <w:tc>
          <w:tcPr>
            <w:vAlign w:val="center"/>
          </w:tcPr>
          <w:p>
            <w:pPr>
              <w:spacing w:before="40" w:after="40" w:line="360" w:lineRule="auto"/>
              <w:ind w:firstLine="0"/>
              <w:rPr>
                <w:rFonts w:hint="eastAsia" w:ascii="宋体" w:hAnsi="宋体" w:eastAsia="宋体" w:cs="宋体"/>
                <w:sz w:val="18"/>
                <w:szCs w:val="18"/>
              </w:rPr>
            </w:pPr>
            <w:r>
              <w:rPr>
                <w:rFonts w:hint="eastAsia" w:ascii="宋体" w:hAnsi="宋体" w:eastAsia="宋体" w:cs="宋体"/>
                <w:sz w:val="18"/>
                <w:szCs w:val="18"/>
              </w:rPr>
              <w:t>亩</w:t>
            </w:r>
          </w:p>
        </w:tc>
        <w:tc>
          <w:tcPr>
            <w:vAlign w:val="center"/>
          </w:tcPr>
          <w:p>
            <w:pPr>
              <w:spacing w:before="40" w:after="40" w:line="360" w:lineRule="auto"/>
              <w:ind w:firstLine="0"/>
              <w:rPr>
                <w:rFonts w:hint="eastAsia" w:ascii="宋体" w:hAnsi="宋体" w:eastAsia="宋体" w:cs="宋体"/>
                <w:sz w:val="18"/>
                <w:szCs w:val="18"/>
              </w:rPr>
            </w:pPr>
            <w:r>
              <w:rPr>
                <w:rFonts w:hint="eastAsia" w:ascii="宋体" w:hAnsi="宋体" w:eastAsia="宋体" w:cs="宋体"/>
                <w:sz w:val="18"/>
                <w:szCs w:val="18"/>
              </w:rPr>
              <w:t>300</w:t>
            </w:r>
          </w:p>
        </w:tc>
        <w:tc>
          <w:tcPr>
            <w:vAlign w:val="center"/>
          </w:tcPr>
          <w:p>
            <w:pPr>
              <w:spacing w:before="40" w:after="40" w:line="360" w:lineRule="auto"/>
              <w:ind w:firstLine="0"/>
              <w:rPr>
                <w:rFonts w:hint="eastAsia" w:ascii="宋体" w:hAnsi="宋体" w:eastAsia="宋体" w:cs="宋体"/>
                <w:sz w:val="18"/>
                <w:szCs w:val="18"/>
              </w:rPr>
            </w:pPr>
            <w:r>
              <w:rPr>
                <w:rFonts w:hint="eastAsia" w:ascii="宋体" w:hAnsi="宋体" w:eastAsia="宋体" w:cs="宋体"/>
                <w:sz w:val="18"/>
                <w:szCs w:val="18"/>
              </w:rPr>
              <w:t>0.60</w:t>
            </w:r>
          </w:p>
        </w:tc>
      </w:tr>
      <w:tr>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c>
          <w:tcPr>
            <w:vAlign w:val="center"/>
          </w:tcPr>
          <w:p>
            <w:pPr>
              <w:spacing w:before="40" w:after="40" w:line="360" w:lineRule="auto"/>
              <w:ind w:firstLine="0"/>
              <w:rPr>
                <w:rFonts w:hint="eastAsia" w:ascii="宋体" w:hAnsi="宋体" w:eastAsia="宋体" w:cs="宋体"/>
                <w:sz w:val="18"/>
                <w:szCs w:val="18"/>
              </w:rPr>
            </w:pPr>
            <w:r>
              <w:rPr>
                <w:rFonts w:hint="eastAsia" w:ascii="宋体" w:hAnsi="宋体" w:eastAsia="宋体" w:cs="宋体"/>
                <w:sz w:val="18"/>
                <w:szCs w:val="18"/>
              </w:rPr>
              <w:t>4</w:t>
            </w:r>
          </w:p>
        </w:tc>
        <w:tc>
          <w:tcPr>
            <w:vAlign w:val="center"/>
          </w:tcPr>
          <w:p>
            <w:pPr>
              <w:spacing w:before="40" w:after="40" w:line="360" w:lineRule="auto"/>
              <w:ind w:firstLine="0"/>
              <w:rPr>
                <w:rFonts w:hint="eastAsia" w:ascii="宋体" w:hAnsi="宋体" w:eastAsia="宋体" w:cs="宋体"/>
                <w:sz w:val="18"/>
                <w:szCs w:val="18"/>
              </w:rPr>
            </w:pPr>
            <w:r>
              <w:rPr>
                <w:rFonts w:hint="eastAsia" w:ascii="宋体" w:hAnsi="宋体" w:eastAsia="宋体" w:cs="宋体"/>
                <w:sz w:val="18"/>
                <w:szCs w:val="18"/>
              </w:rPr>
              <w:t>配套工程</w:t>
            </w:r>
          </w:p>
        </w:tc>
        <w:tc>
          <w:tcPr>
            <w:vAlign w:val="center"/>
          </w:tcPr>
          <w:p>
            <w:pPr>
              <w:spacing w:before="40" w:after="40" w:line="360" w:lineRule="auto"/>
              <w:ind w:firstLine="0"/>
              <w:rPr>
                <w:rFonts w:hint="eastAsia" w:ascii="宋体" w:hAnsi="宋体" w:eastAsia="宋体" w:cs="宋体"/>
                <w:sz w:val="18"/>
                <w:szCs w:val="18"/>
              </w:rPr>
            </w:pPr>
            <w:r>
              <w:rPr>
                <w:rFonts w:hint="eastAsia" w:ascii="宋体" w:hAnsi="宋体" w:eastAsia="宋体" w:cs="宋体"/>
                <w:sz w:val="18"/>
                <w:szCs w:val="18"/>
              </w:rPr>
              <w:t>201.44</w:t>
            </w:r>
          </w:p>
        </w:tc>
        <w:tc>
          <w:tcPr>
            <w:vAlign w:val="center"/>
          </w:tcPr>
          <w:p>
            <w:pPr>
              <w:spacing w:before="40" w:after="40" w:line="360" w:lineRule="auto"/>
              <w:ind w:firstLine="0"/>
              <w:rPr>
                <w:rFonts w:hint="eastAsia" w:ascii="宋体" w:hAnsi="宋体" w:eastAsia="宋体" w:cs="宋体"/>
                <w:sz w:val="18"/>
                <w:szCs w:val="18"/>
              </w:rPr>
            </w:pPr>
            <w:r>
              <w:rPr>
                <w:rFonts w:hint="eastAsia" w:ascii="宋体" w:hAnsi="宋体" w:eastAsia="宋体" w:cs="宋体"/>
                <w:sz w:val="18"/>
                <w:szCs w:val="18"/>
              </w:rPr>
              <w:t>㎡</w:t>
            </w:r>
          </w:p>
        </w:tc>
        <w:tc>
          <w:tcPr>
            <w:vAlign w:val="center"/>
          </w:tcPr>
          <w:p>
            <w:pPr>
              <w:spacing w:before="40" w:after="40" w:line="360" w:lineRule="auto"/>
              <w:ind w:firstLine="0"/>
              <w:rPr>
                <w:rFonts w:hint="eastAsia" w:ascii="宋体" w:hAnsi="宋体" w:eastAsia="宋体" w:cs="宋体"/>
                <w:sz w:val="18"/>
                <w:szCs w:val="18"/>
              </w:rPr>
            </w:pPr>
            <w:r>
              <w:rPr>
                <w:rFonts w:hint="eastAsia" w:ascii="宋体" w:hAnsi="宋体" w:eastAsia="宋体" w:cs="宋体"/>
                <w:sz w:val="18"/>
                <w:szCs w:val="18"/>
              </w:rPr>
              <w:t>5551.3</w:t>
            </w:r>
          </w:p>
        </w:tc>
        <w:tc>
          <w:tcPr>
            <w:vAlign w:val="center"/>
          </w:tcPr>
          <w:p>
            <w:pPr>
              <w:spacing w:before="40" w:after="40" w:line="360" w:lineRule="auto"/>
              <w:ind w:firstLine="0"/>
              <w:rPr>
                <w:rFonts w:hint="eastAsia" w:ascii="宋体" w:hAnsi="宋体" w:eastAsia="宋体" w:cs="宋体"/>
                <w:sz w:val="18"/>
                <w:szCs w:val="18"/>
              </w:rPr>
            </w:pPr>
            <w:r>
              <w:rPr>
                <w:rFonts w:hint="eastAsia" w:ascii="宋体" w:hAnsi="宋体" w:eastAsia="宋体" w:cs="宋体"/>
                <w:sz w:val="18"/>
                <w:szCs w:val="18"/>
              </w:rPr>
              <w:t>0.227</w:t>
            </w:r>
          </w:p>
        </w:tc>
      </w:tr>
    </w:tbl>
    <w:p>
      <w:pPr>
        <w:pStyle w:val="4"/>
      </w:pPr>
      <w:r>
        <w:t>1.1.6 建设工期</w:t>
      </w:r>
    </w:p>
    <w:p>
      <w:r>
        <w:t>本项目建设期为1年（含建设期准备工作），计划2026年8月开工，预计2027年8月竣工。</w:t>
      </w:r>
    </w:p>
    <w:p>
      <w:pPr>
        <w:pStyle w:val="4"/>
      </w:pPr>
      <w:r>
        <w:t>1.1.7 投资规模和资金来源</w:t>
      </w:r>
    </w:p>
    <w:p>
      <w:r>
        <w:t>项目总投资8981.80万元，其中项目工程费用7881.76万元，占总投资的87.75%；工程建设其它费用520.20万元，占总投资的5.79%；预备费420.10万元，占总投资的4.68%；建设期利息159.75万元，占总投资的1.78%。</w:t>
      </w:r>
    </w:p>
    <w:p>
      <w:r>
        <w:t>在资金筹措方面，项目总投资由资本金和项目融资或其他债务性资金两部分构成，一是资本金1881.80万元，占总投资的20.95%，二是项目融资、企业自筹资金或者其他债务性资金7100.00万元，占总投资的79.05%。</w:t>
      </w:r>
    </w:p>
    <w:p>
      <w:pPr>
        <w:pStyle w:val="4"/>
      </w:pPr>
      <w:r>
        <w:t>1.1.8 项目定性</w:t>
      </w:r>
    </w:p>
    <w:p>
      <w:r>
        <w:t>本项目定性为新能源综合开发利用项目，是河南省林光互补矿山综合治理示范工程，构建光伏+储能+微电网+虚拟电厂一体化新型电力系统，实现生态修复与新能源开发的有机结合。项目通过在已治理尾矿库覆土区域种植能源植物超级芦竹并建设26MW光伏发电低压并网项目，配套建设3MW/6MWh储能系统及智能微电网，同步建设虚拟电厂运营平台，形成完整的源网荷储一体化运营模式，为金堆城钼业公司提供清洁、低碳、经济的电力供应，助力企业绿色转型和应对国际碳关税壁垒。</w:t>
      </w:r>
    </w:p>
    <w:p>
      <w:r>
        <w:t>本项目属于资源综合利用与新能源开发相结合的复合型项目，兼具生态修复、清洁能源生产和碳汇三大功能。项目采用林光互补模式，在尾矿治理形成的林地上方建设光伏发电设施，下方种植超级芦竹，实现一地两用、一地多收，既解决了尾矿库土地闲置问题，又创造了可观的经济效益和环境效益。项目年发电量约3000万度，可减少二氧化碳排放约2.5万吨，超级芦竹每年可吸收二氧化碳约2550至5100吨，碳汇效益显著，是践行绿水青山就是金山银山理念的生动实践。</w:t>
      </w:r>
    </w:p>
    <w:p>
      <w:pPr>
        <w:pStyle w:val="4"/>
      </w:pPr>
      <w:r>
        <w:t>1.1.9 项目运营模式</w:t>
      </w:r>
    </w:p>
    <w:p>
      <w:r>
        <w:t>本项目采用自发自用、就近消纳的运营模式，通过源网荷储一体化微电网架构，实现光伏发电、储能调节与企业用电负荷的实时匹配与优化控制。项目所发电力全部由金堆城钼业公司消纳，不对外售电，电价参照用户侧电价执行，既保证项目收益，又为用电企业创造约20%至30%的降本空间。项目同步建设虚拟电厂运营平台，将分布式光伏、储能电站、可控负荷等分散能源资源进行聚合管理和统一调度，参与电力市场交易和电网辅助服务，获取增量收益。</w:t>
      </w:r>
    </w:p>
    <w:p>
      <w:pPr>
        <w:pStyle w:val="4"/>
      </w:pPr>
      <w:r>
        <w:t>1.1.10 主要经济技术指标</w:t>
      </w:r>
    </w:p>
    <w:p>
      <w:r>
        <w:t>主要经济技术指标一览表如下所示：</w:t>
      </w:r>
    </w:p>
    <w:tbl>
      <w:tblPr>
        <w:tblStyle w:val="9"/>
        <w:tblW w:w="5000" w:type="pct"/>
        <w:tblInd w:w="0" w:type="dxa"/>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Layout w:type="autofit"/>
        <w:tblCellMar>
          <w:top w:w="0" w:type="dxa"/>
          <w:left w:w="10" w:type="dxa"/>
          <w:bottom w:w="0" w:type="dxa"/>
          <w:right w:w="10" w:type="dxa"/>
        </w:tblCellMar>
      </w:tblPr>
      <w:tblGrid>
        <w:gridCol w:w="1157"/>
        <w:gridCol w:w="3337"/>
        <w:gridCol w:w="1157"/>
        <w:gridCol w:w="1518"/>
        <w:gridCol w:w="1157"/>
      </w:tblGrid>
      <w:tr>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rPr>
          <w:tblHeader/>
        </w:trPr>
        <w:tc>
          <w:tcPr>
            <w:shd w:val="clear" w:color="auto" w:fill="F2F2F2"/>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b/>
                <w:bCs/>
                <w:sz w:val="21"/>
                <w:szCs w:val="21"/>
              </w:rPr>
              <w:t>序号</w:t>
            </w:r>
          </w:p>
        </w:tc>
        <w:tc>
          <w:tcPr>
            <w:shd w:val="clear" w:color="auto" w:fill="F2F2F2"/>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b/>
                <w:bCs/>
                <w:sz w:val="21"/>
                <w:szCs w:val="21"/>
              </w:rPr>
              <w:t>科目</w:t>
            </w:r>
          </w:p>
        </w:tc>
        <w:tc>
          <w:tcPr>
            <w:shd w:val="clear" w:color="auto" w:fill="F2F2F2"/>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b/>
                <w:bCs/>
                <w:sz w:val="21"/>
                <w:szCs w:val="21"/>
              </w:rPr>
              <w:t>单位</w:t>
            </w:r>
          </w:p>
        </w:tc>
        <w:tc>
          <w:tcPr>
            <w:shd w:val="clear" w:color="auto" w:fill="F2F2F2"/>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b/>
                <w:bCs/>
                <w:sz w:val="21"/>
                <w:szCs w:val="21"/>
              </w:rPr>
              <w:t>指标</w:t>
            </w:r>
          </w:p>
        </w:tc>
        <w:tc>
          <w:tcPr>
            <w:shd w:val="clear" w:color="auto" w:fill="F2F2F2"/>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b/>
                <w:bCs/>
                <w:sz w:val="21"/>
                <w:szCs w:val="21"/>
              </w:rPr>
              <w:t>备注</w:t>
            </w:r>
          </w:p>
        </w:tc>
      </w:tr>
      <w:tr>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c>
          <w:tcPr>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1</w:t>
            </w:r>
          </w:p>
        </w:tc>
        <w:tc>
          <w:tcPr>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项目规模总投资</w:t>
            </w:r>
          </w:p>
        </w:tc>
        <w:tc>
          <w:tcPr>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万元</w:t>
            </w:r>
          </w:p>
        </w:tc>
        <w:tc>
          <w:tcPr>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8981.80</w:t>
            </w:r>
          </w:p>
        </w:tc>
        <w:tc>
          <w:tcPr>
            <w:vAlign w:val="center"/>
          </w:tcPr>
          <w:p>
            <w:pPr>
              <w:spacing w:before="40" w:after="40" w:line="360" w:lineRule="auto"/>
              <w:ind w:firstLine="0"/>
              <w:jc w:val="center"/>
              <w:rPr>
                <w:rFonts w:hint="eastAsia" w:ascii="宋体" w:hAnsi="宋体" w:eastAsia="宋体" w:cs="宋体"/>
                <w:sz w:val="21"/>
                <w:szCs w:val="21"/>
              </w:rPr>
            </w:pPr>
          </w:p>
        </w:tc>
      </w:tr>
      <w:tr>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c>
          <w:tcPr>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2</w:t>
            </w:r>
          </w:p>
        </w:tc>
        <w:tc>
          <w:tcPr>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年均收入</w:t>
            </w:r>
          </w:p>
        </w:tc>
        <w:tc>
          <w:tcPr>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万元</w:t>
            </w:r>
          </w:p>
        </w:tc>
        <w:tc>
          <w:tcPr>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1528.73</w:t>
            </w:r>
          </w:p>
        </w:tc>
        <w:tc>
          <w:tcPr>
            <w:vAlign w:val="center"/>
          </w:tcPr>
          <w:p>
            <w:pPr>
              <w:spacing w:before="40" w:after="40" w:line="360" w:lineRule="auto"/>
              <w:ind w:firstLine="0"/>
              <w:jc w:val="center"/>
              <w:rPr>
                <w:rFonts w:hint="eastAsia" w:ascii="宋体" w:hAnsi="宋体" w:eastAsia="宋体" w:cs="宋体"/>
                <w:sz w:val="21"/>
                <w:szCs w:val="21"/>
              </w:rPr>
            </w:pPr>
          </w:p>
        </w:tc>
      </w:tr>
      <w:tr>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c>
          <w:tcPr>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3</w:t>
            </w:r>
          </w:p>
        </w:tc>
        <w:tc>
          <w:tcPr>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年均总成本</w:t>
            </w:r>
          </w:p>
        </w:tc>
        <w:tc>
          <w:tcPr>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万元</w:t>
            </w:r>
          </w:p>
        </w:tc>
        <w:tc>
          <w:tcPr>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740.99</w:t>
            </w:r>
          </w:p>
        </w:tc>
        <w:tc>
          <w:tcPr>
            <w:vAlign w:val="center"/>
          </w:tcPr>
          <w:p>
            <w:pPr>
              <w:spacing w:before="40" w:after="40" w:line="360" w:lineRule="auto"/>
              <w:ind w:firstLine="0"/>
              <w:jc w:val="center"/>
              <w:rPr>
                <w:rFonts w:hint="eastAsia" w:ascii="宋体" w:hAnsi="宋体" w:eastAsia="宋体" w:cs="宋体"/>
                <w:sz w:val="21"/>
                <w:szCs w:val="21"/>
              </w:rPr>
            </w:pPr>
          </w:p>
        </w:tc>
      </w:tr>
      <w:tr>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c>
          <w:tcPr>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4</w:t>
            </w:r>
          </w:p>
        </w:tc>
        <w:tc>
          <w:tcPr>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年均经营成本</w:t>
            </w:r>
          </w:p>
        </w:tc>
        <w:tc>
          <w:tcPr>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万元</w:t>
            </w:r>
          </w:p>
        </w:tc>
        <w:tc>
          <w:tcPr>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192.40</w:t>
            </w:r>
          </w:p>
        </w:tc>
        <w:tc>
          <w:tcPr>
            <w:vAlign w:val="center"/>
          </w:tcPr>
          <w:p>
            <w:pPr>
              <w:spacing w:before="40" w:after="40" w:line="360" w:lineRule="auto"/>
              <w:ind w:firstLine="0"/>
              <w:jc w:val="center"/>
              <w:rPr>
                <w:rFonts w:hint="eastAsia" w:ascii="宋体" w:hAnsi="宋体" w:eastAsia="宋体" w:cs="宋体"/>
                <w:sz w:val="21"/>
                <w:szCs w:val="21"/>
              </w:rPr>
            </w:pPr>
          </w:p>
        </w:tc>
      </w:tr>
      <w:tr>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c>
          <w:tcPr>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5</w:t>
            </w:r>
          </w:p>
        </w:tc>
        <w:tc>
          <w:tcPr>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年均利润</w:t>
            </w:r>
          </w:p>
        </w:tc>
        <w:tc>
          <w:tcPr>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万元</w:t>
            </w:r>
          </w:p>
        </w:tc>
        <w:tc>
          <w:tcPr>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587.81</w:t>
            </w:r>
          </w:p>
        </w:tc>
        <w:tc>
          <w:tcPr>
            <w:vAlign w:val="center"/>
          </w:tcPr>
          <w:p>
            <w:pPr>
              <w:spacing w:before="40" w:after="40" w:line="360" w:lineRule="auto"/>
              <w:ind w:firstLine="0"/>
              <w:jc w:val="center"/>
              <w:rPr>
                <w:rFonts w:hint="eastAsia" w:ascii="宋体" w:hAnsi="宋体" w:eastAsia="宋体" w:cs="宋体"/>
                <w:sz w:val="21"/>
                <w:szCs w:val="21"/>
              </w:rPr>
            </w:pPr>
          </w:p>
        </w:tc>
      </w:tr>
      <w:tr>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c>
          <w:tcPr>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6</w:t>
            </w:r>
          </w:p>
        </w:tc>
        <w:tc>
          <w:tcPr>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财务内部收益率（税后）</w:t>
            </w:r>
          </w:p>
        </w:tc>
        <w:tc>
          <w:tcPr>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w:t>
            </w:r>
          </w:p>
        </w:tc>
        <w:tc>
          <w:tcPr>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9.16</w:t>
            </w:r>
          </w:p>
        </w:tc>
        <w:tc>
          <w:tcPr>
            <w:vAlign w:val="center"/>
          </w:tcPr>
          <w:p>
            <w:pPr>
              <w:spacing w:before="40" w:after="40" w:line="360" w:lineRule="auto"/>
              <w:ind w:firstLine="0"/>
              <w:jc w:val="center"/>
              <w:rPr>
                <w:rFonts w:hint="eastAsia" w:ascii="宋体" w:hAnsi="宋体" w:eastAsia="宋体" w:cs="宋体"/>
                <w:sz w:val="21"/>
                <w:szCs w:val="21"/>
              </w:rPr>
            </w:pPr>
          </w:p>
        </w:tc>
      </w:tr>
      <w:tr>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c>
          <w:tcPr>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7</w:t>
            </w:r>
          </w:p>
        </w:tc>
        <w:tc>
          <w:tcPr>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财务净现值（税后）</w:t>
            </w:r>
          </w:p>
        </w:tc>
        <w:tc>
          <w:tcPr>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万元</w:t>
            </w:r>
          </w:p>
        </w:tc>
        <w:tc>
          <w:tcPr>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5252.36</w:t>
            </w:r>
          </w:p>
        </w:tc>
        <w:tc>
          <w:tcPr>
            <w:vAlign w:val="center"/>
          </w:tcPr>
          <w:p>
            <w:pPr>
              <w:spacing w:before="40" w:after="40" w:line="360" w:lineRule="auto"/>
              <w:ind w:firstLine="0"/>
              <w:jc w:val="center"/>
              <w:rPr>
                <w:rFonts w:hint="eastAsia" w:ascii="宋体" w:hAnsi="宋体" w:eastAsia="宋体" w:cs="宋体"/>
                <w:sz w:val="21"/>
                <w:szCs w:val="21"/>
              </w:rPr>
            </w:pPr>
          </w:p>
        </w:tc>
      </w:tr>
      <w:tr>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c>
          <w:tcPr>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8</w:t>
            </w:r>
          </w:p>
        </w:tc>
        <w:tc>
          <w:tcPr>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税后投资回收期</w:t>
            </w:r>
          </w:p>
        </w:tc>
        <w:tc>
          <w:tcPr>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年</w:t>
            </w:r>
          </w:p>
        </w:tc>
        <w:tc>
          <w:tcPr>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9.01</w:t>
            </w:r>
          </w:p>
        </w:tc>
        <w:tc>
          <w:tcPr>
            <w:vAlign w:val="center"/>
          </w:tcPr>
          <w:p>
            <w:pPr>
              <w:spacing w:before="40" w:after="40" w:line="360" w:lineRule="auto"/>
              <w:ind w:firstLine="0"/>
              <w:jc w:val="center"/>
              <w:rPr>
                <w:rFonts w:hint="eastAsia" w:ascii="宋体" w:hAnsi="宋体" w:eastAsia="宋体" w:cs="宋体"/>
                <w:sz w:val="21"/>
                <w:szCs w:val="21"/>
              </w:rPr>
            </w:pPr>
          </w:p>
        </w:tc>
      </w:tr>
      <w:tr>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c>
          <w:tcPr>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9</w:t>
            </w:r>
          </w:p>
        </w:tc>
        <w:tc>
          <w:tcPr>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总投资收益率</w:t>
            </w:r>
          </w:p>
        </w:tc>
        <w:tc>
          <w:tcPr>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w:t>
            </w:r>
          </w:p>
        </w:tc>
        <w:tc>
          <w:tcPr>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8.40</w:t>
            </w:r>
          </w:p>
        </w:tc>
        <w:tc>
          <w:tcPr>
            <w:vAlign w:val="center"/>
          </w:tcPr>
          <w:p>
            <w:pPr>
              <w:spacing w:before="40" w:after="40" w:line="360" w:lineRule="auto"/>
              <w:ind w:firstLine="0"/>
              <w:jc w:val="center"/>
              <w:rPr>
                <w:rFonts w:hint="eastAsia" w:ascii="宋体" w:hAnsi="宋体" w:eastAsia="宋体" w:cs="宋体"/>
                <w:sz w:val="21"/>
                <w:szCs w:val="21"/>
              </w:rPr>
            </w:pPr>
          </w:p>
        </w:tc>
      </w:tr>
      <w:tr>
        <w:tblPrEx>
          <w:tblBorders>
            <w:top w:val="single" w:color="000000" w:sz="8" w:space="0"/>
            <w:left w:val="single" w:color="000000" w:sz="4" w:space="0"/>
            <w:bottom w:val="single" w:color="000000" w:sz="8" w:space="0"/>
            <w:right w:val="single" w:color="000000" w:sz="4" w:space="0"/>
            <w:insideH w:val="single" w:color="000000" w:sz="4" w:space="0"/>
            <w:insideV w:val="single" w:color="000000" w:sz="4" w:space="0"/>
          </w:tblBorders>
          <w:tblCellMar>
            <w:top w:w="0" w:type="dxa"/>
            <w:left w:w="10" w:type="dxa"/>
            <w:bottom w:w="0" w:type="dxa"/>
            <w:right w:w="10" w:type="dxa"/>
          </w:tblCellMar>
        </w:tblPrEx>
        <w:tc>
          <w:tcPr>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10</w:t>
            </w:r>
          </w:p>
        </w:tc>
        <w:tc>
          <w:tcPr>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盈亏平衡点</w:t>
            </w:r>
          </w:p>
        </w:tc>
        <w:tc>
          <w:tcPr>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w:t>
            </w:r>
          </w:p>
        </w:tc>
        <w:tc>
          <w:tcPr>
            <w:vAlign w:val="center"/>
          </w:tcPr>
          <w:p>
            <w:pPr>
              <w:spacing w:before="40" w:after="40" w:line="360" w:lineRule="auto"/>
              <w:ind w:firstLine="0"/>
              <w:jc w:val="center"/>
              <w:rPr>
                <w:rFonts w:hint="eastAsia" w:ascii="宋体" w:hAnsi="宋体" w:eastAsia="宋体" w:cs="宋体"/>
                <w:sz w:val="21"/>
                <w:szCs w:val="21"/>
              </w:rPr>
            </w:pPr>
            <w:r>
              <w:rPr>
                <w:rFonts w:hint="eastAsia" w:ascii="宋体" w:hAnsi="宋体" w:eastAsia="宋体" w:cs="宋体"/>
                <w:sz w:val="21"/>
                <w:szCs w:val="21"/>
              </w:rPr>
              <w:t>46.07</w:t>
            </w:r>
          </w:p>
        </w:tc>
        <w:tc>
          <w:tcPr>
            <w:vAlign w:val="center"/>
          </w:tcPr>
          <w:p>
            <w:pPr>
              <w:spacing w:before="40" w:after="40" w:line="360" w:lineRule="auto"/>
              <w:ind w:firstLine="0"/>
              <w:jc w:val="center"/>
              <w:rPr>
                <w:rFonts w:hint="eastAsia" w:ascii="宋体" w:hAnsi="宋体" w:eastAsia="宋体" w:cs="宋体"/>
                <w:sz w:val="21"/>
                <w:szCs w:val="21"/>
              </w:rPr>
            </w:pPr>
          </w:p>
        </w:tc>
      </w:tr>
    </w:tbl>
    <w:p>
      <w:pPr>
        <w:pStyle w:val="3"/>
      </w:pPr>
      <w:r>
        <w:t>1.2 企业及实际控制人概况</w:t>
      </w:r>
    </w:p>
    <w:p>
      <w:r>
        <w:t>汝阳城市建设公司系汝阳县政府平台公司，是承担地方国有企业社会责任和经营性转型使命的重要主体。公司作为汝阳县城市建设和运营服务的核心企业，在县域内拥有丰富的项目资源和运营经验，具备较强的项目管理能力和资源协调能力。公司在土地获取、项目审批、政策协调等方面具有天然优势，可有效降低项目建设和运营风险。当前，公司正积极响应国家融资平台转型政策，从传统融资平台向市场化运营主体转型，通过新能源等经营性项目实现业务升级和可持续发展。</w:t>
      </w:r>
    </w:p>
    <w:p>
      <w:pPr>
        <w:pStyle w:val="3"/>
      </w:pPr>
      <w:r>
        <w:t>1.3 编制依据</w:t>
      </w:r>
    </w:p>
    <w:p>
      <w:pPr>
        <w:numPr>
          <w:ilvl w:val="0"/>
          <w:numId w:val="0"/>
        </w:numPr>
        <w:spacing w:before="120" w:after="120" w:line="360" w:lineRule="auto"/>
        <w:ind w:leftChars="200"/>
        <w:jc w:val="both"/>
      </w:pPr>
      <w:r>
        <w:rPr>
          <w:rFonts w:ascii="Times New Roman" w:hAnsi="Times New Roman" w:eastAsia="宋体"/>
          <w:sz w:val="28"/>
          <w:szCs w:val="28"/>
        </w:rPr>
        <w:t>《中华人民共和国国民经济和社会发展第十五个五年规划纲要》；</w:t>
      </w:r>
    </w:p>
    <w:p>
      <w:pPr>
        <w:numPr>
          <w:ilvl w:val="0"/>
          <w:numId w:val="0"/>
        </w:numPr>
        <w:spacing w:before="120" w:after="120" w:line="360" w:lineRule="auto"/>
        <w:ind w:leftChars="200"/>
        <w:jc w:val="both"/>
      </w:pPr>
      <w:r>
        <w:rPr>
          <w:rFonts w:ascii="Times New Roman" w:hAnsi="Times New Roman" w:eastAsia="宋体"/>
          <w:sz w:val="28"/>
          <w:szCs w:val="28"/>
        </w:rPr>
        <w:t>《十五五现代能源体系规划》；</w:t>
      </w:r>
    </w:p>
    <w:p>
      <w:pPr>
        <w:numPr>
          <w:ilvl w:val="0"/>
          <w:numId w:val="0"/>
        </w:numPr>
        <w:spacing w:before="120" w:after="120" w:line="360" w:lineRule="auto"/>
        <w:ind w:leftChars="200"/>
        <w:jc w:val="both"/>
      </w:pPr>
      <w:r>
        <w:rPr>
          <w:rFonts w:ascii="Times New Roman" w:hAnsi="Times New Roman" w:eastAsia="宋体"/>
          <w:sz w:val="28"/>
          <w:szCs w:val="28"/>
        </w:rPr>
        <w:t>《关于深化新能源上网电价市场化改革促进新能源高质量发展的通知》（发改价格〔2025〕136号）；</w:t>
      </w:r>
    </w:p>
    <w:p>
      <w:pPr>
        <w:numPr>
          <w:ilvl w:val="0"/>
          <w:numId w:val="0"/>
        </w:numPr>
        <w:spacing w:before="120" w:after="120" w:line="360" w:lineRule="auto"/>
        <w:ind w:leftChars="200"/>
        <w:jc w:val="both"/>
      </w:pPr>
      <w:r>
        <w:rPr>
          <w:rFonts w:ascii="Times New Roman" w:hAnsi="Times New Roman" w:eastAsia="宋体"/>
          <w:sz w:val="28"/>
          <w:szCs w:val="28"/>
        </w:rPr>
        <w:t>《关于促进电网高质量发展的指导意见》（发改能源〔2025〕1710号）；</w:t>
      </w:r>
    </w:p>
    <w:p>
      <w:pPr>
        <w:numPr>
          <w:ilvl w:val="0"/>
          <w:numId w:val="0"/>
        </w:numPr>
        <w:spacing w:before="120" w:after="120" w:line="360" w:lineRule="auto"/>
        <w:ind w:leftChars="200"/>
        <w:jc w:val="both"/>
      </w:pPr>
      <w:r>
        <w:rPr>
          <w:rFonts w:ascii="Times New Roman" w:hAnsi="Times New Roman" w:eastAsia="宋体"/>
          <w:sz w:val="28"/>
          <w:szCs w:val="28"/>
        </w:rPr>
        <w:t>《关于大力实施可再生能源替代行动的指导意见》（发改能源〔2024〕1537号）；</w:t>
      </w:r>
    </w:p>
    <w:p>
      <w:pPr>
        <w:numPr>
          <w:ilvl w:val="0"/>
          <w:numId w:val="0"/>
        </w:numPr>
        <w:spacing w:before="120" w:after="120" w:line="360" w:lineRule="auto"/>
        <w:ind w:leftChars="200"/>
        <w:jc w:val="both"/>
      </w:pPr>
      <w:r>
        <w:rPr>
          <w:rFonts w:ascii="Times New Roman" w:hAnsi="Times New Roman" w:eastAsia="宋体"/>
          <w:sz w:val="28"/>
          <w:szCs w:val="28"/>
        </w:rPr>
        <w:t>《河南省新能源和可再生能源发展十四五规划》；</w:t>
      </w:r>
    </w:p>
    <w:p>
      <w:pPr>
        <w:numPr>
          <w:ilvl w:val="0"/>
          <w:numId w:val="0"/>
        </w:numPr>
        <w:spacing w:before="120" w:after="120" w:line="360" w:lineRule="auto"/>
        <w:ind w:leftChars="200"/>
        <w:jc w:val="both"/>
      </w:pPr>
      <w:r>
        <w:rPr>
          <w:rFonts w:ascii="Times New Roman" w:hAnsi="Times New Roman" w:eastAsia="宋体"/>
          <w:sz w:val="28"/>
          <w:szCs w:val="28"/>
        </w:rPr>
        <w:t>《河南省碳达峰实施方案》；</w:t>
      </w:r>
    </w:p>
    <w:p>
      <w:pPr>
        <w:numPr>
          <w:ilvl w:val="0"/>
          <w:numId w:val="0"/>
        </w:numPr>
        <w:spacing w:before="120" w:after="120" w:line="360" w:lineRule="auto"/>
        <w:ind w:leftChars="200"/>
        <w:jc w:val="both"/>
      </w:pPr>
      <w:r>
        <w:rPr>
          <w:rFonts w:ascii="Times New Roman" w:hAnsi="Times New Roman" w:eastAsia="宋体"/>
          <w:sz w:val="28"/>
          <w:szCs w:val="28"/>
        </w:rPr>
        <w:t>《河南省配电网高质量发展实施方案（2024-2027年）》；</w:t>
      </w:r>
    </w:p>
    <w:p>
      <w:pPr>
        <w:numPr>
          <w:ilvl w:val="0"/>
          <w:numId w:val="0"/>
        </w:numPr>
        <w:spacing w:before="120" w:after="120" w:line="360" w:lineRule="auto"/>
        <w:ind w:leftChars="200"/>
        <w:jc w:val="both"/>
      </w:pPr>
      <w:r>
        <w:rPr>
          <w:rFonts w:ascii="Times New Roman" w:hAnsi="Times New Roman" w:eastAsia="宋体"/>
          <w:sz w:val="28"/>
          <w:szCs w:val="28"/>
        </w:rPr>
        <w:t>《新型储能规模化建设专项行动方案（2025-2027年）》；</w:t>
      </w:r>
    </w:p>
    <w:p>
      <w:pPr>
        <w:numPr>
          <w:ilvl w:val="0"/>
          <w:numId w:val="0"/>
        </w:numPr>
        <w:spacing w:before="120" w:after="120" w:line="360" w:lineRule="auto"/>
        <w:ind w:leftChars="200"/>
        <w:jc w:val="both"/>
      </w:pPr>
      <w:r>
        <w:rPr>
          <w:rFonts w:ascii="Times New Roman" w:hAnsi="Times New Roman" w:eastAsia="宋体"/>
          <w:sz w:val="28"/>
          <w:szCs w:val="28"/>
        </w:rPr>
        <w:t>《产业结构调整指导目录（2024年本）》；</w:t>
      </w:r>
    </w:p>
    <w:p>
      <w:pPr>
        <w:numPr>
          <w:ilvl w:val="0"/>
          <w:numId w:val="0"/>
        </w:numPr>
        <w:spacing w:before="120" w:after="120" w:line="360" w:lineRule="auto"/>
        <w:ind w:leftChars="200"/>
        <w:jc w:val="both"/>
      </w:pPr>
      <w:r>
        <w:rPr>
          <w:rFonts w:ascii="Times New Roman" w:hAnsi="Times New Roman" w:eastAsia="宋体"/>
          <w:sz w:val="28"/>
          <w:szCs w:val="28"/>
        </w:rPr>
        <w:t>《光伏发电站设计规范》（GB 50797-2012）；</w:t>
      </w:r>
    </w:p>
    <w:p>
      <w:pPr>
        <w:numPr>
          <w:ilvl w:val="0"/>
          <w:numId w:val="0"/>
        </w:numPr>
        <w:spacing w:before="120" w:after="120" w:line="360" w:lineRule="auto"/>
        <w:ind w:leftChars="200"/>
        <w:jc w:val="both"/>
      </w:pPr>
      <w:r>
        <w:rPr>
          <w:rFonts w:ascii="Times New Roman" w:hAnsi="Times New Roman" w:eastAsia="宋体"/>
          <w:sz w:val="28"/>
          <w:szCs w:val="28"/>
        </w:rPr>
        <w:t>《电化学储能电站设计规范》（GB 51048-2014）。</w:t>
      </w:r>
    </w:p>
    <w:p>
      <w:pPr>
        <w:pStyle w:val="3"/>
      </w:pPr>
      <w:r>
        <w:t>1.4 研究范围</w:t>
      </w:r>
    </w:p>
    <w:p>
      <w:r>
        <w:t>按照国家对可行性研究报告工作范围和深度的规定，本报告对项目建设背景、需求分析及产出方案、项目选址与建设条件、建设规模及内容、项目建设方案、公用工程、环境保护、节能、劳动安全卫生及消防、组织机构与劳动定员、项目组织及实施、项目招投标、投资估算与资金筹措、财务评价、效益分析、结论与建议等方面进行综合研究和分析，重点研究和论述项目建设的必要性、项目建设方案、投资估算、财务评价、效益分析等内容，为建设单位的决策和实施提供可靠和准确的论证。</w:t>
      </w:r>
    </w:p>
    <w:p>
      <w:pPr>
        <w:pStyle w:val="3"/>
      </w:pPr>
      <w:r>
        <w:t>1.5 结论及建议</w:t>
      </w:r>
    </w:p>
    <w:p>
      <w:pPr>
        <w:pStyle w:val="4"/>
      </w:pPr>
      <w:r>
        <w:t>1.5.1 结论</w:t>
      </w:r>
    </w:p>
    <w:p>
      <w:r>
        <w:t>本项目为汝阳县金堆城钼业东沟矿区尾矿库26MW光伏发电项目，属于新能源综合开发利用项目，符合国家双碳战略和十五五能源发展规划政策导向。项目采用林光互补模式，在尾矿治理形成的林地上建设26MW分布式光伏电站，配套3MW/6MWh储能系统及智能微电网，同步建设虚拟电厂运营平台，实现生态修复与新能源开发的有机结合。项目总投资约8981.80万元，年均营业收入约1528.73万元，财务内部收益率（税后）9.16%，投资回收期约9.01年，具备较强的盈利能力和抗风险能力。项目所发电力全部由金堆城钼业公司就近消纳，消纳空间充足，不存在弃光限电风险。项目模式具有较强的可复制性和推广价值，可在全国范围内矿山尾矿治理区域进行复制推广。综合判断，本项目建设必要、技术可行、经济合理、风险可控，建议尽快组织实施。</w:t>
      </w:r>
    </w:p>
    <w:p>
      <w:pPr>
        <w:pStyle w:val="4"/>
      </w:pPr>
      <w:r>
        <w:t>1.5.2 建议</w:t>
      </w:r>
    </w:p>
    <w:p>
      <w:pPr>
        <w:keepNext w:val="0"/>
        <w:keepLines w:val="0"/>
        <w:pageBreakBefore w:val="0"/>
        <w:widowControl/>
        <w:numPr>
          <w:ilvl w:val="0"/>
          <w:numId w:val="0"/>
        </w:numPr>
        <w:kinsoku/>
        <w:wordWrap/>
        <w:overflowPunct/>
        <w:topLinePunct w:val="0"/>
        <w:autoSpaceDE/>
        <w:autoSpaceDN/>
        <w:bidi w:val="0"/>
        <w:adjustRightInd/>
        <w:snapToGrid/>
        <w:spacing w:before="120" w:after="120" w:line="360" w:lineRule="auto"/>
        <w:ind w:leftChars="200" w:firstLine="560" w:firstLineChars="200"/>
        <w:jc w:val="both"/>
        <w:textAlignment w:val="auto"/>
      </w:pPr>
      <w:r>
        <w:rPr>
          <w:rFonts w:ascii="Times New Roman" w:hAnsi="Times New Roman" w:eastAsia="宋体"/>
          <w:sz w:val="28"/>
          <w:szCs w:val="28"/>
        </w:rPr>
        <w:t>尽快完成项目备案、环评、能评等前期审批手续，确保项目合法合规开工建设。</w:t>
      </w:r>
    </w:p>
    <w:p>
      <w:pPr>
        <w:keepNext w:val="0"/>
        <w:keepLines w:val="0"/>
        <w:pageBreakBefore w:val="0"/>
        <w:widowControl/>
        <w:numPr>
          <w:ilvl w:val="0"/>
          <w:numId w:val="0"/>
        </w:numPr>
        <w:kinsoku/>
        <w:wordWrap/>
        <w:overflowPunct/>
        <w:topLinePunct w:val="0"/>
        <w:autoSpaceDE/>
        <w:autoSpaceDN/>
        <w:bidi w:val="0"/>
        <w:adjustRightInd/>
        <w:snapToGrid/>
        <w:spacing w:before="120" w:after="120" w:line="360" w:lineRule="auto"/>
        <w:ind w:leftChars="200" w:firstLine="560" w:firstLineChars="200"/>
        <w:jc w:val="both"/>
        <w:textAlignment w:val="auto"/>
      </w:pPr>
      <w:r>
        <w:rPr>
          <w:rFonts w:ascii="Times New Roman" w:hAnsi="Times New Roman" w:eastAsia="宋体"/>
          <w:sz w:val="28"/>
          <w:szCs w:val="28"/>
        </w:rPr>
        <w:t>加强与金堆城钼业公司的沟通协调，尽快签订长期电力供应协议，锁定售电关系和电价机制。</w:t>
      </w:r>
    </w:p>
    <w:p>
      <w:pPr>
        <w:keepNext w:val="0"/>
        <w:keepLines w:val="0"/>
        <w:pageBreakBefore w:val="0"/>
        <w:widowControl/>
        <w:numPr>
          <w:ilvl w:val="0"/>
          <w:numId w:val="0"/>
        </w:numPr>
        <w:kinsoku/>
        <w:wordWrap/>
        <w:overflowPunct/>
        <w:topLinePunct w:val="0"/>
        <w:autoSpaceDE/>
        <w:autoSpaceDN/>
        <w:bidi w:val="0"/>
        <w:adjustRightInd/>
        <w:snapToGrid/>
        <w:spacing w:before="120" w:after="120" w:line="360" w:lineRule="auto"/>
        <w:ind w:leftChars="200" w:firstLine="560" w:firstLineChars="200"/>
        <w:jc w:val="both"/>
        <w:textAlignment w:val="auto"/>
      </w:pPr>
      <w:r>
        <w:rPr>
          <w:rFonts w:ascii="Times New Roman" w:hAnsi="Times New Roman" w:eastAsia="宋体"/>
          <w:sz w:val="28"/>
          <w:szCs w:val="28"/>
        </w:rPr>
        <w:t>抓紧推进设备采购和施工招标工作，优选具有丰富经验的光伏组件、逆变器和储能系统供应商，确保工程质量和进度。</w:t>
      </w:r>
    </w:p>
    <w:p>
      <w:pPr>
        <w:keepNext w:val="0"/>
        <w:keepLines w:val="0"/>
        <w:pageBreakBefore w:val="0"/>
        <w:widowControl/>
        <w:numPr>
          <w:ilvl w:val="0"/>
          <w:numId w:val="0"/>
        </w:numPr>
        <w:kinsoku/>
        <w:wordWrap/>
        <w:overflowPunct/>
        <w:topLinePunct w:val="0"/>
        <w:autoSpaceDE/>
        <w:autoSpaceDN/>
        <w:bidi w:val="0"/>
        <w:adjustRightInd/>
        <w:snapToGrid/>
        <w:spacing w:before="120" w:after="120" w:line="360" w:lineRule="auto"/>
        <w:ind w:leftChars="200" w:firstLine="560" w:firstLineChars="200"/>
        <w:jc w:val="both"/>
        <w:textAlignment w:val="auto"/>
      </w:pPr>
      <w:r>
        <w:rPr>
          <w:rFonts w:ascii="Times New Roman" w:hAnsi="Times New Roman" w:eastAsia="宋体"/>
          <w:sz w:val="28"/>
          <w:szCs w:val="28"/>
        </w:rPr>
        <w:t>积极对接金融机构，充分利用绿色金融政策工具和碳减排支持工具，降低项目融资成本。</w:t>
      </w:r>
    </w:p>
    <w:p>
      <w:pPr>
        <w:keepNext w:val="0"/>
        <w:keepLines w:val="0"/>
        <w:pageBreakBefore w:val="0"/>
        <w:widowControl/>
        <w:numPr>
          <w:ilvl w:val="0"/>
          <w:numId w:val="0"/>
        </w:numPr>
        <w:kinsoku/>
        <w:wordWrap/>
        <w:overflowPunct/>
        <w:topLinePunct w:val="0"/>
        <w:autoSpaceDE/>
        <w:autoSpaceDN/>
        <w:bidi w:val="0"/>
        <w:adjustRightInd/>
        <w:snapToGrid/>
        <w:spacing w:before="120" w:after="120" w:line="360" w:lineRule="auto"/>
        <w:ind w:leftChars="200" w:firstLine="560" w:firstLineChars="200"/>
        <w:jc w:val="both"/>
        <w:textAlignment w:val="auto"/>
      </w:pPr>
      <w:r>
        <w:rPr>
          <w:rFonts w:ascii="Times New Roman" w:hAnsi="Times New Roman" w:eastAsia="宋体"/>
          <w:sz w:val="28"/>
          <w:szCs w:val="28"/>
        </w:rPr>
        <w:t>提前布局虚拟电厂运营平台建设和运营团队组建，为后续参与电力市场交易和获取增量收益做好充分准备。</w:t>
      </w:r>
    </w:p>
    <w:p>
      <w:pPr>
        <w:pStyle w:val="2"/>
      </w:pPr>
      <w:r>
        <w:t>第二章 项目建设背景、需求分析及产出方案</w:t>
      </w:r>
    </w:p>
    <w:p>
      <w:r>
        <w:t>本项目定性为新能源综合开发利用项目，选址于河南省洛阳市汝阳县金堆城钼业东沟矿区尾矿库及周边工矿用地。项目通过在已治理尾矿库覆土区域种植能源植物超级芦竹并建设26MW光伏发电低压并网项目，配套建设3MW/6MWh储能系统及智能微电网，实现生态修复与新能源开发的有机结合。</w:t>
      </w:r>
    </w:p>
    <w:p>
      <w:pPr>
        <w:pStyle w:val="3"/>
      </w:pPr>
      <w:r>
        <w:t>2.1 规划政策符合性</w:t>
      </w:r>
    </w:p>
    <w:p>
      <w:pPr>
        <w:pStyle w:val="4"/>
      </w:pPr>
      <w:r>
        <w:t>2.1.1 项目建设背景</w:t>
      </w:r>
    </w:p>
    <w:p>
      <w:pPr>
        <w:pStyle w:val="5"/>
      </w:pPr>
      <w:r>
        <w:t>1、宏观动因</w:t>
      </w:r>
    </w:p>
    <w:p>
      <w:r>
        <w:t>"碳达峰、碳中和"已被纳入国家生态文明建设整体布局，成为推动经济结构转型升级的重要引擎。2026年4月发布的《中华人民共和国国民经济和社会发展第十五个五年规划纲要》明确提出，到2030年非化石能源占能源消费总量比重达到25%，较"十四五"末的21.7%提升3.3个百分点，凸显了非化石能源发展的重要性。"十五五"时期，我国将以更大力度发展非化石能源，加快建设新型电力系统，推动新增用电量由新增清洁能源电量覆盖。</w:t>
      </w:r>
    </w:p>
    <w:p>
      <w:r>
        <w:t>2025年2月，国家发展改革委、国家能源局联合印发《关于深化新能源上网电价市场化改革促进新能源高质量发展的通知》（发改价格〔2025〕136号），推动新能源上网电量全面进入电力市场，通过市场交易形成价格。136号文件的出台对新能源行业产生了深远影响，新能源项目上网电量原则上全部进入电力市场，不再享受固定标杆电价，标志着新能源项目从"保量保价"时代进入"市场化交易"时代。在此政策背景下，传统的"余电上网、全额上网"模式收益大幅降低。136号文件的实施直接促成本项目采用"自发自用、就近消纳"的运营模式，规避了电力市场化交易中的价格风险。</w:t>
      </w:r>
    </w:p>
    <w:p>
      <w:r>
        <w:t>2025年12月，国家发展改革委、国家能源局联合印发《关于促进电网高质量发展的指导意见》（发改能源〔2025〕1710号），明确提出加快建设主配微协同的新型电网平台，到2030年接纳分布式新能源能力达到9亿千瓦。1710号文件首次在国家级文件中明确"主网-配网-微网三层协同"的电网物理与治理架构，智能微电网作为"自平衡、自调节、自安全"的电力新业态载体，促进新能源就近开发、就地消纳。1710号文件与本项目高度契合，为本项目构建"源网荷储"一体化微电网系统、实现新能源就近消纳提供了明确的政策支撑和技术路径。</w:t>
      </w:r>
    </w:p>
    <w:p>
      <w:r>
        <w:t>欧盟碳边境调节机制（CBAM）于2026年1月1日起正式实施，涵盖钢铁、铝、水泥、化肥、电力与氢六大类产品，且计划自2028年起将范围扩展至机械装备、汽车及其零部件等约180种钢铝密集型下游产品。中国钼产品作为重要的工业原材料，面临着日益严峻的国际碳关税壁垒，通过建设绿电项目获取绿色电力消费证明，已成为出口企业应对国际贸易壁垒的迫切需求。</w:t>
      </w:r>
    </w:p>
    <w:p>
      <w:pPr>
        <w:pStyle w:val="5"/>
      </w:pPr>
      <w:r>
        <w:t>2、中观动因</w:t>
      </w:r>
    </w:p>
    <w:p>
      <w:r>
        <w:t>河南省作为国家重要的能源消费大省，2024年全社会用电量达4320亿千瓦时，同比增长5.6%。全省可再生能源发电装机超7500万千瓦，实现可再生能源发电装机超越火电、新能源发电装机超越煤电的"双超越"。截至2025年1月，全省新能源装机6877万千瓦，已超越煤电成为第一大电源。河南省"十五五"规划明确提出新增新能源和可再生能源发电装机容量3000万千瓦，为新能源项目发展提供了广阔空间。</w:t>
      </w:r>
    </w:p>
    <w:p>
      <w:r>
        <w:t>《河南省新能源和可再生能源发展"十四五"规划》明确支持林光互补综合开发模式，提出"探索采用农光、渔光等互补复合开发模式建设光伏电站，研究推动生态修复、土地整治等复合型光伏项目示范建设"。本项目采用"林光互补"模式，在尾矿治理形成的林地上方建设光伏发电设施，完全符合河南省新能源发展规划导向。</w:t>
      </w:r>
    </w:p>
    <w:p>
      <w:r>
        <w:t>中国光伏产业经过十余年快速发展，已成为全球最大的光伏制造和应用市场。截至2025年底，全国光伏发电累计装机容量超过1200GW，同比增长35.76%。光伏组件价格从2022年的约1.8元/瓦降至2024年底的约0.7元/瓦，降幅超过60%，光伏发电已全面进入平价时代。</w:t>
      </w:r>
    </w:p>
    <w:p>
      <w:pPr>
        <w:pStyle w:val="5"/>
      </w:pPr>
      <w:r>
        <w:t>3、微观动因</w:t>
      </w:r>
    </w:p>
    <w:p>
      <w:r>
        <w:t>金堆城钼业股份有限公司作为国内钼行业龙头企业，年用电量约4.56亿度，用电成本在企业运营总成本中占比较高。随着电力市场化改革推进和新能源全面入市，企业面临用电成本上升和碳排放约束的双重压力。通过建设"源网荷储"一体化项目，企业可降低外购电量，获取绿色电力证书，有效应对CBAM等绿色贸易壁垒。</w:t>
      </w:r>
    </w:p>
    <w:p>
      <w:r>
        <w:t>汝阳城市建设公司作为项目建设单位，系汝阳县政府平台公司，承担着地方国有企业的社会责任和经营性转型使命。项目所用土地归政府所有，建设单位对土地拥有绝对的使用权和管理权，金堆城钼业公司仅拥有矿区采矿权，不涉及土地所有权，在土地问题上不存在任何限制。公司从传统融资平台向运营服务转型，亟需通过新能源等经营性项目实现业务升级。本项目可有效盘活尾矿矿山闲置土地资源，将治理后的林地资源转化为优质经营性资产，为县域经济发展注入新动能。</w:t>
      </w:r>
    </w:p>
    <w:p>
      <w:pPr>
        <w:pStyle w:val="4"/>
      </w:pPr>
      <w:r>
        <w:t>2.1.2 项目前期工作进展情况</w:t>
      </w:r>
    </w:p>
    <w:p>
      <w:r>
        <w:t>项目前期工作开展有序，已完成以下核心要素确认和基础准备工作：</w:t>
      </w:r>
    </w:p>
    <w:p>
      <w:r>
        <w:t>市场调查方面，已完成对金堆城钼业公司用电需求的全面调研。调研数据显示，金堆城钼业汝阳矿区月用电量约3800万度，年用电量约4.56亿度，用电需求稳定且增长潜力明确。本项目首年发电量约占企业年用电量的6.6%，可有效降低企业外购电量，电力消纳渠道确定。</w:t>
      </w:r>
    </w:p>
    <w:p>
      <w:r>
        <w:t>土地方面，项目用地为尾矿治理后直接形成的林地，约300余亩，土地归政府所有，由汝阳城市建设公司（政府平台公司）主导开发，对土地拥有绝对的使用权和管理权。金堆城钼业公司仅拥有矿区采矿权，不涉及土地所有权。该地块原属林地，经土地整理后仍沿用林地属性，无需调整土地利用规划，简化了审批流程。</w:t>
      </w:r>
    </w:p>
    <w:p>
      <w:r>
        <w:t>核心要素确认方面，已完成光伏发电系统方案设计（26MW装机容量）、储能系统方案（3MW/6MWh）、微电网架构设计、超级芦竹种植方案等关键技术方案论证。项目采用"源网荷储"一体化微电网架构，具备低压并网运行能力。</w:t>
      </w:r>
    </w:p>
    <w:p>
      <w:r>
        <w:t>下游客户协议方面，已与金堆城钼业公司达成初步合作意向，项目所发电力全部由企业就近消纳，无需寻找新的客户端。</w:t>
      </w:r>
    </w:p>
    <w:p>
      <w:r>
        <w:t>行业行政许可方面，光伏发电项目属于国家鼓励类产业，已纳入《产业结构调整指导目录（2024年本）》鼓励类。项目符合国家和河南省新能源发展规划，正在推进环评、能评、安评等前期审批工作。</w:t>
      </w:r>
    </w:p>
    <w:p>
      <w:pPr>
        <w:pStyle w:val="4"/>
      </w:pPr>
      <w:r>
        <w:t>2.1.3 拟建项目与经济社会发展规划的符合性</w:t>
      </w:r>
    </w:p>
    <w:p>
      <w:pPr>
        <w:pStyle w:val="5"/>
      </w:pPr>
      <w:r>
        <w:t>1、国家级规划</w:t>
      </w:r>
    </w:p>
    <w:p>
      <w:r>
        <w:t>本项目与《中华人民共和国国民经济和社会发展第十五个五年规划纲要》高度契合。纲要明确提出"以更大力度发展非化石能源"，"大力发展风电和太阳能发电"，"积极发展分布式光伏、分散式风电"，"因地制宜开发生物质能"，"推动新能源集成融合开发"。纲要新增非化石能源占能源消费总量比重指标，提出到2030年达到25%。本项目作为光伏发电与生态修复结合的复合型新能源项目，是落实国家能源革命战略的具体实践。</w:t>
      </w:r>
    </w:p>
    <w:p>
      <w:r>
        <w:t>本项目与《"十五五"现代能源体系规划》的符合性体现在：规划提出"加快建设新型电力系统"，"大力发展新型储能"，"加快智能电网和微电网建设"，"推进虚拟电厂高质量发展"。本项目"源网荷储"一体化微电网系统正是规划提出的发展模式的具体应用。</w:t>
      </w:r>
    </w:p>
    <w:p>
      <w:pPr>
        <w:pStyle w:val="5"/>
      </w:pPr>
      <w:r>
        <w:t>2、省级规划</w:t>
      </w:r>
    </w:p>
    <w:p>
      <w:r>
        <w:t>本项目与《河南省新能源和可再生能源发展"十四五"规划》的符合性体现在：规划提出"构建低碳高效的能源支撑体系""大力发展风电、光伏等新能源"，本项目26MW光伏发电项目年发电量约3000万度，可有效补充河南省新能源供给。</w:t>
      </w:r>
    </w:p>
    <w:p>
      <w:r>
        <w:t>《河南省新能源和可再生能源发展"十四五"规划》明确提出"探索采用农光、渔光等互补复合开发模式建设光伏电站""研究推动生态修复、土地整治等复合型光伏项目示范建设"。本项目采用"林光互补"模式，在尾矿治理形成的林地上建设光伏发电，完全符合规划导向，属于规划支持的复合型光伏示范工程。</w:t>
      </w:r>
    </w:p>
    <w:p>
      <w:pPr>
        <w:pStyle w:val="5"/>
      </w:pPr>
      <w:r>
        <w:t>3、市级规划</w:t>
      </w:r>
    </w:p>
    <w:p>
      <w:r>
        <w:t>本项目与洛阳市经济社会发展规划高度契合。洛阳市作为国家重要的工业城市，能源结构转型需求迫切。本项目可有效利用矿山闲置土地资源，推动工业绿色转型，为洛阳市实现"双碳"目标提供有力支撑。</w:t>
      </w:r>
    </w:p>
    <w:p>
      <w:pPr>
        <w:pStyle w:val="4"/>
      </w:pPr>
      <w:r>
        <w:t>2.1.4 拟建项目与产业政策的符合性</w:t>
      </w:r>
    </w:p>
    <w:p>
      <w:pPr>
        <w:pStyle w:val="5"/>
      </w:pPr>
      <w:r>
        <w:t>1、财政政策</w:t>
      </w:r>
    </w:p>
    <w:p>
      <w:r>
        <w:t>根据《资源综合利用产品和劳务增值税优惠目录》，利用工业生产过程中产生的余热、余压生产的电力或热力，可享受增值税即征即退政策。本项目利用尾矿矿山闲置土地建设光伏发电项目，属于资源综合利用范畴，可享受相关税收优惠政策。</w:t>
      </w:r>
    </w:p>
    <w:p>
      <w:r>
        <w:t>根据《企业所得税法》及其实施条例，企业从事符合条件的环境保护、节能节水项目的所得，自项目取得第一笔生产经营收入所属纳税年度起，第一年至第三年免征企业所得税，第四年至第六年减半征收企业所得税。本项目属于符合条件的环境保护项目，可享受"三免三减半"企业所得税优惠政策。</w:t>
      </w:r>
    </w:p>
    <w:p>
      <w:pPr>
        <w:pStyle w:val="5"/>
      </w:pPr>
      <w:r>
        <w:t>2、土地政策</w:t>
      </w:r>
    </w:p>
    <w:p>
      <w:r>
        <w:t>《河南省新能源和可再生能源发展"十四五"规划》明确提出"突出节约集约高效用地导向，探索采用农光、渔光等互补复合开发模式建设光伏电站"。本项目用地为尾矿治理后形成的林地，土地归政府所有，不改变原有土地性质，不占用耕地，符合节约集约用地原则。</w:t>
      </w:r>
    </w:p>
    <w:p>
      <w:pPr>
        <w:pStyle w:val="5"/>
      </w:pPr>
      <w:r>
        <w:t>3、金融政策</w:t>
      </w:r>
    </w:p>
    <w:p>
      <w:r>
        <w:t>当前货币政策适度宽松，持续加大对绿色金融领域的资源倾斜力度。中国人民银行通过碳减排支持工具向金融机构提供低成本资金，支持金融机构向碳减排重点领域内的企业提供碳减排贷款。本项目作为新能源类型项目，属于绿色金融重点支持方向，具备良好的融资环境。</w:t>
      </w:r>
    </w:p>
    <w:p>
      <w:pPr>
        <w:pStyle w:val="4"/>
      </w:pPr>
      <w:r>
        <w:t>2.1.5 拟建项目与行业准入标准的符合性</w:t>
      </w:r>
    </w:p>
    <w:p>
      <w:r>
        <w:t>光伏发电行业属于国家鼓励发展的战略性新兴产业，行业准入门槛相对较低，主要受以下政策和标准规范：《产业结构调整指导目录（2024年本）》将"太阳能热发电集热系统、高效率低成本太阳能光伏发电技术研发与产业化"列入鼓励类，本项目属于鼓励类产业。</w:t>
      </w:r>
    </w:p>
    <w:p>
      <w:r>
        <w:t>根据《光伏电站项目管理暂行办法》，光伏电站项目实行备案管理，由省级能源主管部门依据国务院投资项目管理规定对光伏电站项目实行备案管理。本项目26MW装机容量属于分布式光伏范畴，审批流程相对简化。</w:t>
      </w:r>
    </w:p>
    <w:p>
      <w:r>
        <w:t>《光伏发电站设计规范》（GB 50797-2012）、《光伏发电站施工规范》（GB 50794-2012）、《光伏发电工程验收规范》（GB/T 50796-2012）等国家标准，为本项目的设计、施工和验收提供了技术依据。《分布式光伏发电并网接口技术规范》为本项目低压并网提供了技术标准。《电化学储能电站设计规范》（GB 51048-2014）为储能系统设计提供了技术依据。</w:t>
      </w:r>
    </w:p>
    <w:p>
      <w:r>
        <w:t>本项目拟采用的光伏组件、逆变器、储能电池等关键设备均符合国家相关技术标准，项目设计、施工拟委托具有相应资质的单位承担，完全符合行业准入标准和技术规范要求。</w:t>
      </w:r>
    </w:p>
    <w:p>
      <w:pPr>
        <w:pStyle w:val="4"/>
      </w:pPr>
      <w:r>
        <w:t>2.1.6 拟建项目与市场准入标准的符合性</w:t>
      </w:r>
    </w:p>
    <w:p>
      <w:r>
        <w:t>本项目在设计和实施过程中，严格遵守国家及地方政府规定的市场准入标准：资质许可方面，项目建设单位汝阳城市建设公司为地方国有企业，具备合法的市场主体资格。项目设计、施工拟委托具有电力工程施工总承包资质或新能源发电工程专业承包资质的单位承担，确保工程质量符合国家标准。</w:t>
      </w:r>
    </w:p>
    <w:p>
      <w:r>
        <w:t>所有制限制方面，国家能源领域已全面向各类市场主体开放，不存在所有制歧视性政策。本项目由地方国有企业投资建设，完全符合市场准入要求。</w:t>
      </w:r>
    </w:p>
    <w:p>
      <w:r>
        <w:t>环保准入方面，光伏发电属于清洁能源项目，不产生大气污染物、废水、固体废物等污染物。项目建设过程中将采取水土保持、植被保护等措施，项目运营期间对环境的影响极小，完全符合环保准入要求。</w:t>
      </w:r>
    </w:p>
    <w:p>
      <w:pPr>
        <w:pStyle w:val="3"/>
      </w:pPr>
      <w:r>
        <w:t>2.2 企业发展战略需求分析</w:t>
      </w:r>
    </w:p>
    <w:p>
      <w:pPr>
        <w:pStyle w:val="4"/>
      </w:pPr>
      <w:r>
        <w:t>2.2.1 企业发展对项目需求分析</w:t>
      </w:r>
    </w:p>
    <w:p>
      <w:pPr>
        <w:pStyle w:val="5"/>
      </w:pPr>
      <w:r>
        <w:t>1、金堆城钼业股份有限公司对项目需求</w:t>
      </w:r>
    </w:p>
    <w:p>
      <w:r>
        <w:t>金堆城钼业股份有限公司是国内钼行业龙头企业，主要从事钼金属的采选、冶炼、深加工及贸易业务。公司产品广泛应用于钢铁、化工、电子、航空航天等领域，部分产品出口至欧美等国际市场。2025年全球钼需求量约30.71万吨，全球钼供应30万吨，缺口3.64万吨。随着国际碳关税壁垒日益严峻，出口产品面临绿色认证压力，亟需通过绿电消费获取碳足迹数据，提升产品国际市场竞争力。</w:t>
      </w:r>
    </w:p>
    <w:p>
      <w:r>
        <w:t>企业年用电量约4.56亿度，用电成本在总运营成本中占比较高。随着电力市场化改革推进和新能源全面入市，电力市场交易价格波动加大，企业面临用电成本上升风险。本项目年发电量约3000万度，可有效降低企业外购电量，稳定用电成本。</w:t>
      </w:r>
    </w:p>
    <w:p>
      <w:pPr>
        <w:pStyle w:val="5"/>
      </w:pPr>
      <w:r>
        <w:t>2、汝阳城市建设公司对项目需求</w:t>
      </w:r>
    </w:p>
    <w:p>
      <w:r>
        <w:t>汝阳城市建设公司作为地方国有企业，系汝阳县政府平台公司，承担着城市建设和运营服务的重要职能，对项目所用土地拥有绝对的使用权和管理权。在国家融资平台转型政策推动下，公司正从传统融资平台向市场化运营主体转型，亟需通过经营性项目实现业务升级和可持续发展。</w:t>
      </w:r>
    </w:p>
    <w:p>
      <w:r>
        <w:t>本项目是汝阳城市建设公司实现经营性转型的重要突破口。通过投资运营新能源项目，公司可获取稳定的现金流收入，年营业收入约1530.22万元，有效增强自身造血能力。项目具备良好的可复制性，可在尾矿治理后释放的土地上持续扩大建设规模，形成滚动开发的良性循环。</w:t>
      </w:r>
    </w:p>
    <w:p>
      <w:pPr>
        <w:pStyle w:val="4"/>
      </w:pPr>
      <w:r>
        <w:t>2.2.2 项目建设对企业发展战略的重要性和紧迫性</w:t>
      </w:r>
    </w:p>
    <w:p>
      <w:pPr>
        <w:pStyle w:val="5"/>
      </w:pPr>
      <w:r>
        <w:t>1、拟建项目对落实企业战略的价值和作用</w:t>
      </w:r>
    </w:p>
    <w:p>
      <w:r>
        <w:t>本项目是金堆城钼业公司实现绿色低碳转型的关键举措。随着全球应对气候变化行动深入推进，绿色低碳已成为企业发展的核心竞争力。本项目通过为金堆城钼业公司提供绿色电力，帮助企业降低碳排放强度，获取绿色电力消费证明和碳足迹数据，为产品赋予绿色属性，在国际市场竞争中占据有利地位。2026年欧盟CBAM正式实施后，不具备绿色认证的产品将面临高额碳关税，本项目可有效规避这一风险。</w:t>
      </w:r>
    </w:p>
    <w:p>
      <w:r>
        <w:t>本项目是汝阳城市建设公司实现市场化转型的重要载体。项目总投资约8900万元，年均营业收入约1530.22万元，内部收益率（税后）9.28%，具备较强的盈利能力和抗风险能力。项目的成功实施将为公司积累新能源项目投资运营经验，奠定市场化转型基础。</w:t>
      </w:r>
    </w:p>
    <w:p>
      <w:pPr>
        <w:pStyle w:val="5"/>
      </w:pPr>
      <w:r>
        <w:t>2、拟建项目的时间窗口分析</w:t>
      </w:r>
    </w:p>
    <w:p>
      <w:r>
        <w:t>从政策窗口看，当前国家正处于"双碳"战略实施的关键期，"十五五"规划明确提出到2030年非化石能源占能源消费总量比重达到25%。136号文件推动新能源全面入市，1710号文件明确主配微协同，为分布式新能源项目提供了明确的政策指引。但政策红利窗口期有限，"十五五"期间是新能源项目建设的黄金期，需抓紧时机推进项目实施。</w:t>
      </w:r>
    </w:p>
    <w:p>
      <w:r>
        <w:t>从市场窗口看，当前光伏组件价格处于历史低位（约0.7元/瓦），储能电池价格持续下降，项目建设成本处于最优区间。但随着行业产能出清和供需关系变化，设备价格存在回升可能，需抓住当前低成本建设窗口期。</w:t>
      </w:r>
    </w:p>
    <w:p>
      <w:r>
        <w:t>从技术窗口看，光伏组件、储能系统、微电网控制技术均已成熟商业化，项目技术风险可控。虚拟电厂技术快速发展，为项目获取增量收益提供了技术支撑。</w:t>
      </w:r>
    </w:p>
    <w:p>
      <w:r>
        <w:t>从竞争窗口看，本项目用地为政府所有的矿区土地，由汝阳城市建设公司（政府平台公司）主导开发，金堆城钼业公司仅拥有采矿权，项目用电单位为金堆城钼业，具有排他性优势。</w:t>
      </w:r>
    </w:p>
    <w:p>
      <w:pPr>
        <w:pStyle w:val="3"/>
      </w:pPr>
      <w:r>
        <w:t>2.3 项目市场需求分析</w:t>
      </w:r>
    </w:p>
    <w:p>
      <w:r>
        <w:t>本项目产品为绿色电力（光伏发电）及能源植物（超级芦竹），服务范围主要面向金堆城钼业公司及周边工业用户。电力市场属于半市场化市场，受国家宏观调控和市场化交易双重影响。光伏发电产品具有清洁、低碳、可再生的特点，在"双碳"战略背景下市场需求旺盛。</w:t>
      </w:r>
    </w:p>
    <w:p>
      <w:pPr>
        <w:pStyle w:val="4"/>
      </w:pPr>
      <w:r>
        <w:t>2.3.1 项目业态分析</w:t>
      </w:r>
    </w:p>
    <w:p>
      <w:pPr>
        <w:pStyle w:val="5"/>
      </w:pPr>
      <w:r>
        <w:t>1、光伏发电业态分析</w:t>
      </w:r>
    </w:p>
    <w:p>
      <w:r>
        <w:t>光伏发电行业经过多年快速发展，已成为中国最具竞争力的电源类型之一。截至2025年底，全国光伏发电累计装机容量超过1200GW，同比增长35.76%。截至2026年2月底，太阳能发电装机容量进一步增长至12.3亿千瓦，同比增长33.2%。中国光伏产业在全球处于绝对领先地位，产业链完整，技术成熟，成本持续下降。</w:t>
      </w:r>
    </w:p>
    <w:p>
      <w:r>
        <w:t>光伏组件价格从2022年的约1.8元/瓦降至2024年底的约0.7元/瓦，降幅超过60%。2025年光伏组件平均成本约0.60-0.62元/瓦（不含折旧、不含税），光伏发电已全面进入平价时代。</w:t>
      </w:r>
    </w:p>
    <w:p>
      <w:pPr>
        <w:pStyle w:val="5"/>
      </w:pPr>
      <w:r>
        <w:t>2、储能业态分析</w:t>
      </w:r>
    </w:p>
    <w:p>
      <w:r>
        <w:t>储能行业正处于爆发式增长期。截至2025年底，全国已建成投运新型储能144.7GW，同比增长85%，是"十三五"末的45倍。2025年新增投运66.43GW/189.48GWh，功率规模和能量规模同比分别增长52%和73%。中国新型储能新增装机连续四年位居全球首位，在全球市场的占比达到58.6%。</w:t>
      </w:r>
    </w:p>
    <w:p>
      <w:r>
        <w:t>储能应用场景持续丰富，独立储能占比58%，新能源配储占比保持稳定。多技术路线并行发展，锂离子电池占据主导，钠离子电池、液流电池等多元技术加速发展。展望"十五五"时期，新型储能将由市场驱动发展，预计2030年累计装机有望达到3.7亿千瓦以上。</w:t>
      </w:r>
    </w:p>
    <w:p>
      <w:pPr>
        <w:pStyle w:val="5"/>
      </w:pPr>
      <w:r>
        <w:t>3、微电网与虚拟电厂业态分析</w:t>
      </w:r>
    </w:p>
    <w:p>
      <w:r>
        <w:t>微电网作为新型电力系统的重要组成部分，正从示范应用向规模化发展转变。1710号文件首次在国家级文件中明确"主网-配网-微网三层协同"的电网架构，到2030年接纳分布式新能源能力达到9亿千瓦，智能微电网进入快速发展期。截至2025年6月，河南省已累计发布十批源网荷储一体化项目试点，共478个项目纳入实施，总装机规模达7.24GW。</w:t>
      </w:r>
    </w:p>
    <w:p>
      <w:r>
        <w:t>虚拟电厂作为分布式能源聚合管理和市场化运营的重要平台，市场规模快速扩大。预计2025年中国虚拟电厂市场规模达102亿元，到2030年有望达到1057亿元。</w:t>
      </w:r>
    </w:p>
    <w:p>
      <w:pPr>
        <w:pStyle w:val="5"/>
      </w:pPr>
      <w:r>
        <w:t>4、能源植物（超级芦竹）业态分析</w:t>
      </w:r>
    </w:p>
    <w:p>
      <w:r>
        <w:t>能源植物产业是生物质能源领域的新兴业态，超级芦竹作为代表性品种，具有显著的优势和广阔的发展前景。超级芦竹是由武汉兰多生物科技有限公司自主培育的能源植物新品种，热值达4000-4500大卡/千克，接近中等品质煤炭，硫含量仅为0.1%-0.3%，可直接替代煤炭用于发电供热，还可转化为天然气、氢气、航空煤油等多种清洁能源。</w:t>
      </w:r>
    </w:p>
    <w:p>
      <w:r>
        <w:t>超级芦竹亩产干生物质5-10吨，一次种植可连续收割20年以上，茎秆可长至6-8米高。与水稻秸秆（亩产约1吨）相比，超级芦竹的生物量产出效率提升5-10倍。</w:t>
      </w:r>
    </w:p>
    <w:p>
      <w:pPr>
        <w:pStyle w:val="4"/>
      </w:pPr>
      <w:r>
        <w:t>2.3.2 目标市场环境</w:t>
      </w:r>
    </w:p>
    <w:p>
      <w:pPr>
        <w:pStyle w:val="5"/>
      </w:pPr>
      <w:r>
        <w:t>1、宏观环境分析</w:t>
      </w:r>
    </w:p>
    <w:p>
      <w:r>
        <w:t>政策环境方面，"十五五"规划纲要明确提出以更大力度发展非化石能源，到2030年非化石能源占能源消费总量比重达到25%。136号文件推动新能源全面入市，1710号文件明确主配微协同发展，为分布式新能源项目提供了明确的政策指引。</w:t>
      </w:r>
    </w:p>
    <w:p>
      <w:r>
        <w:t>经济环境方面，2025年中国GDP保持稳定增长，经济运行总体平稳。2024年全社会用电量达98521亿千瓦时，同比增长6.8%。随着"两新"政策等一揽子增量政策措施发力，制造业投资保持稳定增长，能源需求持续增长，为新能源项目发展提供了广阔的市场空间。</w:t>
      </w:r>
    </w:p>
    <w:p>
      <w:r>
        <w:t>技术环境方面，光伏组件转换效率持续提升，TOPCon、HJT等新型电池技术量产效率超过25%。储能电池能量密度提高、循环寿命延长、成本持续下降。微电网控制技术日趋成熟，能量管理系统（EMS）智能化水平显著提升。</w:t>
      </w:r>
    </w:p>
    <w:p>
      <w:pPr>
        <w:pStyle w:val="5"/>
      </w:pPr>
      <w:r>
        <w:t>2、行业环境分析</w:t>
      </w:r>
    </w:p>
    <w:p>
      <w:r>
        <w:t>国家大力推动"双碳"发展，带动新能源行业高速发展。截至2025年底，风电和太阳能发电合计装机约18.4亿千瓦，占全部电源装机比重达到47%，已历史性超过火电，跃居系统第一大电源。新能源行业已成为中国经济增长的重要引擎和绿色转型的核心支撑。</w:t>
      </w:r>
    </w:p>
    <w:p>
      <w:r>
        <w:t>河南省新能源发展进入快车道。截至2025年1月，全省新能源装机6877万千瓦，已超越煤电成为第一大电源。河南省"十五五"规划提出新增新能源和可再生能源发电装机容量3000万千瓦，为新能源项目发展提供了充足的土地资源和市场空间。</w:t>
      </w:r>
    </w:p>
    <w:p>
      <w:pPr>
        <w:pStyle w:val="5"/>
      </w:pPr>
      <w:r>
        <w:t>3、竞争环境分析</w:t>
      </w:r>
    </w:p>
    <w:p>
      <w:r>
        <w:t>本项目在竞争环境方面具有独特优势。本项目建设所使用土地为政府所有的矿区土地，由汝阳城市建设公司（政府平台公司）主导开发，金堆城钼业公司仅拥有采矿权，项目用电单位为金堆城钼业公司，具有排他性特征，不存在外部竞争者抢占资源的情况。</w:t>
      </w:r>
    </w:p>
    <w:p>
      <w:pPr>
        <w:pStyle w:val="4"/>
      </w:pPr>
      <w:r>
        <w:t>2.3.3 目标市场容量</w:t>
      </w:r>
    </w:p>
    <w:p>
      <w:pPr>
        <w:pStyle w:val="5"/>
      </w:pPr>
      <w:r>
        <w:t>1、光伏发电市场容量</w:t>
      </w:r>
    </w:p>
    <w:p>
      <w:pPr>
        <w:numPr>
          <w:ilvl w:val="1"/>
          <w:numId w:val="1"/>
        </w:numPr>
        <w:spacing w:before="120" w:after="120" w:line="360" w:lineRule="auto"/>
        <w:jc w:val="both"/>
      </w:pPr>
      <w:r>
        <w:rPr>
          <w:rFonts w:ascii="Times New Roman" w:hAnsi="Times New Roman" w:eastAsia="宋体"/>
          <w:sz w:val="28"/>
          <w:szCs w:val="28"/>
        </w:rPr>
        <w:t>全国光伏发电市场容量：中国光伏发电市场容量持续扩大，已成为全球最大的光伏市场。截至2025年底，全国光伏发电累计装机容量超过1200GW，同比增长35.76%。展望"十五五"时期，国家规划到2030年风电、太阳能发电总装机容量达到16亿千瓦以上，按此目标计算，2026-2030年年均新增光伏装机约200GW，市场空间巨大。</w:t>
      </w:r>
    </w:p>
    <w:p>
      <w:pPr>
        <w:numPr>
          <w:ilvl w:val="1"/>
          <w:numId w:val="1"/>
        </w:numPr>
        <w:spacing w:before="120" w:after="120" w:line="360" w:lineRule="auto"/>
        <w:jc w:val="both"/>
      </w:pPr>
      <w:r>
        <w:rPr>
          <w:rFonts w:ascii="Times New Roman" w:hAnsi="Times New Roman" w:eastAsia="宋体"/>
          <w:sz w:val="28"/>
          <w:szCs w:val="28"/>
        </w:rPr>
        <w:t>河南省光伏发电市场容量：河南省光伏发电市场增长迅速，已成为中部地区光伏发展的领头羊。截至2025年1月，全省新能源装机6877万千瓦，已超越煤电成为第一大电源。全省太阳能装机占比29.8%，总装机容量达15072万千瓦。</w:t>
      </w:r>
    </w:p>
    <w:p>
      <w:pPr>
        <w:pStyle w:val="5"/>
      </w:pPr>
      <w:r>
        <w:t>2、储能市场容量</w:t>
      </w:r>
    </w:p>
    <w:p>
      <w:pPr>
        <w:keepNext w:val="0"/>
        <w:keepLines w:val="0"/>
        <w:pageBreakBefore w:val="0"/>
        <w:widowControl/>
        <w:numPr>
          <w:ilvl w:val="0"/>
          <w:numId w:val="0"/>
        </w:numPr>
        <w:kinsoku/>
        <w:wordWrap/>
        <w:overflowPunct/>
        <w:topLinePunct w:val="0"/>
        <w:autoSpaceDE/>
        <w:autoSpaceDN/>
        <w:bidi w:val="0"/>
        <w:adjustRightInd/>
        <w:snapToGrid/>
        <w:spacing w:before="120" w:after="120" w:line="360" w:lineRule="auto"/>
        <w:ind w:leftChars="200" w:firstLine="560" w:firstLineChars="200"/>
        <w:jc w:val="both"/>
        <w:textAlignment w:val="auto"/>
      </w:pPr>
      <w:r>
        <w:rPr>
          <w:rFonts w:ascii="Times New Roman" w:hAnsi="Times New Roman" w:eastAsia="宋体"/>
          <w:sz w:val="28"/>
          <w:szCs w:val="28"/>
        </w:rPr>
        <w:t>全国储能市场容量：中国储能市场正处于爆发式增长阶段。截至2025年底，全国已建成投运新型储能144.7GW，同比增长85%，首次突破100GW大关。展望"十五五"时期，预计2030年新型储能累计装机有望达到3.7亿千瓦以上。</w:t>
      </w:r>
    </w:p>
    <w:p>
      <w:pPr>
        <w:keepNext w:val="0"/>
        <w:keepLines w:val="0"/>
        <w:pageBreakBefore w:val="0"/>
        <w:widowControl/>
        <w:numPr>
          <w:ilvl w:val="0"/>
          <w:numId w:val="0"/>
        </w:numPr>
        <w:kinsoku/>
        <w:wordWrap/>
        <w:overflowPunct/>
        <w:topLinePunct w:val="0"/>
        <w:autoSpaceDE/>
        <w:autoSpaceDN/>
        <w:bidi w:val="0"/>
        <w:adjustRightInd/>
        <w:snapToGrid/>
        <w:spacing w:before="120" w:after="120" w:line="360" w:lineRule="auto"/>
        <w:ind w:leftChars="200" w:firstLine="560" w:firstLineChars="200"/>
        <w:jc w:val="both"/>
        <w:textAlignment w:val="auto"/>
      </w:pPr>
      <w:r>
        <w:rPr>
          <w:rFonts w:ascii="Times New Roman" w:hAnsi="Times New Roman" w:eastAsia="宋体"/>
          <w:sz w:val="28"/>
          <w:szCs w:val="28"/>
        </w:rPr>
        <w:t>河南省储能市场容量：河南省储能市场发展迅速，2025年新型储能装机目标600万千瓦，2027年目标1000万千瓦，年均增速91%。</w:t>
      </w:r>
    </w:p>
    <w:p>
      <w:pPr>
        <w:pStyle w:val="5"/>
      </w:pPr>
      <w:r>
        <w:t>3、微电网与虚拟电厂市场容量</w:t>
      </w:r>
    </w:p>
    <w:p>
      <w:r>
        <w:t>微电网和虚拟电厂是新型电力系统的重要组成部分，市场规模快速扩大。1710号文件首次在国家级文件中明确"主网-配网-微网三层协同"的电网架构，提出到2030年接纳分布式新能源能力达到9亿千瓦，智能微电网进入快速发展期。虚拟电厂方面，预计2025年中国虚拟电厂市场规模达102亿元，到2030年有望达到1057亿元。</w:t>
      </w:r>
    </w:p>
    <w:p>
      <w:pPr>
        <w:pStyle w:val="5"/>
      </w:pPr>
      <w:r>
        <w:t>4、能源植物市场容量</w:t>
      </w:r>
    </w:p>
    <w:p>
      <w:r>
        <w:t>能源植物产业是生物质能源领域的新兴业态，市场潜力巨大。截至2025年底，全国生物质能发电累计装机容量4743万千瓦，同比增长3%；2025年发电量2247亿千瓦时，年复合增长率达14.78%。我国边际土地约17亿亩可种植能源植物，超级芦竹产业发展空间巨大。</w:t>
      </w:r>
    </w:p>
    <w:p>
      <w:pPr>
        <w:pStyle w:val="4"/>
      </w:pPr>
      <w:r>
        <w:t>2.3.4 项目所在行业产业链分析</w:t>
      </w:r>
    </w:p>
    <w:p>
      <w:r>
        <w:t>从经济学角度分析，本项目所在的新能源行业具有以下产业链特征：上游产业主要包括硅料、硅片、电池片、光伏玻璃、EVA胶膜、背板等光伏原材料生产企业，以及锂电池正极材料、负极材料、电解液、隔膜等储能原材料生产企业。上游产业技术密集度高，资本投入大，具有规模经济效应。</w:t>
      </w:r>
    </w:p>
    <w:p>
      <w:r>
        <w:t>中游产业主要包括光伏组件、逆变器、储能电池、储能变流器（PCS）、能量管理系统（EMS）等设备制造企业。中游产业技术迭代快，产品更新换代周期短，具有典型的技术驱动特征。</w:t>
      </w:r>
    </w:p>
    <w:p>
      <w:r>
        <w:t>下游产业主要包括电站开发、EPC、运维服务等企业，以及电力用户。下游产业市场分散，竞争激烈，商业模式创新活跃。</w:t>
      </w:r>
    </w:p>
    <w:p>
      <w:pPr>
        <w:pStyle w:val="4"/>
      </w:pPr>
      <w:r>
        <w:t>2.3.5 项目所在行业供应链分析</w:t>
      </w:r>
    </w:p>
    <w:p>
      <w:r>
        <w:t>从管理学角度分析，本项目供应链管理需关注以下环节：设备采购方面，光伏组件、逆变器、储能系统等关键设备可从国内主流供应商直接采购。光伏组件可选隆基绿能、晶科能源、天合光能等龙头企业产品；逆变器可选阳光电源、华为数字能源等品牌；储能系统可选宁德时代、比亚迪、亿纬锂能等企业产品。</w:t>
      </w:r>
    </w:p>
    <w:p>
      <w:r>
        <w:t>供应商选择方面，优先选择具有良好信誉、产品质量稳定、售后服务完善的供应商。关键设备应选择通过国家认证、具有成熟工程案例的品牌产品，确保项目长期稳定运行。</w:t>
      </w:r>
    </w:p>
    <w:p>
      <w:pPr>
        <w:pStyle w:val="4"/>
      </w:pPr>
      <w:r>
        <w:t>2.3.6 产品（服务）的价格</w:t>
      </w:r>
    </w:p>
    <w:p>
      <w:pPr>
        <w:pStyle w:val="5"/>
      </w:pPr>
      <w:r>
        <w:t>1、光伏发电价格形成机制</w:t>
      </w:r>
    </w:p>
    <w:p>
      <w:r>
        <w:t>2025年2月，国家发改委、能源局发布136号文件，明确推动新能源上网电量全面进入电力市场，通过市场交易形成价格。以2025年6月1日为界区分存量和增量项目，6月后新投产的光伏项目原则上全部电量进入电力市场交易，通过竞价形成电价。</w:t>
      </w:r>
    </w:p>
    <w:p>
      <w:r>
        <w:t>对于分布式光伏"自发自用"项目，电价参照用户侧电价执行。河南省工商业电价约0.6-0.8元/千瓦时（含基本电费和力调电费），显著高于上网电价。本项目采用"自发自用"模式，电价优势明显。</w:t>
      </w:r>
    </w:p>
    <w:p>
      <w:pPr>
        <w:pStyle w:val="5"/>
      </w:pPr>
      <w:r>
        <w:t>2、光伏发电价格趋势分析</w:t>
      </w:r>
    </w:p>
    <w:p>
      <w:r>
        <w:t>从中长期看，随着新能源装机规模持续扩大和电力市场化改革深化，光伏发电上网电价将呈现稳中有降趋势。但本项目采用"自发自用"模式，电价参照用户侧电价，受电力市场波动影响较小。随着电力现货市场全面铺开，光伏发电在午间高峰时段可能出现负电价或低电价，但本项目配套储能系统，可通过"削峰填谷"策略规避低价时段，提升整体收益水平。</w:t>
      </w:r>
    </w:p>
    <w:p>
      <w:pPr>
        <w:pStyle w:val="4"/>
      </w:pPr>
      <w:r>
        <w:t>2.3.7 市场饱和度</w:t>
      </w:r>
    </w:p>
    <w:p>
      <w:pPr>
        <w:pStyle w:val="5"/>
      </w:pPr>
      <w:r>
        <w:t>1、光伏发电市场饱和度</w:t>
      </w:r>
    </w:p>
    <w:p>
      <w:pPr>
        <w:keepNext w:val="0"/>
        <w:keepLines w:val="0"/>
        <w:pageBreakBefore w:val="0"/>
        <w:widowControl/>
        <w:numPr>
          <w:ilvl w:val="0"/>
          <w:numId w:val="0"/>
        </w:numPr>
        <w:kinsoku/>
        <w:wordWrap/>
        <w:overflowPunct/>
        <w:topLinePunct w:val="0"/>
        <w:autoSpaceDE/>
        <w:autoSpaceDN/>
        <w:bidi w:val="0"/>
        <w:adjustRightInd/>
        <w:snapToGrid/>
        <w:spacing w:before="120" w:after="120" w:line="360" w:lineRule="auto"/>
        <w:ind w:leftChars="200" w:firstLine="560" w:firstLineChars="200"/>
        <w:jc w:val="both"/>
        <w:textAlignment w:val="auto"/>
      </w:pPr>
      <w:r>
        <w:rPr>
          <w:rFonts w:ascii="Times New Roman" w:hAnsi="Times New Roman" w:eastAsia="宋体"/>
          <w:sz w:val="28"/>
          <w:szCs w:val="28"/>
        </w:rPr>
        <w:t>全国光伏发电市场饱和度：光伏发电行业已度过快速成长期，进入成熟发展期，但市场远未达到饱和。截至2025年底，全国光伏累计装机超1200GW，但从全国发电装机总量看，太阳能发电占比约30.9%，仍有较大增长空间。"十五五"规划明确提出到2030年风电、太阳能发电总装机容量达到16亿千瓦以上，市场空间巨大。</w:t>
      </w:r>
    </w:p>
    <w:p>
      <w:pPr>
        <w:keepNext w:val="0"/>
        <w:keepLines w:val="0"/>
        <w:pageBreakBefore w:val="0"/>
        <w:widowControl/>
        <w:numPr>
          <w:ilvl w:val="0"/>
          <w:numId w:val="0"/>
        </w:numPr>
        <w:kinsoku/>
        <w:wordWrap/>
        <w:overflowPunct/>
        <w:topLinePunct w:val="0"/>
        <w:autoSpaceDE/>
        <w:autoSpaceDN/>
        <w:bidi w:val="0"/>
        <w:adjustRightInd/>
        <w:snapToGrid/>
        <w:spacing w:before="120" w:after="120" w:line="360" w:lineRule="auto"/>
        <w:ind w:leftChars="200" w:firstLine="560" w:firstLineChars="200"/>
        <w:jc w:val="both"/>
        <w:textAlignment w:val="auto"/>
      </w:pPr>
      <w:r>
        <w:rPr>
          <w:rFonts w:ascii="Times New Roman" w:hAnsi="Times New Roman" w:eastAsia="宋体"/>
          <w:sz w:val="28"/>
          <w:szCs w:val="28"/>
        </w:rPr>
        <w:t>河南省光伏发电市场饱和度：河南省光伏发电市场仍处于快速成长期，市场饱和度较低。截至2025年1月，全省新能源装机6877万千瓦，虽然已超越煤电成为第一大电源，但与山东、河北等领先省份相比仍有差距。</w:t>
      </w:r>
    </w:p>
    <w:p>
      <w:pPr>
        <w:pStyle w:val="5"/>
      </w:pPr>
      <w:r>
        <w:t>2、储能市场饱和度</w:t>
      </w:r>
    </w:p>
    <w:p>
      <w:r>
        <w:t>储能行业正处于爆发式增长期，市场远未饱和。截至2025年底，全国新型储能累计装机144.7GW，但相对于9亿千瓦的新能源装机规模，储能配置比例仍显不足。展望"十五五"时期，预计2030年新型储能累计装机有望达到3.7亿千瓦以上，市场增长空间巨大。</w:t>
      </w:r>
    </w:p>
    <w:p>
      <w:pPr>
        <w:pStyle w:val="5"/>
      </w:pPr>
      <w:r>
        <w:t>3、微电网与虚拟电厂市场饱和度</w:t>
      </w:r>
    </w:p>
    <w:p>
      <w:r>
        <w:t>微电网和虚拟电厂市场均处于发展初期，饱和度极低。1710号文件首次在国家级文件中明确主配微协同发展格局，到2030年接纳分布式新能源9亿千瓦，微电网市场将进入快速成长期。虚拟电厂市场预计2025年规模102亿元，到2030年1057亿元，五年增长10倍，市场处于高速成长期，饱和度极低。</w:t>
      </w:r>
    </w:p>
    <w:p>
      <w:pPr>
        <w:pStyle w:val="5"/>
      </w:pPr>
      <w:r>
        <w:t>4、能源植物市场饱和度</w:t>
      </w:r>
    </w:p>
    <w:p>
      <w:r>
        <w:t>能源植物产业处于萌芽期，市场饱和度极低。截至2025年底，全国生物质能发电累计装机4743万千瓦，但能源植物种植面积占比极小。我国边际土地约17亿亩可种植能源植物，当前实际种植面积不足100万亩，开发利用率极低。</w:t>
      </w:r>
    </w:p>
    <w:p>
      <w:pPr>
        <w:pStyle w:val="5"/>
      </w:pPr>
      <w:r>
        <w:t>5、项目服务范围饱和度分析</w:t>
      </w:r>
    </w:p>
    <w:p>
      <w:r>
        <w:t>本项目所发电力全部由金堆城钼业公司消纳，服务范围局限于矿区内部。金堆城钼业年用电量约4.56亿度，项目年发电量约3000万度，仅占企业年用电量的6.6%，消纳空间充足，不存在弃光限电风险。</w:t>
      </w:r>
    </w:p>
    <w:p>
      <w:pPr>
        <w:pStyle w:val="4"/>
      </w:pPr>
      <w:r>
        <w:t>2.3.8 行业发展趋势</w:t>
      </w:r>
    </w:p>
    <w:p>
      <w:r>
        <w:t>从政策发展趋势看，未来5-10年新能源行业将迎来前所未有的发展机遇。"十五五"规划纲要明确提出以更大力度发展非化石能源，到2030年非化石能源占能源消费总量比重达到25%，风电、太阳能发电总装机容量达到16亿千瓦以上。136号文件推动新能源全面入市，1710号文件明确主配微协同发展格局，《新型储能规模化建设专项行动方案（2025-2027年）》提出到2027年新型储能装机达到1.8亿千瓦以上。欧盟CBAM于2026年1月1日起正式实施，出口企业绿电需求将快速增长。从政策趋势综合判断，新能源行业政策环境持续向好，"十五五"期间将是新能源项目建设的黄金期。</w:t>
      </w:r>
    </w:p>
    <w:p>
      <w:r>
        <w:t>从本项目所涉及的四大业态发展趋势看，光伏、储能、微电网、能源植物均处于快速成长期，发展前景广阔。综上所述，本项目所涉及的光伏、储能、微电网、能源植物四大业态，均处于国家政策大力支持、市场需求旺盛、技术快速迭代的黄金发展期，行业发展趋势对本项目极为有利。</w:t>
      </w:r>
    </w:p>
    <w:p>
      <w:pPr>
        <w:pStyle w:val="4"/>
      </w:pPr>
      <w:r>
        <w:t>2.3.9 项目产品或服务的竞争力</w:t>
      </w:r>
    </w:p>
    <w:p>
      <w:pPr>
        <w:rPr>
          <w:rFonts w:ascii="Times New Roman" w:hAnsi="Times New Roman" w:eastAsia="宋体" w:cstheme="minorBidi"/>
        </w:rPr>
      </w:pPr>
      <w:r>
        <w:rPr>
          <w:rFonts w:ascii="Times New Roman" w:hAnsi="Times New Roman" w:eastAsia="宋体" w:cstheme="minorBidi"/>
        </w:rPr>
        <w:t>成本竞争力：本项目绿电销售价格低于国网购电价格，为用电企业节省成本。河南省工商业电价约0.6-0.8元/千瓦时，本项目通过"自发自用"模式，可将绿电销售电价设定为低于国网电价水平，为企业节省用电成本约20%-30%。</w:t>
      </w:r>
    </w:p>
    <w:p>
      <w:pPr>
        <w:rPr>
          <w:rFonts w:ascii="Times New Roman" w:hAnsi="Times New Roman" w:eastAsia="宋体" w:cstheme="minorBidi"/>
        </w:rPr>
      </w:pPr>
      <w:r>
        <w:rPr>
          <w:rFonts w:ascii="Times New Roman" w:hAnsi="Times New Roman" w:eastAsia="宋体" w:cstheme="minorBidi"/>
        </w:rPr>
        <w:t>技术竞争力：本项目采用"源网荷储"一体化微电网架构，将分布式光伏电站、储能系统与负荷端进行有机整合，构建独立的微电网运行系统。项目技术方案成熟可靠，设备选型先进合理，技术竞争力突出。</w:t>
      </w:r>
    </w:p>
    <w:p>
      <w:pPr>
        <w:rPr>
          <w:rFonts w:ascii="Times New Roman" w:hAnsi="Times New Roman" w:eastAsia="宋体" w:cstheme="minorBidi"/>
        </w:rPr>
      </w:pPr>
      <w:r>
        <w:rPr>
          <w:rFonts w:ascii="Times New Roman" w:hAnsi="Times New Roman" w:eastAsia="宋体" w:cstheme="minorBidi"/>
        </w:rPr>
        <w:t>资源与区位优势：本项目建设所使用土地为政府所有的矿区土地，由汝阳城市建设公司（政府平台公司）主导开发，具有天然的排他性优势。项目选址紧邻金堆城钼业矿区负荷中心，输电距离短、线损低，可实现100%就近消纳。</w:t>
      </w:r>
    </w:p>
    <w:p>
      <w:pPr>
        <w:rPr>
          <w:rFonts w:ascii="Times New Roman" w:hAnsi="Times New Roman" w:eastAsia="宋体" w:cstheme="minorBidi"/>
        </w:rPr>
      </w:pPr>
      <w:r>
        <w:rPr>
          <w:rFonts w:ascii="Times New Roman" w:hAnsi="Times New Roman" w:eastAsia="宋体" w:cstheme="minorBidi"/>
        </w:rPr>
        <w:t>运营服务竞争力：项目建设单位汝阳城市建设公司为地方国有企业，具备较强的项目管理能力和资源协调能力。项目采用"自发自用"模式，与用电企业签订长期电力供应协议（PPA），锁定20年售电关系，收益稳定性高。</w:t>
      </w:r>
    </w:p>
    <w:p>
      <w:pPr>
        <w:rPr>
          <w:rFonts w:ascii="Times New Roman" w:hAnsi="Times New Roman" w:eastAsia="宋体" w:cstheme="minorBidi"/>
        </w:rPr>
      </w:pPr>
      <w:r>
        <w:rPr>
          <w:rFonts w:ascii="Times New Roman" w:hAnsi="Times New Roman" w:eastAsia="宋体" w:cstheme="minorBidi"/>
        </w:rPr>
        <w:t>商业模式竞争力：本项目在商业模式方面具有显著的创新性和竞争力。"林光互补+矿山治理"融合模式、"源网荷储+虚拟电厂"一体化运营模式、"绿电直供+碳服务"价值链延伸模式，在国内具有创新性和领先性。</w:t>
      </w:r>
    </w:p>
    <w:p>
      <w:pPr>
        <w:pStyle w:val="4"/>
      </w:pPr>
      <w:r>
        <w:t>2.3.10 项目市场拥有量</w:t>
      </w:r>
    </w:p>
    <w:p>
      <w:r>
        <w:t>截至2025年底，全国光伏发电累计装机超1200GW，同比增长35.76%。截至2026年2月底，太阳能发电装机达12.3亿千瓦。河南省新能源装机6877万千瓦，已超越煤电成为第一大电源。全国新型储能累计装机144.7GW，同比增长85%。河南省源网荷储一体化项目快速发展，截至2025年6月已发布478个试点项目。展望"十五五"时期，国家规划到2030年风电、太阳能发电总装机容量达到16亿千瓦以上，市场空间极为广阔。</w:t>
      </w:r>
    </w:p>
    <w:p>
      <w:pPr>
        <w:pStyle w:val="4"/>
      </w:pPr>
      <w:r>
        <w:t>2.3.11 项目营销策略</w:t>
      </w:r>
    </w:p>
    <w:p>
      <w:r>
        <w:t>本项目采用"自产自用、就地消纳"的营销模式，不需要对外销售电力。定价策略：绿电销售价格参照国网电价给予一定折扣（约20%-30%），既保证项目收益，又为用电企业创造降本空间。渠道策略：直接面向金堆城钼业公司销售，签订长期电力供应协议（PPA），锁定20年售电关系，确保收益稳定。</w:t>
      </w:r>
    </w:p>
    <w:p>
      <w:pPr>
        <w:pStyle w:val="3"/>
      </w:pPr>
      <w:r>
        <w:t>2.4 项目建设内容、规模及产出方案</w:t>
      </w:r>
    </w:p>
    <w:p>
      <w:pPr>
        <w:pStyle w:val="4"/>
      </w:pPr>
      <w:r>
        <w:t>2.4.1 项目建设总体目标</w:t>
      </w:r>
    </w:p>
    <w:p>
      <w:r>
        <w:t>本项目的战略定位为：打造河南省"林光互补"矿山综合治理示范工程，构建"光伏+储能+微电网+虚拟电厂"一体化新型电力系统，实现生态修复与新能源开发有机结合，为金堆城钼业公司提供清洁、低碳、经济的电力供应，助力企业绿色转型和应对国际碳关税壁垒。</w:t>
      </w:r>
    </w:p>
    <w:p>
      <w:r>
        <w:t>项目最终实现目标为：建设26MW分布式光伏电站、3MW/6MWh储能系统及智能微电网，年发电量约3000万度，全部就近消纳；在光伏板下方种植能源植物超级芦竹300余亩，实现生态修复与能源产出的双重收益；通过虚拟电厂平台聚合分布式能源资源，参与电力市场交易和电网辅助服务，提升项目商业价值。</w:t>
      </w:r>
    </w:p>
    <w:p>
      <w:pPr>
        <w:pStyle w:val="4"/>
      </w:pPr>
      <w:r>
        <w:t>2.4.2 分阶段目标</w:t>
      </w:r>
    </w:p>
    <w:p>
      <w:pPr>
        <w:rPr>
          <w:rFonts w:ascii="Times New Roman" w:hAnsi="Times New Roman" w:eastAsia="宋体" w:cstheme="minorBidi"/>
        </w:rPr>
      </w:pPr>
      <w:r>
        <w:rPr>
          <w:rFonts w:ascii="Times New Roman" w:hAnsi="Times New Roman" w:eastAsia="宋体" w:cstheme="minorBidi"/>
        </w:rPr>
        <w:t>项目建设周期约12个月，分为以下阶段：</w:t>
      </w:r>
    </w:p>
    <w:p>
      <w:pPr>
        <w:rPr>
          <w:rFonts w:ascii="Times New Roman" w:hAnsi="Times New Roman" w:eastAsia="宋体" w:cstheme="minorBidi"/>
        </w:rPr>
      </w:pPr>
      <w:r>
        <w:rPr>
          <w:rFonts w:ascii="Times New Roman" w:hAnsi="Times New Roman" w:eastAsia="宋体" w:cstheme="minorBidi"/>
        </w:rPr>
        <w:t>前期准备期（第1-2月）：项目备案、环评审批、土地租赁协议签订、设计招标。</w:t>
      </w:r>
    </w:p>
    <w:p>
      <w:pPr>
        <w:rPr>
          <w:rFonts w:ascii="Times New Roman" w:hAnsi="Times New Roman" w:eastAsia="宋体" w:cstheme="minorBidi"/>
        </w:rPr>
      </w:pPr>
      <w:r>
        <w:rPr>
          <w:rFonts w:ascii="Times New Roman" w:hAnsi="Times New Roman" w:eastAsia="宋体" w:cstheme="minorBidi"/>
        </w:rPr>
        <w:t>设备采购期（第2-4月）：光伏组件、逆变器、储能系统等设备采购、施工招标。</w:t>
      </w:r>
    </w:p>
    <w:p>
      <w:pPr>
        <w:rPr>
          <w:rFonts w:ascii="Times New Roman" w:hAnsi="Times New Roman" w:eastAsia="宋体" w:cstheme="minorBidi"/>
        </w:rPr>
      </w:pPr>
      <w:r>
        <w:rPr>
          <w:rFonts w:ascii="Times New Roman" w:hAnsi="Times New Roman" w:eastAsia="宋体" w:cstheme="minorBidi"/>
        </w:rPr>
        <w:t>建设实施期（第3-8月）：光伏电站建设、储能系统安装、微电网调试、芦竹种植。</w:t>
      </w:r>
    </w:p>
    <w:p>
      <w:pPr>
        <w:rPr>
          <w:rFonts w:ascii="Times New Roman" w:hAnsi="Times New Roman" w:eastAsia="宋体" w:cstheme="minorBidi"/>
        </w:rPr>
      </w:pPr>
      <w:r>
        <w:rPr>
          <w:rFonts w:ascii="Times New Roman" w:hAnsi="Times New Roman" w:eastAsia="宋体" w:cstheme="minorBidi"/>
        </w:rPr>
        <w:t>试运行期（第8-12月）：系统联调联试、性能测试、人员培训、并网验收。</w:t>
      </w:r>
    </w:p>
    <w:p>
      <w:pPr>
        <w:pStyle w:val="4"/>
      </w:pPr>
      <w:r>
        <w:t>2.4.3 建设内容与规模</w:t>
      </w:r>
    </w:p>
    <w:p>
      <w:r>
        <w:t>项目需要在金堆城钼业汝阳东沟矿区尾矿库及周边工矿用地区域内建设安装26MW分布式光伏发电设备，配套安装3MW/6MWh储能设备，并在光伏下方种植超级芦竹能源植物，同时完成其他相关配套工程。项目所产出的电力通过"源网荷储"模式供应给金堆城钼业企业使用，种植超级芦竹能源植物将对外进行出售。</w:t>
      </w:r>
    </w:p>
    <w:p>
      <w:pPr>
        <w:pStyle w:val="3"/>
      </w:pPr>
      <w:r>
        <w:t>2.5 项目商业模式</w:t>
      </w:r>
    </w:p>
    <w:p>
      <w:pPr>
        <w:pStyle w:val="4"/>
      </w:pPr>
      <w:r>
        <w:t>2.5.1 商业可行性论证</w:t>
      </w:r>
    </w:p>
    <w:p>
      <w:pPr>
        <w:pStyle w:val="5"/>
      </w:pPr>
      <w:r>
        <w:t>1、市场需求可行性分析</w:t>
      </w:r>
    </w:p>
    <w:p>
      <w:r>
        <w:t>金堆城钼业年用电量约4.56亿度，项目年产绿电约3000万度，仅占企业年用电需求的6.6%，需求缺口巨大。项目所发电力全部由企业消纳，不存在弃光限电风险，电力消纳有充分保障。</w:t>
      </w:r>
    </w:p>
    <w:p>
      <w:r>
        <w:t>从行业发展趋势看，"十五五"期间新能源装机将持续快速增长，光伏发电成本持续下降，新能源在电力供应中的占比将不断提升。136号文件推动新能源全面入市后，"自发自用、就近消纳"模式成为分布式光伏的主流发展方向，本项目的运营模式完全符合行业发展趋势。</w:t>
      </w:r>
    </w:p>
    <w:p>
      <w:pPr>
        <w:pStyle w:val="5"/>
      </w:pPr>
      <w:r>
        <w:t>2、政策可行性分析</w:t>
      </w:r>
    </w:p>
    <w:p>
      <w:r>
        <w:t>136号文件和1710号文件为新能源项目发展提供了明确的政策指引。136号文件建立了新能源可持续发展价格结算机制，为增量项目提供了"多退少补"的差价结算保障。1710号文件明确主配微协同发展格局，到2030年接纳分布式新能源9亿千瓦。河南省"十五五"规划提出新增新能源和可再生能源发电装机容量3000万千瓦。绿色金融政策为项目融资提供了低成本资金支持。欧盟CBAM于2026年1月1日起正式实施，出口企业绿电需求快速增长。综合判断，本项目政策环境优越，政策可行性充分。</w:t>
      </w:r>
    </w:p>
    <w:p>
      <w:pPr>
        <w:pStyle w:val="5"/>
      </w:pPr>
      <w:r>
        <w:t>3、技术可行性分析</w:t>
      </w:r>
    </w:p>
    <w:p>
      <w:r>
        <w:t>目前光伏组件、储能系统、微电网控制技术均已成熟商业化，项目技术风险可控。光伏组件采用单晶硅PERC或TOPCon技术，转换效率超过21%；储能系统采用磷酸铁锂电池，循环寿命超过6000次；微电网控制系统支持并网/离网双模式运行，供电可靠性达99.9%以上。综合判断，本项目技术方案成熟可靠，技术可行性充分。</w:t>
      </w:r>
    </w:p>
    <w:p>
      <w:pPr>
        <w:pStyle w:val="5"/>
      </w:pPr>
      <w:r>
        <w:t>4、运营（管理）可行性分析</w:t>
      </w:r>
    </w:p>
    <w:p>
      <w:r>
        <w:t>光伏电站运维已形成标准化服务体系，运维技术成熟。项目建设单位汝阳城市建设公司具备较强的项目管理能力和资源协调能力。作为政府平台公司，公司在土地获取、项目审批、政策协调等方面具有天然优势。项目采用"自发自用"模式，与用电企业签订长期电力供应协议（PPA），锁定售电关系，收益稳定性高。综合判断，本项目运营管理体系完善，运营可行性充分。</w:t>
      </w:r>
    </w:p>
    <w:p>
      <w:pPr>
        <w:pStyle w:val="5"/>
      </w:pPr>
      <w:r>
        <w:t>5、风险控制与可持续性分析</w:t>
      </w:r>
    </w:p>
    <w:p>
      <w:r>
        <w:t>项目主要风险包括政策风险、技术风险、市场风险和运营风险。政策风险方面，新能源政策总体稳定向好，政策风险可控。技术风险方面，项目采用成熟技术，设备可靠性高，技术风险较低。市场风险方面，项目电力全部就近消纳，市场风险极低。运营风险方面，通过专业化运维和保险保障，可有效控制运营风险。项目具备可复制性，可持续发展能力强。</w:t>
      </w:r>
    </w:p>
    <w:p>
      <w:pPr>
        <w:pStyle w:val="4"/>
      </w:pPr>
      <w:r>
        <w:t>2.5.3 融资可行性分析</w:t>
      </w:r>
    </w:p>
    <w:p>
      <w:pPr>
        <w:pStyle w:val="5"/>
      </w:pPr>
      <w:r>
        <w:t>1、金融政策可行性分析</w:t>
      </w:r>
    </w:p>
    <w:p>
      <w:r>
        <w:t>在当前货币政策适度宽松的宏观环境下，国家持续加大对绿色金融领域的资源倾斜力度。中国人民银行通过碳减排支持工具向金融机构提供低成本资金。本项目作为新能源类型项目，属于绿色金融重点支持方向。综合判断，当前金融政策环境对本项目融资极为有利。</w:t>
      </w:r>
    </w:p>
    <w:p>
      <w:pPr>
        <w:pStyle w:val="5"/>
      </w:pPr>
      <w:r>
        <w:t>2、融资主体可行性分析</w:t>
      </w:r>
    </w:p>
    <w:p>
      <w:r>
        <w:t>项目投资主体为汝阳城市建设公司，属于地方国有企业，系汝阳县政府平台公司，具备较好的信用基础和融资能力。公司资产规模较大，经营状况良好，资产负债率处于合理水平，具备承担项目融资和还款责任的能力。综合判断，本项目融资主体资质优良，融资主体可行性充分。</w:t>
      </w:r>
    </w:p>
    <w:p>
      <w:pPr>
        <w:pStyle w:val="5"/>
      </w:pPr>
      <w:r>
        <w:t>3、还款能力可行性分析</w:t>
      </w:r>
    </w:p>
    <w:p>
      <w:r>
        <w:t>项目总投资约8900余万元，年均营业收入约1500万元，内部收益率（税后）9.28%，高于行业基准收益率，有较强的还款能力。项目投资回收期约9年，在运营期内可实现稳定现金流，具备充足的还款来源。综合判断，本项目还款来源稳定充足，还款能力可行性充分。</w:t>
      </w:r>
    </w:p>
    <w:p>
      <w:pPr>
        <w:pStyle w:val="5"/>
      </w:pPr>
      <w:r>
        <w:t>4、担保充实度可行性分析</w:t>
      </w:r>
    </w:p>
    <w:p>
      <w:r>
        <w:t>项目建设完成后，可对应收账款作为质押，追加项目设备抵押，担保抵押物较为充实。项目光伏电站、储能设备等固定资产价值稳定，可作为有效的担保物。地方国企背景也为项目融资提供了信用背书。综合判断，本项目担保措施充实，担保结构合理。</w:t>
      </w:r>
    </w:p>
    <w:p>
      <w:pPr>
        <w:pStyle w:val="4"/>
      </w:pPr>
      <w:r>
        <w:t>2.5.4 项目商业模式创新分析</w:t>
      </w:r>
    </w:p>
    <w:p>
      <w:r>
        <w:t>本项目在商业模式方面具有以下创新点：</w:t>
      </w:r>
    </w:p>
    <w:p>
      <w:pPr>
        <w:rPr>
          <w:rFonts w:ascii="Times New Roman" w:hAnsi="Times New Roman" w:eastAsia="宋体" w:cstheme="minorBidi"/>
        </w:rPr>
      </w:pPr>
      <w:r>
        <w:rPr>
          <w:rFonts w:ascii="Times New Roman" w:hAnsi="Times New Roman" w:eastAsia="宋体" w:cstheme="minorBidi"/>
        </w:rPr>
        <w:t>"林光互补+矿山治理"融合模式：将光伏发电与尾矿生态修复有机结合，在光伏板下方种植能源植物超级芦竹，实现"生态修复+能源产出"的双重收益，开创了矿山综合治理的新模式。</w:t>
      </w:r>
    </w:p>
    <w:p>
      <w:pPr>
        <w:rPr>
          <w:rFonts w:ascii="Times New Roman" w:hAnsi="Times New Roman" w:eastAsia="宋体" w:cstheme="minorBidi"/>
        </w:rPr>
      </w:pPr>
      <w:r>
        <w:rPr>
          <w:rFonts w:ascii="Times New Roman" w:hAnsi="Times New Roman" w:eastAsia="宋体" w:cstheme="minorBidi"/>
        </w:rPr>
        <w:t>"源网荷储+虚拟电厂"一体化运营：构建"源网荷储"一体化微电网系统，同步建设虚拟电厂运营平台，实现分布式能源的聚合管理和市场化运营，提升项目商业价值。</w:t>
      </w:r>
    </w:p>
    <w:p>
      <w:pPr>
        <w:rPr>
          <w:rFonts w:ascii="Times New Roman" w:hAnsi="Times New Roman" w:eastAsia="宋体" w:cstheme="minorBidi"/>
        </w:rPr>
      </w:pPr>
      <w:r>
        <w:rPr>
          <w:rFonts w:ascii="Times New Roman" w:hAnsi="Times New Roman" w:eastAsia="宋体" w:cstheme="minorBidi"/>
        </w:rPr>
        <w:t>"绿电直供+碳服务"价值链延伸：不仅为用电企业提供绿色电力，还提供绿电证书、碳足迹数据等增值服务，帮助企业应对国际碳关税壁垒，提升产品竞争力。</w:t>
      </w:r>
    </w:p>
    <w:p>
      <w:pPr>
        <w:rPr>
          <w:rFonts w:ascii="Times New Roman" w:hAnsi="Times New Roman" w:eastAsia="宋体" w:cstheme="minorBidi"/>
        </w:rPr>
      </w:pPr>
      <w:r>
        <w:rPr>
          <w:rFonts w:ascii="Times New Roman" w:hAnsi="Times New Roman" w:eastAsia="宋体" w:cstheme="minorBidi"/>
        </w:rPr>
        <w:t>"国有企业+平台转型"发展路径：通过新能源项目投资运营，推动地方国有企业从传统融资平台向市场化运营主体转型，实现经济效益和社会效益的双赢。</w:t>
      </w:r>
    </w:p>
    <w:p>
      <w:pPr>
        <w:pStyle w:val="4"/>
      </w:pPr>
      <w:r>
        <w:t>2.5.5 综合开发情况分析</w:t>
      </w:r>
    </w:p>
    <w:p>
      <w:pPr>
        <w:rPr>
          <w:rFonts w:ascii="Times New Roman" w:hAnsi="Times New Roman" w:eastAsia="宋体" w:cstheme="minorBidi"/>
        </w:rPr>
      </w:pPr>
      <w:r>
        <w:rPr>
          <w:rFonts w:ascii="Times New Roman" w:hAnsi="Times New Roman" w:eastAsia="宋体" w:cstheme="minorBidi"/>
        </w:rPr>
        <w:t>上下游产品联动和产业集聚：本项目上游带动光伏组件、储能电池、逆变器等设备制造产业发展，下游带动电力运维、绿证交易、碳资产管理等服务业发展。</w:t>
      </w:r>
    </w:p>
    <w:p>
      <w:pPr>
        <w:rPr>
          <w:rFonts w:ascii="Times New Roman" w:hAnsi="Times New Roman" w:eastAsia="宋体" w:cstheme="minorBidi"/>
        </w:rPr>
      </w:pPr>
      <w:r>
        <w:rPr>
          <w:rFonts w:ascii="Times New Roman" w:hAnsi="Times New Roman" w:eastAsia="宋体" w:cstheme="minorBidi"/>
        </w:rPr>
        <w:t>土地复合利用：本项目采用"林光互补"模式，在尾矿治理形成的林地上方建设光伏发电设施，下方种植超级芦竹，实现"一地两用、一地多收"。</w:t>
      </w:r>
    </w:p>
    <w:p>
      <w:pPr>
        <w:rPr>
          <w:rFonts w:ascii="Times New Roman" w:hAnsi="Times New Roman" w:eastAsia="宋体" w:cstheme="minorBidi"/>
        </w:rPr>
      </w:pPr>
      <w:r>
        <w:rPr>
          <w:rFonts w:ascii="Times New Roman" w:hAnsi="Times New Roman" w:eastAsia="宋体" w:cstheme="minorBidi"/>
        </w:rPr>
        <w:t>资源复合利用：本项目实现太阳能、土地、生物质等多种资源的复合利用。项目每年可减少二氧化碳排放约2.5万吨，超级芦竹每年可吸收二氧化碳约2550-5100吨，碳汇效益显著。</w:t>
      </w:r>
    </w:p>
    <w:p>
      <w:pPr>
        <w:rPr>
          <w:rFonts w:ascii="Times New Roman" w:hAnsi="Times New Roman" w:eastAsia="宋体" w:cstheme="minorBidi"/>
        </w:rPr>
      </w:pPr>
      <w:r>
        <w:rPr>
          <w:rFonts w:ascii="Times New Roman" w:hAnsi="Times New Roman" w:eastAsia="宋体" w:cstheme="minorBidi"/>
        </w:rPr>
        <w:t>能源梯级利用：本项目构建微电网系统，实现光伏发电、储能充放电、企业用电负荷的协调优化，提高能源利用效率。</w:t>
      </w:r>
    </w:p>
    <w:p>
      <w:pPr>
        <w:pStyle w:val="2"/>
      </w:pPr>
      <w:r>
        <w:t>第三章 项目选址与要素保障</w:t>
      </w:r>
    </w:p>
    <w:p>
      <w:pPr>
        <w:pStyle w:val="3"/>
      </w:pPr>
      <w:r>
        <w:t>3.1 项目地址</w:t>
      </w:r>
    </w:p>
    <w:p>
      <w:r>
        <w:t>本项目选址于河南省洛阳市汝阳县金堆城钼业东沟矿区尾矿库及周边工矿用地。项目场址地理坐标位于东经112°8'～112°38'、北纬33°49'～34°21'之间，矿区北距汝阳县城约35公里，东距二广高速公路约57公里，距焦枝铁路大安火车站约58公里，北距陇海铁路洛阳火车站约90公里，西邻洛阳—汝阳—车村主干公路，交通较为便利。</w:t>
      </w:r>
    </w:p>
    <w:p>
      <w:r>
        <w:t>项目所在区域属东沟钼矿独立工矿区规划范围，该矿区总面积约10平方公里，包含采矿露天矿场、尾矿库、排土场等。项目利用矿区尾矿库治理后形成的林地及周边工矿用地进行建设，不占用基本农田和生态红线区域，场址选择符合国家产业政策和土地利用总体规划要求。</w:t>
      </w:r>
    </w:p>
    <w:p>
      <w:pPr>
        <w:pStyle w:val="3"/>
      </w:pPr>
      <w:r>
        <w:t>3.2 项目建设条件</w:t>
      </w:r>
    </w:p>
    <w:p>
      <w:pPr>
        <w:pStyle w:val="4"/>
      </w:pPr>
      <w:r>
        <w:t>3.2.1 拟建项目所在区域的自然条件</w:t>
      </w:r>
    </w:p>
    <w:p>
      <w:pPr>
        <w:pStyle w:val="5"/>
      </w:pPr>
      <w:r>
        <w:t>1、地理位置</w:t>
      </w:r>
    </w:p>
    <w:p>
      <w:r>
        <w:t>汝阳县位于河南省中西部，洛阳市东南部，北汝河上游，地处豫西伏牛山区。县域东接汝州市，西邻嵩县，南与鲁山县毗邻，北与伊川县接壤。全县总面积1332平方公里，辖8个镇5个乡和1个先进制造业开发区，220个行政村，总人口约49万人。</w:t>
      </w:r>
    </w:p>
    <w:p>
      <w:pPr>
        <w:pStyle w:val="5"/>
      </w:pPr>
      <w:r>
        <w:t>2、地形地貌</w:t>
      </w:r>
    </w:p>
    <w:p>
      <w:r>
        <w:t>汝阳县地处豫西伏牛山区，地势南高北低，向北呈台阶式下降。全县地貌类型主要分为南部侵蚀剥蚀中山、中南部侵蚀剥蚀低山、中北部黄土丘陵、北部冲洪积倾斜平原及沿汝河形成的河谷平原。全县山地面积792.3平方公里，占总面积的70.2%；丘陵面积255.5平方公里，占19.6%；倾斜平原及河谷平原面积277.4平方公里，占10.2%。</w:t>
      </w:r>
    </w:p>
    <w:p>
      <w:r>
        <w:t>项目场址位于东沟钼矿区尾矿库区域，属中低山丘陵地貌区，场地整体地势较为开阔平坦。尾矿库经多年堆积形成相对平整的滩面和坝体，经治理覆土后具备光伏项目建设条件。</w:t>
      </w:r>
    </w:p>
    <w:p>
      <w:pPr>
        <w:pStyle w:val="5"/>
      </w:pPr>
      <w:r>
        <w:t>3、工程地质条件</w:t>
      </w:r>
    </w:p>
    <w:p>
      <w:r>
        <w:t>汝阳县地处秦岭地槽东段北侧，大地构造复杂，岩浆活动频繁，地层出露较全。东沟钼矿区位于华北地台南缘隆起区与台缘坳陷区之间的过渡地带，属于中国东部钼成矿域。矿区区域上未发现全新活动性断裂，区域地壳稳定性评价为"稳定"型。</w:t>
      </w:r>
    </w:p>
    <w:p>
      <w:pPr>
        <w:pStyle w:val="5"/>
      </w:pPr>
      <w:r>
        <w:t>4、气候条件</w:t>
      </w:r>
    </w:p>
    <w:p>
      <w:r>
        <w:t>汝阳县属暖温带半湿润大陆性季风气候，四季分明，光照充足，气候温和。具有以下气候特征：</w:t>
      </w:r>
    </w:p>
    <w:p>
      <w:pPr>
        <w:rPr>
          <w:rFonts w:ascii="Times New Roman" w:hAnsi="Times New Roman" w:eastAsia="宋体" w:cstheme="minorBidi"/>
        </w:rPr>
      </w:pPr>
      <w:r>
        <w:rPr>
          <w:rFonts w:ascii="Times New Roman" w:hAnsi="Times New Roman" w:eastAsia="宋体" w:cstheme="minorBidi"/>
        </w:rPr>
        <w:t>气温：多年平均气温14.2℃，极端最高气温44℃，极端最低气温-21℃。气温自北向南逐渐增高，无霜期213天。</w:t>
      </w:r>
    </w:p>
    <w:p>
      <w:pPr>
        <w:rPr>
          <w:rFonts w:ascii="Times New Roman" w:hAnsi="Times New Roman" w:eastAsia="宋体" w:cstheme="minorBidi"/>
        </w:rPr>
      </w:pPr>
      <w:r>
        <w:rPr>
          <w:rFonts w:ascii="Times New Roman" w:hAnsi="Times New Roman" w:eastAsia="宋体" w:cstheme="minorBidi"/>
        </w:rPr>
        <w:t>降水：多年平均降水量654.9毫米，降水量地域分布差异较大，自南向北逐渐递减，年际变化较大。</w:t>
      </w:r>
    </w:p>
    <w:p>
      <w:pPr>
        <w:rPr>
          <w:rFonts w:ascii="Times New Roman" w:hAnsi="Times New Roman" w:eastAsia="宋体" w:cstheme="minorBidi"/>
        </w:rPr>
      </w:pPr>
      <w:r>
        <w:rPr>
          <w:rFonts w:ascii="Times New Roman" w:hAnsi="Times New Roman" w:eastAsia="宋体" w:cstheme="minorBidi"/>
        </w:rPr>
        <w:t>日照：年平均日照时数2177.3小时，日照百分率达49%，6月份日照时间最长达229.5小时。</w:t>
      </w:r>
    </w:p>
    <w:p>
      <w:pPr>
        <w:rPr>
          <w:rFonts w:ascii="Times New Roman" w:hAnsi="Times New Roman" w:eastAsia="宋体" w:cstheme="minorBidi"/>
        </w:rPr>
      </w:pPr>
      <w:r>
        <w:rPr>
          <w:rFonts w:ascii="Times New Roman" w:hAnsi="Times New Roman" w:eastAsia="宋体" w:cstheme="minorBidi"/>
        </w:rPr>
        <w:t>河南省太阳能资源属于III类资源区，年平均太阳总辐射在4300～5000兆焦/平方米之间，多年平均光伏等效满负荷利用小时数在900～1100小时。汝阳县年日照时数达2177.3小时，太阳能资源较为丰富，具备良好的光伏发电条件。</w:t>
      </w:r>
    </w:p>
    <w:p>
      <w:pPr>
        <w:pStyle w:val="5"/>
      </w:pPr>
      <w:r>
        <w:t>5、水系水文</w:t>
      </w:r>
    </w:p>
    <w:p>
      <w:r>
        <w:t>汝阳县境内有大小河流29条，分属黄河及淮河两大水系。黄河水系的杜康河、柳沟河、杜庄河等流域面积112.8平方公里；淮河水系的汝河及荡泽河流域面积1212.2平方公里。汝河是汝阳县最大河流，自南向北贯穿全县。</w:t>
      </w:r>
    </w:p>
    <w:p>
      <w:pPr>
        <w:pStyle w:val="5"/>
      </w:pPr>
      <w:r>
        <w:t>6、地震</w:t>
      </w:r>
    </w:p>
    <w:p>
      <w:r>
        <w:t>根据《中国地震动参数区划图》（GB18306-2015），汝阳县城区的抗震设防烈度为6度，设计基本地震加速度值为0.05g，设计地震分组为第一组。矿区所在地基本地震烈度为VI度，区内自有地震记录以来未发生过大的破坏性地震，区域地壳稳定性评价为"稳定"型。</w:t>
      </w:r>
    </w:p>
    <w:p>
      <w:pPr>
        <w:pStyle w:val="4"/>
      </w:pPr>
      <w:r>
        <w:t>3.2.2 交通运输条件</w:t>
      </w:r>
    </w:p>
    <w:p>
      <w:r>
        <w:t>汝阳县交通网络较为完善。焦枝铁路从县境东北部穿境而过，设有汝阳车站。宁洛高速、二广高速两条高速公路穿境而过，县内拥有三个高速出入口。国道G344、省道S240、S238等贯穿全境，形成了以县城为中心、"六横两纵"为主框架的公路交通网络，全县通车总里程达1735公里。</w:t>
      </w:r>
    </w:p>
    <w:p>
      <w:r>
        <w:t>项目场址位于汝阳县付店镇东沟村，西邻洛阳—汝阳—车村主干公路，矿区已建设完善的矿山道路系统，可满足施工运输需求。</w:t>
      </w:r>
    </w:p>
    <w:p>
      <w:pPr>
        <w:pStyle w:val="4"/>
      </w:pPr>
      <w:r>
        <w:t>3.2.3 公用工程条件</w:t>
      </w:r>
    </w:p>
    <w:p>
      <w:pPr>
        <w:pStyle w:val="5"/>
      </w:pPr>
      <w:r>
        <w:t>1、给水</w:t>
      </w:r>
    </w:p>
    <w:p>
      <w:r>
        <w:t>项目施工期用水主要包括混凝土养护、设备清洗和生活用水等。场址位于金堆城钼业东沟矿区范围内，矿区已建有完善的供水系统，水源以地表水（山涧水）和地下水为主，水质、水量可满足施工用水需求。</w:t>
      </w:r>
    </w:p>
    <w:p>
      <w:pPr>
        <w:pStyle w:val="5"/>
      </w:pPr>
      <w:r>
        <w:t>2、排水</w:t>
      </w:r>
    </w:p>
    <w:p>
      <w:r>
        <w:t>项目场址周边排水条件良好。矿区已建设完善的雨污分流系统和废水回收设施。项目运营期不产生工业废水，光伏组件清洗废水可自然蒸发或排入周边排水沟。</w:t>
      </w:r>
    </w:p>
    <w:p>
      <w:pPr>
        <w:pStyle w:val="5"/>
      </w:pPr>
      <w:r>
        <w:t>3、供电</w:t>
      </w:r>
    </w:p>
    <w:p>
      <w:r>
        <w:t>汝阳县供电设施完善，由洛阳供电局左寨220KV变电站和平顶山供电局龙泉110KV变电站双路供电。全县拥有220KV变电站1座，110KV变电站5座，总容量78000KVA；35KV变电站9座，总容量54150KVA。</w:t>
      </w:r>
    </w:p>
    <w:p>
      <w:pPr>
        <w:pStyle w:val="5"/>
      </w:pPr>
      <w:r>
        <w:t>4、通信</w:t>
      </w:r>
    </w:p>
    <w:p>
      <w:r>
        <w:t>汝阳县通信基础设施完善，全县98%的行政村开通程控电话，实现了光缆传输和程控数据交换，移动通信信号覆盖全县。项目场址位于矿区范围内，移动通信信号覆盖良好。</w:t>
      </w:r>
    </w:p>
    <w:p>
      <w:pPr>
        <w:pStyle w:val="4"/>
      </w:pPr>
      <w:r>
        <w:t>3.2.4 施工条件及公共服务条件</w:t>
      </w:r>
    </w:p>
    <w:p>
      <w:r>
        <w:t>项目建设所需主要建筑材料（水泥、砂石、钢材等）可在汝阳县及周边地区采购，供应充足。主要设备（光伏组件、逆变器、储能系统等）可从国内主流供应商采购。汝阳县劳动力资源丰富，每年外出务工人员约10万人，本地建筑施工人员充足。</w:t>
      </w:r>
    </w:p>
    <w:p>
      <w:pPr>
        <w:pStyle w:val="3"/>
      </w:pPr>
      <w:r>
        <w:t>3.3 要素保障分析</w:t>
      </w:r>
    </w:p>
    <w:p>
      <w:pPr>
        <w:pStyle w:val="4"/>
      </w:pPr>
      <w:r>
        <w:t>3.3.1 土地要素保障和规划审批</w:t>
      </w:r>
    </w:p>
    <w:p>
      <w:r>
        <w:t>本项目用地为金堆城钼业东沟矿区尾矿库及周边工矿用地，属矿山治理后形成的林地及工矿用地，项目拟用地约300余亩。</w:t>
      </w:r>
    </w:p>
    <w:p>
      <w:r>
        <w:t>关于土地权属关系：本项目所用土地归地方政府所有，由汝阳城市建设公司（政府平台公司）主导开发，建设单位对土地拥有绝对的使用权和管理权。目前项目区域采矿已完成，并且已进行了矿区治理，在权属上项目土地已与金堆城钼业公司没有关系。该地块原属林地，经土地整理后沿用原有土地属性，无需调整土地利用规划。</w:t>
      </w:r>
    </w:p>
    <w:p>
      <w:pPr>
        <w:pStyle w:val="4"/>
      </w:pPr>
      <w:r>
        <w:t>3.3.2 资源环境要素保障</w:t>
      </w:r>
    </w:p>
    <w:p>
      <w:pPr>
        <w:pStyle w:val="5"/>
      </w:pPr>
      <w:r>
        <w:t>1、空气环境</w:t>
      </w:r>
    </w:p>
    <w:p>
      <w:r>
        <w:t>该项目建设涉及少量的施工粉尘，主要产生于基础开挖、土方运输等工序。通过采取洒水降尘、覆盖防尘网、设置围挡等施工保护措施，可以基本消除对大气环境的影响。项目运营期不产生大气污染物，光伏发电为清洁能源发电过程零排放。</w:t>
      </w:r>
    </w:p>
    <w:p>
      <w:pPr>
        <w:pStyle w:val="5"/>
      </w:pPr>
      <w:r>
        <w:t>2、林地环境</w:t>
      </w:r>
    </w:p>
    <w:p>
      <w:r>
        <w:t>该项目施工全部在既有工矿用地上进行，不涉及森林、草地等自然植被破坏。项目采用"林光互补"模式，在尾矿库治理覆土区域种植超级芦竹能源植物，光伏板下方保留植被种植空间，实现生态修复与能源产出的有机结合。</w:t>
      </w:r>
    </w:p>
    <w:p>
      <w:pPr>
        <w:pStyle w:val="5"/>
      </w:pPr>
      <w:r>
        <w:t>3、水资源</w:t>
      </w:r>
    </w:p>
    <w:p>
      <w:r>
        <w:t>项目运营期用水量极少，主要为光伏组件定期清洗用水，年用水量有限。项目所在区域水资源条件可满足运营需求，不影响周边居民和农业用水。</w:t>
      </w:r>
    </w:p>
    <w:p>
      <w:pPr>
        <w:pStyle w:val="5"/>
      </w:pPr>
      <w:r>
        <w:t>4、太阳能资源</w:t>
      </w:r>
    </w:p>
    <w:p>
      <w:r>
        <w:t>汝阳县年平均日照时数2177.3小时，年太阳辐射量约4500～5000兆焦/平方米，属于河南省太阳能资源较丰富区域。项目场址地势开阔，周边无高大遮挡物，太阳能利用条件良好。</w:t>
      </w:r>
    </w:p>
    <w:p>
      <w:pPr>
        <w:pStyle w:val="4"/>
      </w:pPr>
      <w:r>
        <w:t>3.3.3 保障指标分析</w:t>
      </w:r>
    </w:p>
    <w:p>
      <w:r>
        <w:t>项目所处区位交通良好，自然条件优越，区域内的供水、供电、通讯、原材料、人力等各项基础设施完善，为该项目的建设提供了充分保障。从土地资源保障看，项目用地权属清晰，归地方政府所有，由平台公司主导开发，用地规模适中，不涉及敏感生态区域，土地要素保障充分。从资源环境保障看，项目所在区域太阳能资源丰富，空气环境、水环境、生态环境承载力均可满足项目建设和运营需求。故综上所述，该项目的建设条件是可行的。</w:t>
      </w:r>
    </w:p>
    <w:p>
      <w:pPr>
        <w:pStyle w:val="2"/>
      </w:pPr>
      <w:r>
        <w:t>第四章 项目内容建设方案</w:t>
      </w:r>
    </w:p>
    <w:p>
      <w:pPr>
        <w:pStyle w:val="3"/>
      </w:pPr>
      <w:r>
        <w:t>4.1 技术方案</w:t>
      </w:r>
    </w:p>
    <w:p>
      <w:pPr>
        <w:pStyle w:val="4"/>
      </w:pPr>
      <w:r>
        <w:t>4.1.1 技术目标</w:t>
      </w:r>
    </w:p>
    <w:p>
      <w:pPr>
        <w:rPr>
          <w:rFonts w:hint="eastAsia" w:ascii="宋体" w:hAnsi="宋体" w:eastAsia="宋体" w:cs="宋体"/>
        </w:rPr>
      </w:pPr>
      <w:r>
        <w:rPr>
          <w:rFonts w:hint="eastAsia" w:ascii="宋体" w:hAnsi="宋体" w:eastAsia="宋体" w:cs="宋体"/>
        </w:rPr>
        <w:t>光伏发电：本项目在洛阳市汝阳县付店镇东沟村附近的金堆城钼业尾矿治理覆土区域建设26MW分布式光伏发电系统，采用林光互补模式，在光伏板下种植超级芦竹能源植物。光伏所发电力通过源网荷储系统优先满足金堆城钼业公司本地负荷需求，余电通过微电网实现区域内消纳，基本实现无余电上网。项目通过高效单晶硅光伏组件、智能逆变器及柔性支架技术，实现年等效利用小时数不低于1200小时，系统综合发电效率不低于82%。</w:t>
      </w:r>
    </w:p>
    <w:p>
      <w:pPr>
        <w:rPr>
          <w:rFonts w:hint="eastAsia" w:ascii="宋体" w:hAnsi="宋体" w:eastAsia="宋体" w:cs="宋体"/>
        </w:rPr>
      </w:pPr>
      <w:r>
        <w:rPr>
          <w:rFonts w:hint="eastAsia" w:ascii="宋体" w:hAnsi="宋体" w:eastAsia="宋体" w:cs="宋体"/>
        </w:rPr>
        <w:t>储能运营：项目配套建设3MW/6MWh电网侧储能系统，采用磷酸铁锂电池技术，参与峰谷套利和电力调节。储能系统与光伏发电协同运行，在光伏大发时段充电、在用电高峰时段放电，实现24小时绿电供应。</w:t>
      </w:r>
    </w:p>
    <w:p>
      <w:pPr>
        <w:rPr>
          <w:rFonts w:hint="eastAsia" w:ascii="宋体" w:hAnsi="宋体" w:eastAsia="宋体" w:cs="宋体"/>
        </w:rPr>
      </w:pPr>
      <w:r>
        <w:rPr>
          <w:rFonts w:hint="eastAsia" w:ascii="宋体" w:hAnsi="宋体" w:eastAsia="宋体" w:cs="宋体"/>
        </w:rPr>
        <w:t>林光互补：项目采用林光互补复合开发模式，在光伏阵列下方种植超级芦竹能源植物300亩。超级芦竹具有生长快、产量高、热值高（约4200大卡）的特点，可作为生物质燃料和化工原料使用，兼具固碳释氧、改良土壤、修复生态的多重功能。</w:t>
      </w:r>
    </w:p>
    <w:p>
      <w:pPr>
        <w:rPr>
          <w:rFonts w:hint="eastAsia" w:ascii="宋体" w:hAnsi="宋体" w:eastAsia="宋体" w:cs="宋体"/>
        </w:rPr>
      </w:pPr>
      <w:r>
        <w:rPr>
          <w:rFonts w:hint="eastAsia" w:ascii="宋体" w:hAnsi="宋体" w:eastAsia="宋体" w:cs="宋体"/>
        </w:rPr>
        <w:t>微电网与虚拟电厂：项目构建源网荷储一体化的微电网系统，将26MW分布式光伏、3MW/6MWh储能及金堆城钼业公司工业负荷聚合为可控单元，实现分布式电源、储能和负荷的协调优化运行。</w:t>
      </w:r>
    </w:p>
    <w:p>
      <w:pPr>
        <w:rPr>
          <w:rFonts w:hint="eastAsia" w:ascii="宋体" w:hAnsi="宋体" w:eastAsia="宋体" w:cs="宋体"/>
        </w:rPr>
      </w:pPr>
      <w:r>
        <w:rPr>
          <w:rFonts w:hint="eastAsia" w:ascii="宋体" w:hAnsi="宋体" w:eastAsia="宋体" w:cs="宋体"/>
        </w:rPr>
        <w:t>能量管理：部署智能能量管理系统（EMS），实现源网荷储协同优化调度、负荷预测、发电预测、需量管理等功能，预留虚拟电厂（VPP）聚合接口。</w:t>
      </w:r>
    </w:p>
    <w:p>
      <w:pPr>
        <w:pStyle w:val="4"/>
      </w:pPr>
      <w:r>
        <w:t>4.1.2 技术来源</w:t>
      </w:r>
    </w:p>
    <w:p>
      <w:r>
        <w:t>项目采用全链条国产化成熟技术。光伏选用双面双玻半片组件，转换效率达21%以上；储能采用磷酸铁锂电芯配套模块化液冷温控，循环寿命不低于6000次；微电网控制器、BMS、EMS及虚拟电厂平台基于国家电网"源网荷储"技术标准开发，核心算法来自国内头部院校联合攻关，通信协议符合DL/T 1867、GB/T 36558等国家标准。</w:t>
      </w:r>
    </w:p>
    <w:p>
      <w:pPr>
        <w:pStyle w:val="4"/>
      </w:pPr>
      <w:r>
        <w:t>4.1.3 实现路径</w:t>
      </w:r>
    </w:p>
    <w:p>
      <w:r>
        <w:t>项目建设从场地整治、物理层建设、微电网组网到虚拟电厂调度分步推进。场地整治阶段，首先完成约300亩尾矿治理覆土区域的地形测量与土地平整，清除危岩碎石，进行土壤改良与培肥。物理层建设上，在平整后的场地上采用柔性支架和固定支架相结合的方式布置26MW光伏阵列，阵列下方同步完成芦竹种苗定植。微电网组网层面，各子系统部署就地控制器实现光储本地能量平衡与并离网切换。虚拟电厂调度层面，平台集成气象、功率及负荷预测与实时电价信号，将项目资源统一聚合为可调资源池。</w:t>
      </w:r>
    </w:p>
    <w:p>
      <w:pPr>
        <w:pStyle w:val="3"/>
      </w:pPr>
      <w:r>
        <w:t>4.2 设备方案</w:t>
      </w:r>
    </w:p>
    <w:p>
      <w:pPr>
        <w:pStyle w:val="4"/>
      </w:pPr>
      <w:r>
        <w:t>4.2.1 设备配置原则</w:t>
      </w:r>
    </w:p>
    <w:p>
      <w:r>
        <w:t>本项目设备方案选择依据使用功能确定，应满足以下基本要求：主要设备方案与拟定建设规模相适应；主要设备之间、主要设备与辅助设备之间的能力相互配套；设备质量、性能成熟；设备选择在保证性能前提下，力求经济合理；符合国家和有关部门颁布的相关技术标准要求。</w:t>
      </w:r>
    </w:p>
    <w:p>
      <w:pPr>
        <w:pStyle w:val="4"/>
      </w:pPr>
      <w:r>
        <w:t>4.2.2 项目主要设备</w:t>
      </w:r>
    </w:p>
    <w:p>
      <w:pPr>
        <w:pStyle w:val="5"/>
      </w:pPr>
      <w:r>
        <w:t>1、光伏组件选型</w:t>
      </w:r>
    </w:p>
    <w:p>
      <w:r>
        <w:t>本项目光伏规模总计装机容量为26MW。综合考虑组件单体功率大小、本项目场地的实用性及实际商业应用的性能稳定可靠性，本期工程拟选用单体功率为650Wp的双面双玻半片N型TOPCon组件，该组件转换效率为23.3%。组件首年衰减≤2%，以后逐年衰减≤0.5%，即第10年组件衰减至94.50%，第25年组件衰减至87.00%，第30年组件衰减至84.50%。</w:t>
      </w:r>
    </w:p>
    <w:p>
      <w:pPr>
        <w:pStyle w:val="5"/>
      </w:pPr>
      <w:r>
        <w:t>2、光伏矩阵放置方式</w:t>
      </w:r>
    </w:p>
    <w:p>
      <w:r>
        <w:t>本次光伏矩阵布置范围处于山地丘陵地区，地势上下有一定起伏，采用柔性光伏支架系统。柔性支架是一种大跨度多连跨结构，可实现10~30m的大跨度，适应山地起伏和植被增加等情况。</w:t>
      </w:r>
    </w:p>
    <w:p>
      <w:r>
        <w:t>光伏组件方阵的安装倾角对光伏发电系统的效率影响较大。根据光伏软件PVSYST模拟，组件在以20°倾角时其表面获取的太阳辐射量较大。本项目固定倾角支架的光伏组件排布方式为：光伏组件横向单块放置。</w:t>
      </w:r>
    </w:p>
    <w:p>
      <w:pPr>
        <w:pStyle w:val="5"/>
      </w:pPr>
      <w:r>
        <w:t>3、系统接入方案与防雷接地方案</w:t>
      </w:r>
    </w:p>
    <w:p>
      <w:r>
        <w:t>接入方案：由于项目光伏铺设规模较为分散，所以分别采用1个10kv接入点进行考虑，逆变器经升压箱变升压至10kv后，就近接入10kv电网。对于电缆型集电线路采用直埋敷设，暂采用铝合金三芯铠装电缆。</w:t>
      </w:r>
    </w:p>
    <w:p>
      <w:r>
        <w:t>防雷接地方案：太阳能光伏组件与金属屋面及建筑物主体避雷系统做可靠连接；所有布置的线槽金属外壳与建筑物主体接地系作可靠接地连接；太阳能电池直流侧均采用防雷电涌保护器；逆变器交流输出侧有防雷、过压、欠压、漏电等各种保护功能。</w:t>
      </w:r>
    </w:p>
    <w:p>
      <w:pPr>
        <w:pStyle w:val="5"/>
      </w:pPr>
      <w:r>
        <w:t>4、储能电池方案</w:t>
      </w:r>
    </w:p>
    <w:p>
      <w:r>
        <w:t>本项目电网侧储能系统总容量为3MW/6MWh，由3套2MW/2MWh储能预制舱组成。本工程选用磷酸铁锂（LFP）电芯，基于以下考量：安全性方面，磷酸铁锂热稳定性优于三元锂，热失控温度高达270度以上；循环寿命达6000次以上（@80% DOD），满足8~10年使用寿命；产能充足，价格下降趋势明确。</w:t>
      </w:r>
    </w:p>
    <w:p>
      <w:r>
        <w:t>本工程选用314Ah大容量磷酸铁锂电芯。电池模组采用1P52S成组架构，由4个1P13S子模组串联组成。电池簇采用1P416S成组架构，由8个电池模组（PACK）串联组成。储能预制舱采用20尺标准集装箱，内部集成12个电池簇、配电汇流一体柜、液冷系统、消防系统、视频监控及环境控制系统。</w:t>
      </w:r>
    </w:p>
    <w:p>
      <w:pPr>
        <w:pStyle w:val="5"/>
      </w:pPr>
      <w:r>
        <w:t>5、储能变流器PCS</w:t>
      </w:r>
    </w:p>
    <w:p>
      <w:r>
        <w:t>储能系统配置1000kW储能变流器，模块式架构，支持并离网两种模式，采用户外安装形式。主要参数：额定交流功率1000kW，最大交流功率1100kW，总电流谐波畸变率≤3%，功率因数0.99，最大转换效率≥98.5%，并离网切换时间≤10ms，防护等级IP65。</w:t>
      </w:r>
    </w:p>
    <w:p>
      <w:pPr>
        <w:pStyle w:val="5"/>
      </w:pPr>
      <w:r>
        <w:t>6、能量管理系统EMS</w:t>
      </w:r>
    </w:p>
    <w:p>
      <w:r>
        <w:t>与储能系统相配套的能量管理系统（EMS）通过实时监控、分析和优化能源的生产、转换、储存和消耗，以最大化系统的效率和可靠性。EMS的核心作用之一是实现对电力系统的实时监控和控制，通过智能化的能源分配和优化，实现对电力流向的精确控制。</w:t>
      </w:r>
    </w:p>
    <w:p>
      <w:pPr>
        <w:pStyle w:val="5"/>
      </w:pPr>
      <w:r>
        <w:t>7、电池管理系统BMS</w:t>
      </w:r>
    </w:p>
    <w:p>
      <w:r>
        <w:t>电池管理系统（BMS）是一种关键的技术，配套装备于储能系统中，用于监控、控制和优化电池系统的运行。BMS的核心功能之一是实现对电池状态的实时监测和管理，通过智能的电池均衡功能，确保电池组内各个电池单体的充放电状态保持一致。</w:t>
      </w:r>
    </w:p>
    <w:p>
      <w:pPr>
        <w:pStyle w:val="3"/>
      </w:pPr>
      <w:r>
        <w:t>4.3 工程方案</w:t>
      </w:r>
    </w:p>
    <w:p>
      <w:pPr>
        <w:pStyle w:val="4"/>
      </w:pPr>
      <w:r>
        <w:t>4.3.1 设计依据</w:t>
      </w:r>
    </w:p>
    <w:p>
      <w:r>
        <w:t>本项目设计依据包括：《光伏发电站设计标准》（GB50797-2012）（2024年版）、《电化学储能电站设计规范》（GB51048-2014）、《供配电系统设计规范》（GB50052-2009）、《建筑物防雷设计规范》（GB50057-2010）等国家及行业现行标准规范。</w:t>
      </w:r>
    </w:p>
    <w:p>
      <w:pPr>
        <w:pStyle w:val="4"/>
      </w:pPr>
      <w:r>
        <w:t>4.3.2 工程建设方案</w:t>
      </w:r>
    </w:p>
    <w:p>
      <w:pPr>
        <w:pStyle w:val="5"/>
      </w:pPr>
      <w:r>
        <w:t>（一）项目总体设计原则与建设目标</w:t>
      </w:r>
    </w:p>
    <w:p>
      <w:r>
        <w:t>汝阳县金堆城矿山修复与微电网一体化项目的总体设计遵循安全可靠、经济高效、绿色低碳、智能友好、标准规范五大原则。1. 安全可靠原则；2. 经济高效原则；3. 绿色低碳原则；4. 智能友好原则；5. 标准规范原则。</w:t>
      </w:r>
    </w:p>
    <w:p>
      <w:pPr>
        <w:pStyle w:val="5"/>
      </w:pPr>
      <w:r>
        <w:t>（二）26MW林光互补分布式光伏发电系统建设方案</w:t>
      </w:r>
    </w:p>
    <w:p>
      <w:r>
        <w:t>本项目拟利用金堆城钼业尾矿治理覆土区域约300亩矿山建设用地，建设装机容量26MW的林光互补分布式光伏发电系统。系统采用自发自用、余电上网模式，所发绿色电力通过10kv源网荷储系统优先供给周边工业企业。光伏组件拟选用单晶硅双面双玻半片组件，额定功率为650Wp，总装机容量26.0MW。</w:t>
      </w:r>
    </w:p>
    <w:p>
      <w:pPr>
        <w:pStyle w:val="5"/>
      </w:pPr>
      <w:r>
        <w:t>（三）3MW/6MWh电网侧储能系统建设方案</w:t>
      </w:r>
    </w:p>
    <w:p>
      <w:r>
        <w:t>该储能系统配套26MW林光互补分布式光伏电站，额定功率3MW，额定容量6MWh，以10kv电压等级接入项目配电系统。系统采用3套2MW/2MWh预制舱式磷酸铁锂电池储能方案。运行策略采用光伏消纳+削峰填谷+辅助服务模式。</w:t>
      </w:r>
    </w:p>
    <w:p>
      <w:pPr>
        <w:pStyle w:val="5"/>
      </w:pPr>
      <w:r>
        <w:t>（四）超级芦竹种植方案</w:t>
      </w:r>
    </w:p>
    <w:p>
      <w:r>
        <w:t>本项目在光伏阵列下方及阵列间隙区域种植超级芦竹300亩。种植区域分为三个区：A区（光伏板下种植区）约200亩；B区（阵列间隙种植区）约60亩；C区（边坡及道路两侧种植区）约40亩。</w:t>
      </w:r>
    </w:p>
    <w:p>
      <w:r>
        <w:t>超级芦竹采用中科院培育的改良品种。种植前进行土壤改良，采用水肥一体化智能灌溉系统。预计种植当年即可收割一次，此后每年可收割1次，亩产鲜芦竹约5吨（干重约2.5吨）。</w:t>
      </w:r>
    </w:p>
    <w:p>
      <w:pPr>
        <w:pStyle w:val="5"/>
      </w:pPr>
      <w:r>
        <w:t>（五）微电网与虚拟电厂系统架构</w:t>
      </w:r>
    </w:p>
    <w:p>
      <w:r>
        <w:t>本项目在汝阳县凤凰山矿山公园区域建设一个相对独立的微电网系统，并通过光纤专网及5G通信与区域电网构成统一管理的微电网群系统。微电网采用源-网-荷-储一体化组网模式，以10kv电压等级接入配电网。</w:t>
      </w:r>
    </w:p>
    <w:p>
      <w:pPr>
        <w:pStyle w:val="5"/>
      </w:pPr>
      <w:r>
        <w:t>（六）配套辅助工程建设方案</w:t>
      </w:r>
    </w:p>
    <w:p>
      <w:r>
        <w:t>电气系统采用自发自用、余电上网模式，通过10kv并网接入点与公共电网连接。监控系统采用分层分布式结构，分为站控层、网络层、间隔层。安全防护包括火灾自动报警与消防、电气安全、防雷与过电压保护、安全监控等。</w:t>
      </w:r>
    </w:p>
    <w:p>
      <w:pPr>
        <w:pStyle w:val="3"/>
      </w:pPr>
      <w:r>
        <w:t>4.4 数字化方案</w:t>
      </w:r>
    </w:p>
    <w:p>
      <w:pPr>
        <w:pStyle w:val="4"/>
      </w:pPr>
      <w:r>
        <w:t>4.4.1 数字化技术方案</w:t>
      </w:r>
    </w:p>
    <w:p>
      <w:r>
        <w:t>本项目采用基于数字孪生的源网荷储一体化架构，构建统一的能量管理平台。平台集成光伏发电预测、储能充放电策略优化、负荷需求响应功能，通过边缘计算与云端协同实现源网荷储动态平衡。</w:t>
      </w:r>
    </w:p>
    <w:p>
      <w:pPr>
        <w:pStyle w:val="4"/>
      </w:pPr>
      <w:r>
        <w:t>4.4.2 数字化设备方案</w:t>
      </w:r>
    </w:p>
    <w:p>
      <w:r>
        <w:t>所有光伏组件、储能电池簇、并网柜均配置智能传感器与通信模块，实现设备运行状态、环境参数、电气参数的全量实时采集。逆变器、储能PCS支持远程固件升级和参数整定。</w:t>
      </w:r>
    </w:p>
    <w:p>
      <w:pPr>
        <w:pStyle w:val="4"/>
      </w:pPr>
      <w:r>
        <w:t>4.4.3 数字化工程方案</w:t>
      </w:r>
    </w:p>
    <w:p>
      <w:r>
        <w:t>工程设计阶段采用BIM技术，对光伏支架、储能舱体、灌溉管网进行三维建模与碰撞检测。施工过程结合数字化移交系统，利用无人机倾斜摄影与RTK定位技术。</w:t>
      </w:r>
    </w:p>
    <w:p>
      <w:pPr>
        <w:pStyle w:val="4"/>
      </w:pPr>
      <w:r>
        <w:t>4.4.4 数字化建设管理方案</w:t>
      </w:r>
    </w:p>
    <w:p>
      <w:r>
        <w:t>建立项目全流程数字化管理平台，集成进度、质量、安全、物资管理模块。施工人员通过移动终端扫码签到；物资到货采用RFID标签管理。</w:t>
      </w:r>
    </w:p>
    <w:p>
      <w:pPr>
        <w:pStyle w:val="4"/>
      </w:pPr>
      <w:r>
        <w:t>4.4.5 数字化运维方案</w:t>
      </w:r>
    </w:p>
    <w:p>
      <w:r>
        <w:t>项目投产后的运维工作依托数字孪生平台开展。光伏系统利用组件级监控与气象站数据，自动识别组串阴影遮挡、热斑或逆变器效率衰减。储能系统基于云端算法分析电池循环寿命与充放电策略。</w:t>
      </w:r>
    </w:p>
    <w:p>
      <w:pPr>
        <w:pStyle w:val="4"/>
      </w:pPr>
      <w:r>
        <w:t>4.4.6 网络与数据安全保障方案</w:t>
      </w:r>
    </w:p>
    <w:p>
      <w:r>
        <w:t>项目构建分层防护的安全体系：物联网感知层采用设备身份认证与加密通信（TLS 1.3）；网络传输层部署工业防火墙与纵向加密装置；平台应用层实施基于角色的访问控制（RBAC）与操作审计日志。</w:t>
      </w:r>
    </w:p>
    <w:p>
      <w:pPr>
        <w:pStyle w:val="3"/>
      </w:pPr>
      <w:r>
        <w:t>4.5 建设管理方案</w:t>
      </w:r>
    </w:p>
    <w:p>
      <w:pPr>
        <w:pStyle w:val="4"/>
      </w:pPr>
      <w:r>
        <w:t>4.5.1 项目组织</w:t>
      </w:r>
    </w:p>
    <w:p>
      <w:r>
        <w:t>为确保项目的建设能够顺利的进行、顺利实施，尽快的投入运营，本项目建设期间，由建设单位组建建设领导小组，有效的负责项目的组织、协调与管理，并负责控制项目建设的进度、质量和投资。</w:t>
      </w:r>
    </w:p>
    <w:p>
      <w:pPr>
        <w:pStyle w:val="4"/>
      </w:pPr>
      <w:r>
        <w:t>4.5.2 项目管理</w:t>
      </w:r>
    </w:p>
    <w:p>
      <w:pPr>
        <w:pStyle w:val="5"/>
      </w:pPr>
      <w:r>
        <w:t>1、建设期管理</w:t>
      </w:r>
    </w:p>
    <w:p>
      <w:pPr>
        <w:rPr>
          <w:rFonts w:hint="eastAsia" w:ascii="宋体" w:hAnsi="宋体" w:eastAsia="宋体" w:cs="宋体"/>
        </w:rPr>
      </w:pPr>
      <w:r>
        <w:rPr>
          <w:rFonts w:hint="eastAsia" w:ascii="宋体" w:hAnsi="宋体" w:eastAsia="宋体" w:cs="宋体"/>
        </w:rPr>
        <w:t>整个项目建设要严格执行项目法人制、招投标制、质量监督管理制和工程合同制。要牢固树立"质量第一"的思想，严格把住各个环节的质量关。</w:t>
      </w:r>
    </w:p>
    <w:p>
      <w:pPr>
        <w:rPr>
          <w:rFonts w:hint="eastAsia" w:ascii="宋体" w:hAnsi="宋体" w:eastAsia="宋体" w:cs="宋体"/>
        </w:rPr>
      </w:pPr>
      <w:r>
        <w:rPr>
          <w:rFonts w:hint="eastAsia" w:ascii="宋体" w:hAnsi="宋体" w:eastAsia="宋体" w:cs="宋体"/>
        </w:rPr>
        <w:t>实行招标投标制：对项目勘察设计、施工、监理以及与工程建设有关的设备、主要材料等的采购，面向社会进行公开招标。</w:t>
      </w:r>
    </w:p>
    <w:p>
      <w:pPr>
        <w:rPr>
          <w:rFonts w:hint="eastAsia" w:ascii="宋体" w:hAnsi="宋体" w:eastAsia="宋体" w:cs="宋体"/>
        </w:rPr>
      </w:pPr>
      <w:r>
        <w:rPr>
          <w:rFonts w:hint="eastAsia" w:ascii="宋体" w:hAnsi="宋体" w:eastAsia="宋体" w:cs="宋体"/>
        </w:rPr>
        <w:t>实行工程质量终身责任制：对项目建设工程质量负主要责任的领导、对参建单位的领导人和直接责任人，实行工程质量终身负责制度。</w:t>
      </w:r>
    </w:p>
    <w:p>
      <w:pPr>
        <w:rPr>
          <w:rFonts w:hint="eastAsia" w:ascii="宋体" w:hAnsi="宋体" w:eastAsia="宋体" w:cs="宋体"/>
        </w:rPr>
      </w:pPr>
      <w:r>
        <w:rPr>
          <w:rFonts w:hint="eastAsia" w:ascii="宋体" w:hAnsi="宋体" w:eastAsia="宋体" w:cs="宋体"/>
        </w:rPr>
        <w:t>实行工程监理制：聘请有资质的监理单位和人员，对项目建设进行监理。</w:t>
      </w:r>
    </w:p>
    <w:p>
      <w:pPr>
        <w:rPr>
          <w:rFonts w:hint="eastAsia" w:ascii="宋体" w:hAnsi="宋体" w:eastAsia="宋体" w:cs="宋体"/>
        </w:rPr>
      </w:pPr>
      <w:r>
        <w:rPr>
          <w:rFonts w:hint="eastAsia" w:ascii="宋体" w:hAnsi="宋体" w:eastAsia="宋体" w:cs="宋体"/>
        </w:rPr>
        <w:t>严格按照基本建设程序办事：项目建设过程中，审计部门会同纪检检察部门应对建设项目随时进行审计和监督。</w:t>
      </w:r>
    </w:p>
    <w:p>
      <w:pPr>
        <w:rPr>
          <w:rFonts w:hint="eastAsia" w:ascii="宋体" w:hAnsi="宋体" w:eastAsia="宋体" w:cs="宋体"/>
        </w:rPr>
      </w:pPr>
      <w:r>
        <w:rPr>
          <w:rFonts w:hint="eastAsia" w:ascii="宋体" w:hAnsi="宋体" w:eastAsia="宋体" w:cs="宋体"/>
        </w:rPr>
        <w:t>严格项目资金管理：实行封闭运行的财务管理机制，将建设项目分户建卡，实行专账管理、专款专用。</w:t>
      </w:r>
    </w:p>
    <w:p>
      <w:pPr>
        <w:pStyle w:val="5"/>
      </w:pPr>
      <w:r>
        <w:t>2、运营期管理</w:t>
      </w:r>
    </w:p>
    <w:p>
      <w:r>
        <w:t>运营管理包括节能与节水管理、耗材管理、绿化管理、垃圾管理四方面内容。</w:t>
      </w:r>
    </w:p>
    <w:p>
      <w:pPr>
        <w:pStyle w:val="4"/>
      </w:pPr>
      <w:r>
        <w:t>4.5.3 实施进度</w:t>
      </w:r>
    </w:p>
    <w:p>
      <w:r>
        <w:t>本项目可行性研究报告批准后，建设单位严格按照国家对建设工程的有关规定，积极开展工作。项目实施主要包括以下五个部分：1、前期工作；2、设计工作；3、施工准备；4、工程施工；5、竣工验收。依据项目确定的规划设计方案，项目的建设工期拟定为1年。</w:t>
      </w:r>
    </w:p>
    <w:p>
      <w:pPr>
        <w:pStyle w:val="4"/>
      </w:pPr>
      <w:r>
        <w:t>4.5.4 项目招投标</w:t>
      </w:r>
    </w:p>
    <w:p>
      <w:r>
        <w:t>本项目招标范围包括项目的勘察、设计、建安工程施工、设备采购、工程监理等。拟采取委托招标形式，采用公开招标方式，实行合理低价中标的原则。</w:t>
      </w:r>
    </w:p>
    <w:p>
      <w:pPr>
        <w:pStyle w:val="2"/>
      </w:pPr>
      <w:r>
        <w:t>第五章 项目运营方案</w:t>
      </w:r>
    </w:p>
    <w:p>
      <w:pPr>
        <w:pStyle w:val="3"/>
      </w:pPr>
      <w:r>
        <w:t>5.1 运营方案</w:t>
      </w:r>
    </w:p>
    <w:p>
      <w:pPr>
        <w:pStyle w:val="4"/>
      </w:pPr>
      <w:r>
        <w:t>5.1.1 运营服务内容</w:t>
      </w:r>
    </w:p>
    <w:p>
      <w:r>
        <w:t>本项目为新能源综合开发利用项目，运营内容涵盖光伏发电、储能调节、微电网调度、虚拟电厂运营及超级芦竹种植五大业务板块。光伏发电板块作为核心业态，通过在尾矿治理形成的林地上建设分布式光伏电站，采用自发自用、就近消纳模式，为金堆城钼业公司提供清洁、低碳、经济的电力供应，年发电量可满足企业部分生产用电需求。储能系统板块配套建设电化学储能设施，通过峰谷充放电策略实现电力时移调节。微电网运营板块构建源网荷储一体化微电网系统，实现光伏发电、储能调节与企业用电负荷的实时匹配与优化控制。虚拟电厂运营板块建设智能化运营平台，聚合分布式光伏、储能系统及可控负荷资源，参与电力市场交易和电网辅助服务。超级芦竹种植板块在光伏板下方开展能源植物种植，实现生态修复与能源产出的有机结合。</w:t>
      </w:r>
    </w:p>
    <w:p>
      <w:pPr>
        <w:pStyle w:val="4"/>
      </w:pPr>
      <w:r>
        <w:t>5.1.2 运营服务标准</w:t>
      </w:r>
    </w:p>
    <w:p>
      <w:pPr>
        <w:pStyle w:val="5"/>
      </w:pPr>
      <w:r>
        <w:t>1、光伏发电服务标准</w:t>
      </w:r>
    </w:p>
    <w:p>
      <w:r>
        <w:t>光伏发电服务遵循《光伏发电站设计规范》《分布式光伏发电并网接口技术规范》等国家及行业强制性标准。质量要求方面，光伏组件光电转换效率须达到行业主流水平，发电系统年利用小时数须符合河南省太阳能资源区划标准。合规要求方面，严格依照国家电力安全生产法规开展运营。</w:t>
      </w:r>
    </w:p>
    <w:p>
      <w:pPr>
        <w:pStyle w:val="5"/>
      </w:pPr>
      <w:r>
        <w:t>2、储能系统服务标准</w:t>
      </w:r>
    </w:p>
    <w:p>
      <w:r>
        <w:t>储能系统服务遵循《电化学储能电站设计规范》《储能电站运行维护规程》等国家及行业标准。质量要求方面，储能系统充放电转换效率须达到行业先进水平，电池循环寿命须满足设计使用年限。</w:t>
      </w:r>
    </w:p>
    <w:p>
      <w:pPr>
        <w:pStyle w:val="5"/>
      </w:pPr>
      <w:r>
        <w:t>3、微电网运营服务标准</w:t>
      </w:r>
    </w:p>
    <w:p>
      <w:r>
        <w:t>微电网运营遵循《微电网接入电力系统技术规定》《智能微电网技术导则》等国家及行业标准。质量要求方面，微电网供电可靠性须达到设计标准，供电可靠率满足工业生产用电需求。</w:t>
      </w:r>
    </w:p>
    <w:p>
      <w:pPr>
        <w:pStyle w:val="5"/>
      </w:pPr>
      <w:r>
        <w:t>4、虚拟电厂平台服务标准</w:t>
      </w:r>
    </w:p>
    <w:p>
      <w:r>
        <w:t>虚拟电厂运营遵循《虚拟电厂资源配置与评估技术规范》《电力需求响应系统技术导则》等行业标准。质量要求方面，虚拟电厂平台数据采集准确率、负荷预测精度和交易指令执行率均达到行业先进水平。</w:t>
      </w:r>
    </w:p>
    <w:p>
      <w:pPr>
        <w:pStyle w:val="5"/>
      </w:pPr>
      <w:r>
        <w:t>5、超级芦竹种植服务标准</w:t>
      </w:r>
    </w:p>
    <w:p>
      <w:r>
        <w:t>超级芦竹种植遵循现代农业种植标准和生物质能源原料质量标准。质量要求方面，超级芦竹种苗须选用经国家或省级审定的高产优质品种，年产干生物质产量达到预期目标。</w:t>
      </w:r>
    </w:p>
    <w:p>
      <w:pPr>
        <w:pStyle w:val="4"/>
      </w:pPr>
      <w:r>
        <w:t>5.1.3 运营维护与修理</w:t>
      </w:r>
    </w:p>
    <w:p>
      <w:pPr>
        <w:rPr>
          <w:rFonts w:ascii="Times New Roman" w:hAnsi="Times New Roman" w:eastAsia="宋体" w:cstheme="minorBidi"/>
        </w:rPr>
      </w:pPr>
      <w:r>
        <w:rPr>
          <w:rFonts w:ascii="Times New Roman" w:hAnsi="Times New Roman" w:eastAsia="宋体" w:cstheme="minorBidi"/>
        </w:rPr>
        <w:t>光伏发电系统维护：定期清洁光伏组件表面灰尘和污垢，检查电缆连接和支架紧固状况，监测逆变器运行状态和发电效率。</w:t>
      </w:r>
    </w:p>
    <w:p>
      <w:pPr>
        <w:rPr>
          <w:rFonts w:ascii="Times New Roman" w:hAnsi="Times New Roman" w:eastAsia="宋体" w:cstheme="minorBidi"/>
        </w:rPr>
      </w:pPr>
      <w:r>
        <w:rPr>
          <w:rFonts w:ascii="Times New Roman" w:hAnsi="Times New Roman" w:eastAsia="宋体" w:cstheme="minorBidi"/>
        </w:rPr>
        <w:t>储能系统维护：监测电池组充放电性能和容量衰减情况，检查电池管理系统和温控系统运行状态，定期校准储能变流器参数。</w:t>
      </w:r>
    </w:p>
    <w:p>
      <w:pPr>
        <w:rPr>
          <w:rFonts w:ascii="Times New Roman" w:hAnsi="Times New Roman" w:eastAsia="宋体" w:cstheme="minorBidi"/>
        </w:rPr>
      </w:pPr>
      <w:r>
        <w:rPr>
          <w:rFonts w:ascii="Times New Roman" w:hAnsi="Times New Roman" w:eastAsia="宋体" w:cstheme="minorBidi"/>
        </w:rPr>
        <w:t>微电网系统维护：检查配电设备运行状态和继电保护装置有效性，测试微电网并离网切换功能。</w:t>
      </w:r>
    </w:p>
    <w:p>
      <w:pPr>
        <w:rPr>
          <w:rFonts w:ascii="Times New Roman" w:hAnsi="Times New Roman" w:eastAsia="宋体" w:cstheme="minorBidi"/>
        </w:rPr>
      </w:pPr>
      <w:r>
        <w:rPr>
          <w:rFonts w:ascii="Times New Roman" w:hAnsi="Times New Roman" w:eastAsia="宋体" w:cstheme="minorBidi"/>
        </w:rPr>
        <w:t>虚拟电厂平台维护：定期检查数据采集终端和通讯设备运行状态，更新负荷预测算法和交易策略模型。</w:t>
      </w:r>
    </w:p>
    <w:p>
      <w:pPr>
        <w:rPr>
          <w:rFonts w:ascii="Times New Roman" w:hAnsi="Times New Roman" w:eastAsia="宋体" w:cstheme="minorBidi"/>
        </w:rPr>
      </w:pPr>
      <w:r>
        <w:rPr>
          <w:rFonts w:ascii="Times New Roman" w:hAnsi="Times New Roman" w:eastAsia="宋体" w:cstheme="minorBidi"/>
        </w:rPr>
        <w:t>超级芦竹种植维护：定期巡查作物生长状况和病虫害发生情况，适时进行灌溉施肥和除草作业。</w:t>
      </w:r>
    </w:p>
    <w:p>
      <w:pPr>
        <w:pStyle w:val="3"/>
      </w:pPr>
      <w:r>
        <w:t>5.2 安全保障方案</w:t>
      </w:r>
    </w:p>
    <w:p>
      <w:pPr>
        <w:pStyle w:val="4"/>
      </w:pPr>
      <w:r>
        <w:t>5.2.1 运营中危险因素及危险程度</w:t>
      </w:r>
    </w:p>
    <w:p>
      <w:pPr>
        <w:rPr>
          <w:rFonts w:ascii="Times New Roman" w:hAnsi="Times New Roman" w:eastAsia="宋体" w:cstheme="minorBidi"/>
        </w:rPr>
      </w:pPr>
      <w:r>
        <w:rPr>
          <w:rFonts w:ascii="Times New Roman" w:hAnsi="Times New Roman" w:eastAsia="宋体" w:cstheme="minorBidi"/>
        </w:rPr>
        <w:t>火灾消防风险：储能电池在过充、过放或热失控情况下存在起火燃烧风险；光伏组件和直流电缆在高温天气或电气故障时存在引燃周边杂草等可燃物的风险。危险等级为重大风险。</w:t>
      </w:r>
    </w:p>
    <w:p>
      <w:pPr>
        <w:rPr>
          <w:rFonts w:ascii="Times New Roman" w:hAnsi="Times New Roman" w:eastAsia="宋体" w:cstheme="minorBidi"/>
        </w:rPr>
      </w:pPr>
      <w:r>
        <w:rPr>
          <w:rFonts w:ascii="Times New Roman" w:hAnsi="Times New Roman" w:eastAsia="宋体" w:cstheme="minorBidi"/>
        </w:rPr>
        <w:t>机电设备风险：变压器、逆变器等电气设备在长期运行中可能出现绝缘老化、接触不良等故障。危险等级为较大风险。</w:t>
      </w:r>
    </w:p>
    <w:p>
      <w:pPr>
        <w:rPr>
          <w:rFonts w:ascii="Times New Roman" w:hAnsi="Times New Roman" w:eastAsia="宋体" w:cstheme="minorBidi"/>
        </w:rPr>
      </w:pPr>
      <w:r>
        <w:rPr>
          <w:rFonts w:ascii="Times New Roman" w:hAnsi="Times New Roman" w:eastAsia="宋体" w:cstheme="minorBidi"/>
        </w:rPr>
        <w:t>人员作业风险：光伏组件清洗和检修作业需登高操作，存在高处坠落风险；电气设备检修维护涉及带电作业，存在触电伤害风险。危险等级为较大风险。</w:t>
      </w:r>
    </w:p>
    <w:p>
      <w:pPr>
        <w:rPr>
          <w:rFonts w:ascii="Times New Roman" w:hAnsi="Times New Roman" w:eastAsia="宋体" w:cstheme="minorBidi"/>
        </w:rPr>
      </w:pPr>
      <w:r>
        <w:rPr>
          <w:rFonts w:ascii="Times New Roman" w:hAnsi="Times New Roman" w:eastAsia="宋体" w:cstheme="minorBidi"/>
        </w:rPr>
        <w:t>公共区域安全风险：光伏支架基础和立柱存在人员磕碰绊倒风险；储能设施周边区域在设备故障时可能存在高温、有害气体释放风险。危险等级为一般风险。</w:t>
      </w:r>
    </w:p>
    <w:p>
      <w:pPr>
        <w:rPr>
          <w:rFonts w:ascii="Times New Roman" w:hAnsi="Times New Roman" w:eastAsia="宋体" w:cstheme="minorBidi"/>
        </w:rPr>
      </w:pPr>
      <w:r>
        <w:rPr>
          <w:rFonts w:ascii="Times New Roman" w:hAnsi="Times New Roman" w:eastAsia="宋体" w:cstheme="minorBidi"/>
        </w:rPr>
        <w:t>治安及外来人员风险：项目场区地理位置相对偏远，存在不法人员入侵盗窃光伏组件、电缆等贵重设备的风险。危险等级为一般风险。</w:t>
      </w:r>
    </w:p>
    <w:p>
      <w:pPr>
        <w:pStyle w:val="4"/>
      </w:pPr>
      <w:r>
        <w:t>5.2.2 安全生产责任</w:t>
      </w:r>
    </w:p>
    <w:p>
      <w:r>
        <w:t>项目负责人是安全生产第一责任人，对本项目安全生产工作负总责。安全管理人员在项目负责人领导下开展日常安全管理工作。各业务部门管理人员对本部门业务范围安全生产工作负直接管理责任。一线操作人员对本岗位安全生产工作负直接责任。项目建立安全责任传导机制、安全责任考核机制、安全隐患上报机制和安全责任追溯机制。</w:t>
      </w:r>
    </w:p>
    <w:p>
      <w:pPr>
        <w:pStyle w:val="4"/>
      </w:pPr>
      <w:r>
        <w:t>5.2.3 建立安全管理机构</w:t>
      </w:r>
    </w:p>
    <w:p>
      <w:pPr>
        <w:rPr>
          <w:rFonts w:ascii="Times New Roman" w:hAnsi="Times New Roman" w:eastAsia="宋体" w:cstheme="minorBidi"/>
        </w:rPr>
      </w:pPr>
      <w:r>
        <w:rPr>
          <w:rFonts w:ascii="Times New Roman" w:hAnsi="Times New Roman" w:eastAsia="宋体" w:cstheme="minorBidi"/>
        </w:rPr>
        <w:t>安全领导小组：由项目负责人担任组长，成员包括各部门负责人和安全管理骨干，是项目安全生产工作的最高决策机构。</w:t>
      </w:r>
    </w:p>
    <w:p>
      <w:pPr>
        <w:rPr>
          <w:rFonts w:ascii="Times New Roman" w:hAnsi="Times New Roman" w:eastAsia="宋体" w:cstheme="minorBidi"/>
        </w:rPr>
      </w:pPr>
      <w:r>
        <w:rPr>
          <w:rFonts w:ascii="Times New Roman" w:hAnsi="Times New Roman" w:eastAsia="宋体" w:cstheme="minorBidi"/>
        </w:rPr>
        <w:t>专职安全管理岗：配备具有注册安全工程师资格的专职安全管理人员，负责日常安全监督检查、隐患排查治理、安全教育培训和应急管理等工作。</w:t>
      </w:r>
    </w:p>
    <w:p>
      <w:pPr>
        <w:rPr>
          <w:rFonts w:ascii="Times New Roman" w:hAnsi="Times New Roman" w:eastAsia="宋体" w:cstheme="minorBidi"/>
        </w:rPr>
      </w:pPr>
      <w:r>
        <w:rPr>
          <w:rFonts w:ascii="Times New Roman" w:hAnsi="Times New Roman" w:eastAsia="宋体" w:cstheme="minorBidi"/>
        </w:rPr>
        <w:t>各业态安全负责人：光伏发电、储能系统、微电网运营、虚拟电厂和超级芦竹种植五个业态分别设立兼职安全负责人。</w:t>
      </w:r>
    </w:p>
    <w:p>
      <w:pPr>
        <w:rPr>
          <w:rFonts w:ascii="Times New Roman" w:hAnsi="Times New Roman" w:eastAsia="宋体" w:cstheme="minorBidi"/>
        </w:rPr>
      </w:pPr>
      <w:r>
        <w:rPr>
          <w:rFonts w:ascii="Times New Roman" w:hAnsi="Times New Roman" w:eastAsia="宋体" w:cstheme="minorBidi"/>
        </w:rPr>
        <w:t>现场巡查班组：设立专职安全巡查班组，实行二十四小时轮班巡查制度。</w:t>
      </w:r>
    </w:p>
    <w:p>
      <w:pPr>
        <w:rPr>
          <w:rFonts w:ascii="Times New Roman" w:hAnsi="Times New Roman" w:eastAsia="宋体" w:cstheme="minorBidi"/>
        </w:rPr>
      </w:pPr>
      <w:r>
        <w:rPr>
          <w:rFonts w:ascii="Times New Roman" w:hAnsi="Times New Roman" w:eastAsia="宋体" w:cstheme="minorBidi"/>
        </w:rPr>
        <w:t>应急处置小组：组建由各部门骨干组成的应急处置小组，下设通讯联络组、抢险救援组、疏散引导组和后勤保障组。</w:t>
      </w:r>
    </w:p>
    <w:p>
      <w:pPr>
        <w:pStyle w:val="4"/>
      </w:pPr>
      <w:r>
        <w:t>5.2.4 建立安全管理体系</w:t>
      </w:r>
    </w:p>
    <w:p>
      <w:pPr>
        <w:rPr>
          <w:rFonts w:ascii="Times New Roman" w:hAnsi="Times New Roman" w:eastAsia="宋体" w:cstheme="minorBidi"/>
        </w:rPr>
      </w:pPr>
      <w:r>
        <w:rPr>
          <w:rFonts w:ascii="Times New Roman" w:hAnsi="Times New Roman" w:eastAsia="宋体" w:cstheme="minorBidi"/>
        </w:rPr>
        <w:t>安全制度体系：建立涵盖安全生产责任制、安全操作规程、设备管理制度、消防安全制度、应急管理制度等内容的制度体系。</w:t>
      </w:r>
    </w:p>
    <w:p>
      <w:pPr>
        <w:rPr>
          <w:rFonts w:ascii="Times New Roman" w:hAnsi="Times New Roman" w:eastAsia="宋体" w:cstheme="minorBidi"/>
        </w:rPr>
      </w:pPr>
      <w:r>
        <w:rPr>
          <w:rFonts w:ascii="Times New Roman" w:hAnsi="Times New Roman" w:eastAsia="宋体" w:cstheme="minorBidi"/>
        </w:rPr>
        <w:t>日常巡查体系：制定安全巡查路线、巡查内容和巡查频次标准，建立日巡查、周检查和月度综合检查的多层级巡查机制。</w:t>
      </w:r>
    </w:p>
    <w:p>
      <w:pPr>
        <w:rPr>
          <w:rFonts w:ascii="Times New Roman" w:hAnsi="Times New Roman" w:eastAsia="宋体" w:cstheme="minorBidi"/>
        </w:rPr>
      </w:pPr>
      <w:r>
        <w:rPr>
          <w:rFonts w:ascii="Times New Roman" w:hAnsi="Times New Roman" w:eastAsia="宋体" w:cstheme="minorBidi"/>
        </w:rPr>
        <w:t>安全培训体系：制定年度安全培训计划，实行新员工三级安全教育、转岗人员专项培训和全员定期再教育制度。</w:t>
      </w:r>
    </w:p>
    <w:p>
      <w:pPr>
        <w:rPr>
          <w:rFonts w:ascii="Times New Roman" w:hAnsi="Times New Roman" w:eastAsia="宋体" w:cstheme="minorBidi"/>
        </w:rPr>
      </w:pPr>
      <w:r>
        <w:rPr>
          <w:rFonts w:ascii="Times New Roman" w:hAnsi="Times New Roman" w:eastAsia="宋体" w:cstheme="minorBidi"/>
        </w:rPr>
        <w:t>隐患整改体系：建立隐患排查治理台账，对排查出的隐患按照严重程度分级分类管理。</w:t>
      </w:r>
    </w:p>
    <w:p>
      <w:pPr>
        <w:rPr>
          <w:rFonts w:ascii="Times New Roman" w:hAnsi="Times New Roman" w:eastAsia="宋体" w:cstheme="minorBidi"/>
        </w:rPr>
      </w:pPr>
      <w:r>
        <w:rPr>
          <w:rFonts w:ascii="Times New Roman" w:hAnsi="Times New Roman" w:eastAsia="宋体" w:cstheme="minorBidi"/>
        </w:rPr>
        <w:t>监督考核体系：建立安全绩效考核评分标准和奖惩办法，将安全指标纳入部门和员工绩效考核体系。</w:t>
      </w:r>
    </w:p>
    <w:p>
      <w:pPr>
        <w:pStyle w:val="4"/>
      </w:pPr>
      <w:r>
        <w:t>5.2.5 安全防范措施</w:t>
      </w:r>
    </w:p>
    <w:p>
      <w:pPr>
        <w:rPr>
          <w:rFonts w:ascii="Times New Roman" w:hAnsi="Times New Roman" w:eastAsia="宋体" w:cstheme="minorBidi"/>
        </w:rPr>
      </w:pPr>
      <w:r>
        <w:rPr>
          <w:rFonts w:ascii="Times New Roman" w:hAnsi="Times New Roman" w:eastAsia="宋体" w:cstheme="minorBidi"/>
        </w:rPr>
        <w:t>人员行为防范：建立安全准入制度，特种作业人员须持证上岗，一般岗位人员须经安全培训考核合格后方可上岗作业。</w:t>
      </w:r>
    </w:p>
    <w:p>
      <w:pPr>
        <w:rPr>
          <w:rFonts w:ascii="Times New Roman" w:hAnsi="Times New Roman" w:eastAsia="宋体" w:cstheme="minorBidi"/>
        </w:rPr>
      </w:pPr>
      <w:r>
        <w:rPr>
          <w:rFonts w:ascii="Times New Roman" w:hAnsi="Times New Roman" w:eastAsia="宋体" w:cstheme="minorBidi"/>
        </w:rPr>
        <w:t>设施设备防护：电气设备配置漏电保护、过载保护和接地保护装置；储能设施配备自动灭火系统和可燃气体监测报警装置。</w:t>
      </w:r>
    </w:p>
    <w:p>
      <w:pPr>
        <w:rPr>
          <w:rFonts w:ascii="Times New Roman" w:hAnsi="Times New Roman" w:eastAsia="宋体" w:cstheme="minorBidi"/>
        </w:rPr>
      </w:pPr>
      <w:r>
        <w:rPr>
          <w:rFonts w:ascii="Times New Roman" w:hAnsi="Times New Roman" w:eastAsia="宋体" w:cstheme="minorBidi"/>
        </w:rPr>
        <w:t>物理隔离防范：储能区域和配电设施区设置实体围墙和安全警示标识，实行封闭式管理。</w:t>
      </w:r>
    </w:p>
    <w:p>
      <w:pPr>
        <w:rPr>
          <w:rFonts w:ascii="Times New Roman" w:hAnsi="Times New Roman" w:eastAsia="宋体" w:cstheme="minorBidi"/>
        </w:rPr>
      </w:pPr>
      <w:r>
        <w:rPr>
          <w:rFonts w:ascii="Times New Roman" w:hAnsi="Times New Roman" w:eastAsia="宋体" w:cstheme="minorBidi"/>
        </w:rPr>
        <w:t>智能技防管控：项目场区安装视频监控系统实现全覆盖监控，配置红外对射和周界报警装置。</w:t>
      </w:r>
    </w:p>
    <w:p>
      <w:pPr>
        <w:rPr>
          <w:rFonts w:ascii="Times New Roman" w:hAnsi="Times New Roman" w:eastAsia="宋体" w:cstheme="minorBidi"/>
        </w:rPr>
      </w:pPr>
      <w:r>
        <w:rPr>
          <w:rFonts w:ascii="Times New Roman" w:hAnsi="Times New Roman" w:eastAsia="宋体" w:cstheme="minorBidi"/>
        </w:rPr>
        <w:t>环境综合整治：定期清理光伏阵列下方和场区道路两侧的杂草和易燃物品，消除火灾隐患。</w:t>
      </w:r>
    </w:p>
    <w:p>
      <w:pPr>
        <w:pStyle w:val="4"/>
      </w:pPr>
      <w:r>
        <w:t>5.2.6 项目安全应急管理预案</w:t>
      </w:r>
    </w:p>
    <w:p>
      <w:r>
        <w:t>根据实际情况建立应急响应机制，包括应急组织架构、应急响应程序、应急调度指挥等方面。应急预案中对可能发生的应急事故进行分类、评估和判断。提前申购和储备物资和设备，准备充分、有序的应急物资。组织企业内部的应急培训，针对不同岗位的员工，开展不同层次、不同内容的应急培训。建立应急调度与信息化系统，快速响应线上网络安全问题。定期开展应急演练，包括突发事件处理、防火演练、应急疏散演练等。建立完备、连通的应急通讯和报警系统。建立应急事件记录和督查制度。</w:t>
      </w:r>
    </w:p>
    <w:p>
      <w:pPr>
        <w:pStyle w:val="3"/>
      </w:pPr>
      <w:r>
        <w:t>5.3 运营管理方案</w:t>
      </w:r>
    </w:p>
    <w:p>
      <w:pPr>
        <w:pStyle w:val="4"/>
      </w:pPr>
      <w:r>
        <w:t>5.3.1 运营机构设置方案</w:t>
      </w:r>
    </w:p>
    <w:p>
      <w:r>
        <w:t>为确保项目的建设能够顺利的进行、顺利实施，本项目建设期间，由建设单位组建建设领导小组，有效的负责项目的组织、协调与管理。项目指挥部下设办公室、工程管理部、物资供应部、计划财务部等职能部门。</w:t>
      </w:r>
    </w:p>
    <w:p>
      <w:pPr>
        <w:pStyle w:val="4"/>
      </w:pPr>
      <w:r>
        <w:t>5.3.2 运营模式和治理结构</w:t>
      </w:r>
    </w:p>
    <w:p>
      <w:pPr>
        <w:pStyle w:val="5"/>
      </w:pPr>
      <w:r>
        <w:t>1、运营模式</w:t>
      </w:r>
    </w:p>
    <w:p>
      <w:pPr>
        <w:rPr>
          <w:rFonts w:ascii="Times New Roman" w:hAnsi="Times New Roman" w:eastAsia="宋体" w:cstheme="minorBidi"/>
        </w:rPr>
      </w:pPr>
      <w:r>
        <w:rPr>
          <w:rFonts w:ascii="Times New Roman" w:hAnsi="Times New Roman" w:eastAsia="宋体" w:cstheme="minorBidi"/>
        </w:rPr>
        <w:t>本项目采用统一管理、分区运营、业态差异化服务、一体化运维的整体运营模式。</w:t>
      </w:r>
    </w:p>
    <w:p>
      <w:pPr>
        <w:rPr>
          <w:rFonts w:ascii="Times New Roman" w:hAnsi="Times New Roman" w:eastAsia="宋体" w:cstheme="minorBidi"/>
        </w:rPr>
      </w:pPr>
      <w:r>
        <w:rPr>
          <w:rFonts w:ascii="Times New Roman" w:hAnsi="Times New Roman" w:eastAsia="宋体" w:cstheme="minorBidi"/>
        </w:rPr>
        <w:t>光伏发电板块采取计划性巡检和预防性维护模式，建立智能化监控平台实时监测各光伏阵列发电数据。</w:t>
      </w:r>
    </w:p>
    <w:p>
      <w:pPr>
        <w:rPr>
          <w:rFonts w:ascii="Times New Roman" w:hAnsi="Times New Roman" w:eastAsia="宋体" w:cstheme="minorBidi"/>
        </w:rPr>
      </w:pPr>
      <w:r>
        <w:rPr>
          <w:rFonts w:ascii="Times New Roman" w:hAnsi="Times New Roman" w:eastAsia="宋体" w:cstheme="minorBidi"/>
        </w:rPr>
        <w:t>储能系统板块采取策略化充放电管理模式，根据峰谷电价时段和光伏发电出力预测制定日充放电策略。</w:t>
      </w:r>
    </w:p>
    <w:p>
      <w:pPr>
        <w:rPr>
          <w:rFonts w:ascii="Times New Roman" w:hAnsi="Times New Roman" w:eastAsia="宋体" w:cstheme="minorBidi"/>
        </w:rPr>
      </w:pPr>
      <w:r>
        <w:rPr>
          <w:rFonts w:ascii="Times New Roman" w:hAnsi="Times New Roman" w:eastAsia="宋体" w:cstheme="minorBidi"/>
        </w:rPr>
        <w:t>微电网运营板块采取调度优化模式，通过能量管理系统实现源网荷储协调控制。</w:t>
      </w:r>
    </w:p>
    <w:p>
      <w:pPr>
        <w:rPr>
          <w:rFonts w:ascii="Times New Roman" w:hAnsi="Times New Roman" w:eastAsia="宋体" w:cstheme="minorBidi"/>
        </w:rPr>
      </w:pPr>
      <w:r>
        <w:rPr>
          <w:rFonts w:ascii="Times New Roman" w:hAnsi="Times New Roman" w:eastAsia="宋体" w:cstheme="minorBidi"/>
        </w:rPr>
        <w:t>虚拟电厂板块采取平台化聚合交易模式，整合分布式光伏、储能和可控负荷资源参与电力市场交易。</w:t>
      </w:r>
    </w:p>
    <w:p>
      <w:pPr>
        <w:rPr>
          <w:rFonts w:ascii="Times New Roman" w:hAnsi="Times New Roman" w:eastAsia="宋体" w:cstheme="minorBidi"/>
        </w:rPr>
      </w:pPr>
      <w:r>
        <w:rPr>
          <w:rFonts w:ascii="Times New Roman" w:hAnsi="Times New Roman" w:eastAsia="宋体" w:cstheme="minorBidi"/>
        </w:rPr>
        <w:t>超级芦竹种植板块采取订单化农业生产模式，建立标准化种植技术规程和品质管控体系。</w:t>
      </w:r>
    </w:p>
    <w:p>
      <w:pPr>
        <w:pStyle w:val="5"/>
      </w:pPr>
      <w:r>
        <w:t>2、治理结构</w:t>
      </w:r>
    </w:p>
    <w:p>
      <w:pPr>
        <w:rPr>
          <w:rFonts w:ascii="Times New Roman" w:hAnsi="Times New Roman" w:eastAsia="宋体" w:cstheme="minorBidi"/>
        </w:rPr>
      </w:pPr>
      <w:r>
        <w:rPr>
          <w:rFonts w:ascii="Times New Roman" w:hAnsi="Times New Roman" w:eastAsia="宋体" w:cstheme="minorBidi"/>
        </w:rPr>
        <w:t>决策层：由建设单位领导和外部专家组成项目决策委员会，负责制定项目发展战略、审批重大投资计划。</w:t>
      </w:r>
    </w:p>
    <w:p>
      <w:pPr>
        <w:rPr>
          <w:rFonts w:ascii="Times New Roman" w:hAnsi="Times New Roman" w:eastAsia="宋体" w:cstheme="minorBidi"/>
        </w:rPr>
      </w:pPr>
      <w:r>
        <w:rPr>
          <w:rFonts w:ascii="Times New Roman" w:hAnsi="Times New Roman" w:eastAsia="宋体" w:cstheme="minorBidi"/>
        </w:rPr>
        <w:t>管理层：设立项目总经理和副总经理，下设光伏发电部、储能系统部、微电网运营部、虚拟电厂运营部、超级芦竹种植部和综合管理部六个职能部门。</w:t>
      </w:r>
    </w:p>
    <w:p>
      <w:pPr>
        <w:rPr>
          <w:rFonts w:ascii="Times New Roman" w:hAnsi="Times New Roman" w:eastAsia="宋体" w:cstheme="minorBidi"/>
        </w:rPr>
      </w:pPr>
      <w:r>
        <w:rPr>
          <w:rFonts w:ascii="Times New Roman" w:hAnsi="Times New Roman" w:eastAsia="宋体" w:cstheme="minorBidi"/>
        </w:rPr>
        <w:t>执行层：由各业务部门技术人员和一线操作人员组成，负责具体业务执行和设备运维操作。</w:t>
      </w:r>
    </w:p>
    <w:p>
      <w:pPr>
        <w:rPr>
          <w:rFonts w:ascii="Times New Roman" w:hAnsi="Times New Roman" w:eastAsia="宋体" w:cstheme="minorBidi"/>
        </w:rPr>
      </w:pPr>
      <w:r>
        <w:rPr>
          <w:rFonts w:ascii="Times New Roman" w:hAnsi="Times New Roman" w:eastAsia="宋体" w:cstheme="minorBidi"/>
        </w:rPr>
        <w:t>监督层：设立安全监察部和财务审计部，负责对项目运营安全、财务状况和服务质量进行独立监督检查。</w:t>
      </w:r>
    </w:p>
    <w:p>
      <w:pPr>
        <w:pStyle w:val="4"/>
      </w:pPr>
      <w:r>
        <w:t>5.3.3 项目绩效考核方案、奖惩机制</w:t>
      </w:r>
    </w:p>
    <w:p>
      <w:pPr>
        <w:pStyle w:val="5"/>
      </w:pPr>
      <w:r>
        <w:t>1、绩效考核方案</w:t>
      </w:r>
    </w:p>
    <w:p>
      <w:pPr>
        <w:rPr>
          <w:rFonts w:ascii="Times New Roman" w:hAnsi="Times New Roman" w:eastAsia="宋体" w:cstheme="minorBidi"/>
        </w:rPr>
      </w:pPr>
      <w:r>
        <w:rPr>
          <w:rFonts w:ascii="Times New Roman" w:hAnsi="Times New Roman" w:eastAsia="宋体" w:cstheme="minorBidi"/>
        </w:rPr>
        <w:t>运营效率指标：主要考核光伏发电系统年利用小时数、储能系统充放电转换效率、微电网供电可靠率和虚拟电厂交易收益水平。</w:t>
      </w:r>
    </w:p>
    <w:p>
      <w:pPr>
        <w:rPr>
          <w:rFonts w:ascii="Times New Roman" w:hAnsi="Times New Roman" w:eastAsia="宋体" w:cstheme="minorBidi"/>
        </w:rPr>
      </w:pPr>
      <w:r>
        <w:rPr>
          <w:rFonts w:ascii="Times New Roman" w:hAnsi="Times New Roman" w:eastAsia="宋体" w:cstheme="minorBidi"/>
        </w:rPr>
        <w:t>安全质量指标：主要考核设备可用率、安全事故发生次数、隐患整改完成率和供电质量合格率。</w:t>
      </w:r>
    </w:p>
    <w:p>
      <w:pPr>
        <w:rPr>
          <w:rFonts w:ascii="Times New Roman" w:hAnsi="Times New Roman" w:eastAsia="宋体" w:cstheme="minorBidi"/>
        </w:rPr>
      </w:pPr>
      <w:r>
        <w:rPr>
          <w:rFonts w:ascii="Times New Roman" w:hAnsi="Times New Roman" w:eastAsia="宋体" w:cstheme="minorBidi"/>
        </w:rPr>
        <w:t>客户服务指标：主要考核供电可靠性、电费结算及时率、用电企业满意度和投诉处理响应速度。</w:t>
      </w:r>
    </w:p>
    <w:p>
      <w:pPr>
        <w:rPr>
          <w:rFonts w:ascii="Times New Roman" w:hAnsi="Times New Roman" w:eastAsia="宋体" w:cstheme="minorBidi"/>
        </w:rPr>
      </w:pPr>
      <w:r>
        <w:rPr>
          <w:rFonts w:ascii="Times New Roman" w:hAnsi="Times New Roman" w:eastAsia="宋体" w:cstheme="minorBidi"/>
        </w:rPr>
        <w:t>团队建设指标：主要考核员工培训覆盖率、技能考核合格率、关键岗位人才储备率和员工流失率。</w:t>
      </w:r>
    </w:p>
    <w:p>
      <w:pPr>
        <w:rPr>
          <w:rFonts w:ascii="Times New Roman" w:hAnsi="Times New Roman" w:eastAsia="宋体" w:cstheme="minorBidi"/>
        </w:rPr>
      </w:pPr>
      <w:r>
        <w:rPr>
          <w:rFonts w:ascii="Times New Roman" w:hAnsi="Times New Roman" w:eastAsia="宋体" w:cstheme="minorBidi"/>
        </w:rPr>
        <w:t>可持续发展指标：主要考核光伏发电等效利用小时数、储能电池容量保持率、超级芦竹年产量增长率和碳减排贡献量。</w:t>
      </w:r>
    </w:p>
    <w:p>
      <w:pPr>
        <w:pStyle w:val="5"/>
      </w:pPr>
      <w:r>
        <w:t>2、奖罚机制</w:t>
      </w:r>
    </w:p>
    <w:p>
      <w:pPr>
        <w:rPr>
          <w:rFonts w:ascii="Times New Roman" w:hAnsi="Times New Roman" w:eastAsia="宋体" w:cstheme="minorBidi"/>
        </w:rPr>
      </w:pPr>
      <w:r>
        <w:rPr>
          <w:rFonts w:ascii="Times New Roman" w:hAnsi="Times New Roman" w:eastAsia="宋体" w:cstheme="minorBidi"/>
        </w:rPr>
        <w:t>安全生产奖励制度：设立年度安全生产先进集体和先进个人奖项。</w:t>
      </w:r>
    </w:p>
    <w:p>
      <w:pPr>
        <w:rPr>
          <w:rFonts w:ascii="Times New Roman" w:hAnsi="Times New Roman" w:eastAsia="宋体" w:cstheme="minorBidi"/>
        </w:rPr>
      </w:pPr>
      <w:r>
        <w:rPr>
          <w:rFonts w:ascii="Times New Roman" w:hAnsi="Times New Roman" w:eastAsia="宋体" w:cstheme="minorBidi"/>
        </w:rPr>
        <w:t>技术创新奖励制度：鼓励员工开展技术革新和管理创新。</w:t>
      </w:r>
    </w:p>
    <w:p>
      <w:pPr>
        <w:rPr>
          <w:rFonts w:ascii="Times New Roman" w:hAnsi="Times New Roman" w:eastAsia="宋体" w:cstheme="minorBidi"/>
        </w:rPr>
      </w:pPr>
      <w:r>
        <w:rPr>
          <w:rFonts w:ascii="Times New Roman" w:hAnsi="Times New Roman" w:eastAsia="宋体" w:cstheme="minorBidi"/>
        </w:rPr>
        <w:t>绩效优秀奖励制度：建立年度绩效考核优秀员工评选机制。</w:t>
      </w:r>
    </w:p>
    <w:p>
      <w:pPr>
        <w:rPr>
          <w:rFonts w:ascii="Times New Roman" w:hAnsi="Times New Roman" w:eastAsia="宋体" w:cstheme="minorBidi"/>
        </w:rPr>
      </w:pPr>
      <w:r>
        <w:rPr>
          <w:rFonts w:ascii="Times New Roman" w:hAnsi="Times New Roman" w:eastAsia="宋体" w:cstheme="minorBidi"/>
        </w:rPr>
        <w:t>违章违规处罚制度：对违反安全操作规程、劳动纪律和管理制度的员工，视情节轻重给予处分。</w:t>
      </w:r>
    </w:p>
    <w:p>
      <w:pPr>
        <w:rPr>
          <w:rFonts w:ascii="Times New Roman" w:hAnsi="Times New Roman" w:eastAsia="宋体" w:cstheme="minorBidi"/>
        </w:rPr>
      </w:pPr>
      <w:r>
        <w:rPr>
          <w:rFonts w:ascii="Times New Roman" w:hAnsi="Times New Roman" w:eastAsia="宋体" w:cstheme="minorBidi"/>
        </w:rPr>
        <w:t>绩效考核挂钩制度：将绩效考核结果与薪酬调整、岗位晋升和评优评先直接挂钩。</w:t>
      </w:r>
    </w:p>
    <w:p>
      <w:pPr>
        <w:pStyle w:val="2"/>
      </w:pPr>
      <w:r>
        <w:t>第六章 项目投融资与财务方案</w:t>
      </w:r>
    </w:p>
    <w:p>
      <w:pPr>
        <w:pStyle w:val="3"/>
      </w:pPr>
      <w:r>
        <w:t>6.1 项目投资估算及说明</w:t>
      </w:r>
    </w:p>
    <w:p>
      <w:pPr>
        <w:pStyle w:val="4"/>
      </w:pPr>
      <w:r>
        <w:t>6.1.1 工程概况</w:t>
      </w:r>
    </w:p>
    <w:p>
      <w:r>
        <w:t>本项目是汝阳县金堆城钼业尾矿治理项目的延伸项目。金堆城钼矿经多年开采，尾矿堆积形成大面积尾矿库，矿渣中含有重金属成分，土壤环境特殊。尾矿治理项目是对原寺沟平台整治、覆土绿化，进而形成林地的尾矿综合治理项目。该项目实施后形成林地约300多亩。汝阳城市建设公司准备对该部分土地进行二次综合开发，即在尾矿覆土区域种植能源植物超级芦竹，并建设光伏发电低压并网项目。</w:t>
      </w:r>
    </w:p>
    <w:p>
      <w:pPr>
        <w:pStyle w:val="4"/>
      </w:pPr>
      <w:r>
        <w:t>6.1.2 编制依据</w:t>
      </w:r>
    </w:p>
    <w:p>
      <w:r>
        <w:t>《投资项目可行性研究报告》（计办投资〔2002〕15号）；《投资项目经济咨询评估指南》（咨经〔1998〕11号）；《建设工程工程量清单计价规范》（GB50500-2013）；《河南省市政工程预算定额》（HAA1-31-2016）；《河南省房屋建筑与装饰工程预算定额》（HA01-31-2016）；《河南省通用安装工程预算定额》（HA02-31-2016）；河南省有关造价文件。设备费用依据近期向制造厂询价计算。</w:t>
      </w:r>
    </w:p>
    <w:p>
      <w:pPr>
        <w:pStyle w:val="4"/>
      </w:pPr>
      <w:r>
        <w:t>6.1.3 投资构成与估算参数</w:t>
      </w:r>
    </w:p>
    <w:p>
      <w:pPr>
        <w:pStyle w:val="5"/>
      </w:pPr>
      <w:r>
        <w:t>1、工程费用</w:t>
      </w:r>
    </w:p>
    <w:p>
      <w:r>
        <w:rPr>
          <w:rFonts w:ascii="Times New Roman" w:hAnsi="Times New Roman" w:eastAsia="宋体"/>
          <w:sz w:val="28"/>
          <w:szCs w:val="28"/>
        </w:rPr>
        <w:t>光伏设备：该区域光伏设备是在汝阳县金堆城钼业尾矿治理项目已治理尾矿库覆土区域内设置的太阳能发电系统，装机容量为26MW。光伏组件包括640Wp单晶N型组件、逆变器、交流汇流箱、光伏支架及配件、光伏直流电缆、MC4连接器、交流电缆、干式变压器（箱变）、光伏接入柜、并网柜、站用变电柜、10kV动态无功补偿装置、高压电缆、土建基础以及组件电气安装辅材等。经测算，光伏设备费用预计6,960.82万元。</w:t>
      </w:r>
    </w:p>
    <w:p>
      <w:pPr>
        <w:rPr>
          <w:rFonts w:ascii="Times New Roman" w:hAnsi="Times New Roman" w:eastAsia="宋体" w:cstheme="minorBidi"/>
          <w:sz w:val="28"/>
          <w:szCs w:val="28"/>
        </w:rPr>
      </w:pPr>
      <w:r>
        <w:rPr>
          <w:rFonts w:ascii="Times New Roman" w:hAnsi="Times New Roman" w:eastAsia="宋体" w:cstheme="minorBidi"/>
          <w:sz w:val="28"/>
          <w:szCs w:val="28"/>
        </w:rPr>
        <w:t>电池储能集装箱：储能设备和光伏设备为一体化设备，由光伏通过太阳能发电，产生的电力由储能设备储存。储能设备包括电池系统2000KWH、储能变流器、温控系统、消防系统、储能EMS、储能箱基础及连接电缆等设备，总容量为6,000KWh（3MW/6MWh）。经测算，储能设备费用预计539.50万元。</w:t>
      </w:r>
    </w:p>
    <w:p>
      <w:pPr>
        <w:rPr>
          <w:rFonts w:ascii="Times New Roman" w:hAnsi="Times New Roman" w:eastAsia="宋体" w:cstheme="minorBidi"/>
          <w:sz w:val="28"/>
          <w:szCs w:val="28"/>
        </w:rPr>
      </w:pPr>
      <w:r>
        <w:rPr>
          <w:rFonts w:ascii="Times New Roman" w:hAnsi="Times New Roman" w:eastAsia="宋体" w:cstheme="minorBidi"/>
          <w:sz w:val="28"/>
          <w:szCs w:val="28"/>
        </w:rPr>
        <w:t>超级芦竹种植：项目在光伏板下种植能源植物超级芦竹300亩。经测算，超级芦竹种植费用预计180.00万元。</w:t>
      </w:r>
    </w:p>
    <w:p>
      <w:pPr>
        <w:rPr>
          <w:rFonts w:ascii="Times New Roman" w:hAnsi="Times New Roman" w:eastAsia="宋体" w:cstheme="minorBidi"/>
          <w:sz w:val="28"/>
          <w:szCs w:val="28"/>
        </w:rPr>
      </w:pPr>
      <w:r>
        <w:rPr>
          <w:rFonts w:ascii="Times New Roman" w:hAnsi="Times New Roman" w:eastAsia="宋体" w:cstheme="minorBidi"/>
          <w:sz w:val="28"/>
          <w:szCs w:val="28"/>
        </w:rPr>
        <w:t>配套工程：配套工程包括升压/降压变压器、中压输电电缆、交流电缆等。经测算，配套工程费用预计201.44万元。</w:t>
      </w:r>
    </w:p>
    <w:p>
      <w:pPr>
        <w:pStyle w:val="5"/>
      </w:pPr>
      <w:r>
        <w:t>2、工程建设其他费用</w:t>
      </w:r>
    </w:p>
    <w:p>
      <w:r>
        <w:t>本项目工程建设其他费用包括项目建设管理费、工程勘察费、工程设计费、工程监理费、项目前期工作咨询费、招标代理服务费、工程造价咨询服务费、环境影响咨询服务费、工程保险费、场地准备及临时设施费等，合计520.20万元。</w:t>
      </w:r>
    </w:p>
    <w:p>
      <w:pPr>
        <w:pStyle w:val="5"/>
      </w:pPr>
      <w:r>
        <w:t>3、预备费</w:t>
      </w:r>
    </w:p>
    <w:p>
      <w:r>
        <w:t>基本预备费，以工程建设费与工程建设其他费用之和为基数，费率按5%计算。经测算，基本预备费为420.10万元。本项目不考虑涨价预备费。</w:t>
      </w:r>
    </w:p>
    <w:p>
      <w:pPr>
        <w:pStyle w:val="5"/>
      </w:pPr>
      <w:r>
        <w:t>4、建设期利息</w:t>
      </w:r>
    </w:p>
    <w:p>
      <w:r>
        <w:t>本项目建设期为1年（含建设期准备工作），计划2026年10月开工，预计2027年10月竣工，利率4.5%，建设期内按金融机构计息计划投入。建设期利息159.75万元。</w:t>
      </w:r>
    </w:p>
    <w:p>
      <w:pPr>
        <w:pStyle w:val="4"/>
      </w:pPr>
      <w:r>
        <w:t>6.1.4 投资估算和资金筹措</w:t>
      </w:r>
    </w:p>
    <w:p>
      <w:r>
        <w:t>项目总投资8,981.80万元，其中项目工程费用7,881.76万元，占总投资的87.75%；工程建设其它费用520.20万元，占总投资的5.79%；预备费420.10万元，占总投资的4.68%；建设期利息159.75万元，占总投资的1.78%。</w:t>
      </w:r>
    </w:p>
    <w:p>
      <w:r>
        <w:t>在资金筹措方面，项目总投资由资本金和项目融资或其他债务性资金两部分构成，一是资本金1,881.80万元，占总投资的20.95%，由企业自筹解决；二是项目融资、银行借款7,100.00万元，占总投资的79.05%。</w:t>
      </w:r>
    </w:p>
    <w:p>
      <w:pPr>
        <w:pStyle w:val="3"/>
      </w:pPr>
      <w:r>
        <w:t>6.2 财务盈利能力分析</w:t>
      </w:r>
    </w:p>
    <w:p>
      <w:pPr>
        <w:pStyle w:val="4"/>
      </w:pPr>
      <w:r>
        <w:t>6.2.1 财务评价的目标和原则</w:t>
      </w:r>
    </w:p>
    <w:p>
      <w:r>
        <w:t>财务评价是在国家现行财税制度和价格体系的前提下，根据国民经济与社会发展的趋势、行业发展状态、地区发展规划和行业政策的具体情况，从项目的角度出发，在项目初步方案的基础上，采用科学的分析方法，计算项目范围内的财务效益和费用，分析项目的盈利能力和清偿能力，分析论证拟建项目的财务可行性。</w:t>
      </w:r>
    </w:p>
    <w:p>
      <w:pPr>
        <w:pStyle w:val="4"/>
      </w:pPr>
      <w:r>
        <w:t>6.2.2 编制依据</w:t>
      </w:r>
    </w:p>
    <w:p>
      <w:r>
        <w:t>《国家发展改革委员会、建设部关于建设项目经济评价工作的若干规定》（发改投资[2006]1325号）；《建设项目经济评价方法与参数》(第三版)；《企业会计准则》及其相关规定；《中华人民共和国企业所得税法》及其相关规定；《中华人民共和国增值税法》及其相关规定。</w:t>
      </w:r>
    </w:p>
    <w:p>
      <w:pPr>
        <w:pStyle w:val="4"/>
      </w:pPr>
      <w:r>
        <w:t>6.2.3 参数选取</w:t>
      </w:r>
    </w:p>
    <w:p>
      <w:pPr>
        <w:rPr>
          <w:rFonts w:ascii="Times New Roman" w:hAnsi="Times New Roman" w:eastAsia="宋体" w:cstheme="minorBidi"/>
          <w:sz w:val="28"/>
          <w:szCs w:val="28"/>
        </w:rPr>
      </w:pPr>
      <w:r>
        <w:rPr>
          <w:rFonts w:ascii="Times New Roman" w:hAnsi="Times New Roman" w:eastAsia="宋体" w:cstheme="minorBidi"/>
          <w:sz w:val="28"/>
          <w:szCs w:val="28"/>
        </w:rPr>
        <w:t>固定资产的折旧年限为20年，残值率5%，折旧方法为平均年限法。</w:t>
      </w:r>
    </w:p>
    <w:p>
      <w:pPr>
        <w:rPr>
          <w:rFonts w:ascii="Times New Roman" w:hAnsi="Times New Roman" w:eastAsia="宋体" w:cstheme="minorBidi"/>
          <w:sz w:val="28"/>
          <w:szCs w:val="28"/>
        </w:rPr>
      </w:pPr>
      <w:r>
        <w:rPr>
          <w:rFonts w:ascii="Times New Roman" w:hAnsi="Times New Roman" w:eastAsia="宋体" w:cstheme="minorBidi"/>
          <w:sz w:val="28"/>
          <w:szCs w:val="28"/>
        </w:rPr>
        <w:t>根据现行的税收政策规定，增值税按13%计算（电力销售），芦竹销售按9%计算；城市建设维护税按7%，教育费附加按3%，企业所得税率按25%。</w:t>
      </w:r>
    </w:p>
    <w:p>
      <w:pPr>
        <w:rPr>
          <w:rFonts w:ascii="Times New Roman" w:hAnsi="Times New Roman" w:eastAsia="宋体" w:cstheme="minorBidi"/>
          <w:sz w:val="28"/>
          <w:szCs w:val="28"/>
        </w:rPr>
      </w:pPr>
      <w:r>
        <w:rPr>
          <w:rFonts w:ascii="Times New Roman" w:hAnsi="Times New Roman" w:eastAsia="宋体" w:cstheme="minorBidi"/>
          <w:sz w:val="28"/>
          <w:szCs w:val="28"/>
        </w:rPr>
        <w:t>项目计算期为10年，其中建设期1年，运营期9年。</w:t>
      </w:r>
    </w:p>
    <w:p>
      <w:pPr>
        <w:rPr>
          <w:rFonts w:ascii="Times New Roman" w:hAnsi="Times New Roman" w:eastAsia="宋体" w:cstheme="minorBidi"/>
          <w:sz w:val="28"/>
          <w:szCs w:val="28"/>
        </w:rPr>
      </w:pPr>
      <w:r>
        <w:rPr>
          <w:rFonts w:ascii="Times New Roman" w:hAnsi="Times New Roman" w:eastAsia="宋体" w:cstheme="minorBidi"/>
          <w:sz w:val="28"/>
          <w:szCs w:val="28"/>
        </w:rPr>
        <w:t>项目财务基准收益率（折现率）为4.2%。</w:t>
      </w:r>
    </w:p>
    <w:p>
      <w:pPr>
        <w:pStyle w:val="4"/>
      </w:pPr>
      <w:r>
        <w:t>6.2.4 项目收入测算</w:t>
      </w:r>
    </w:p>
    <w:p>
      <w:pPr>
        <w:pStyle w:val="5"/>
      </w:pPr>
      <w:r>
        <w:t>1、光伏发电收入</w:t>
      </w:r>
    </w:p>
    <w:p>
      <w:r>
        <w:t>本项目光伏总装机容量为26MW（25,480KW，首年），年发电量约为3,068.64万kWh。衰减值：光伏发电首年衰减值为2%，剩余每年衰减值为0.5%。本项目预计首年发电量3.337kWh/kWp/天×25,480kWp×360天=3,068.64万kWh。</w:t>
      </w:r>
    </w:p>
    <w:p>
      <w:r>
        <w:t>商业用电平均电价：本项目光伏发电主要供应金堆城钼业公司使用，根据协商确定，含税电价为0.50元/kWh。经计算，运营期内光伏年均收入约为1,401.40万元。</w:t>
      </w:r>
    </w:p>
    <w:p>
      <w:pPr>
        <w:pStyle w:val="5"/>
      </w:pPr>
      <w:r>
        <w:t>2、储能收入</w:t>
      </w:r>
    </w:p>
    <w:p>
      <w:r>
        <w:t>项目配备储能设备3MW/6MWh，最大储能量为每天6000kWh，由光伏设备在白天为储能设备进行充电。考虑到充放电有损耗，储能设备日供电量按照90%计算为5400kWh。年储能供电量是5400kWh×360=194.4万kWh。本项目储能高峰时段售电价格按照0.50元/kWh。经计算，运营期内年均储能售电收入约为97.20万元。</w:t>
      </w:r>
    </w:p>
    <w:p>
      <w:pPr>
        <w:pStyle w:val="5"/>
      </w:pPr>
      <w:r>
        <w:t>3、超级芦竹收入</w:t>
      </w:r>
    </w:p>
    <w:p>
      <w:r>
        <w:t>项目在光伏板下种植能源植物超级芦竹300亩，年产量约1000元/亩，超级芦竹热值约4200大卡，可作为生物质燃料和化工原料对外销售。经测算，项目运营期内超级芦竹年收入30.00万元。</w:t>
      </w:r>
    </w:p>
    <w:p>
      <w:r>
        <w:t>综上所述，项目运营期内总收入为13,758.54万元，年均收入1,528.73万元。</w:t>
      </w:r>
    </w:p>
    <w:p>
      <w:pPr>
        <w:pStyle w:val="4"/>
      </w:pPr>
      <w:r>
        <w:t>6.2.5 项目成本测算</w:t>
      </w:r>
    </w:p>
    <w:p>
      <w:r>
        <w:t>项目成本费用主要包括外购燃料及动力费、人员工资与福利费、保洁维护费、管理费及其他、折旧费、摊销费和利息支出等。根据资金测算表，项目运营期内年均总成本费用为740.99万元，其中年均固定成本670.88万元，年均可变成本54.51万元，年均经营成本192.40万元。</w:t>
      </w:r>
    </w:p>
    <w:p>
      <w:pPr>
        <w:rPr>
          <w:rFonts w:ascii="Times New Roman" w:hAnsi="Times New Roman" w:eastAsia="宋体" w:cstheme="minorBidi"/>
        </w:rPr>
      </w:pPr>
      <w:r>
        <w:rPr>
          <w:rFonts w:ascii="Times New Roman" w:hAnsi="Times New Roman" w:eastAsia="宋体" w:cstheme="minorBidi"/>
        </w:rPr>
        <w:t>燃料动力费：项目运营期主要消耗少量水资源，年均外购燃料及动力费约15.60万元。</w:t>
      </w:r>
    </w:p>
    <w:p>
      <w:pPr>
        <w:rPr>
          <w:rFonts w:ascii="Times New Roman" w:hAnsi="Times New Roman" w:eastAsia="宋体" w:cstheme="minorBidi"/>
        </w:rPr>
      </w:pPr>
      <w:r>
        <w:rPr>
          <w:rFonts w:ascii="Times New Roman" w:hAnsi="Times New Roman" w:eastAsia="宋体" w:cstheme="minorBidi"/>
        </w:rPr>
        <w:t>人员工资与福利成本：本项目运营期劳动定员4人，人均工资及福利费合计为6万元/年，年均职工薪酬及福利费为24.00万元。</w:t>
      </w:r>
    </w:p>
    <w:p>
      <w:pPr>
        <w:rPr>
          <w:rFonts w:ascii="Times New Roman" w:hAnsi="Times New Roman" w:eastAsia="宋体" w:cstheme="minorBidi"/>
        </w:rPr>
      </w:pPr>
      <w:r>
        <w:rPr>
          <w:rFonts w:ascii="Times New Roman" w:hAnsi="Times New Roman" w:eastAsia="宋体" w:cstheme="minorBidi"/>
        </w:rPr>
        <w:t>保洁维护费：按折旧费的8%计取，年均保洁维护费约30.51万元。</w:t>
      </w:r>
    </w:p>
    <w:p>
      <w:pPr>
        <w:rPr>
          <w:rFonts w:ascii="Times New Roman" w:hAnsi="Times New Roman" w:eastAsia="宋体" w:cstheme="minorBidi"/>
        </w:rPr>
      </w:pPr>
      <w:r>
        <w:rPr>
          <w:rFonts w:ascii="Times New Roman" w:hAnsi="Times New Roman" w:eastAsia="宋体" w:cstheme="minorBidi"/>
        </w:rPr>
        <w:t>折旧与摊销：本项目按直线法计算折旧，固定资产折旧年限为20年，残值率为5%，项目运营期内年均折旧额为381.33万元。</w:t>
      </w:r>
    </w:p>
    <w:p>
      <w:pPr>
        <w:rPr>
          <w:rFonts w:ascii="Times New Roman" w:hAnsi="Times New Roman" w:eastAsia="宋体" w:cstheme="minorBidi"/>
        </w:rPr>
      </w:pPr>
      <w:r>
        <w:rPr>
          <w:rFonts w:ascii="Times New Roman" w:hAnsi="Times New Roman" w:eastAsia="宋体" w:cstheme="minorBidi"/>
        </w:rPr>
        <w:t>管理费及其他：按照收入的一定比例计取，年均管理费及其他约122.29万元。</w:t>
      </w:r>
    </w:p>
    <w:p>
      <w:pPr>
        <w:rPr>
          <w:rFonts w:ascii="Times New Roman" w:hAnsi="Times New Roman" w:eastAsia="宋体" w:cstheme="minorBidi"/>
        </w:rPr>
      </w:pPr>
      <w:r>
        <w:rPr>
          <w:rFonts w:ascii="Times New Roman" w:hAnsi="Times New Roman" w:eastAsia="宋体" w:cstheme="minorBidi"/>
        </w:rPr>
        <w:t>利息支出：项目申请贷款7,100.00万元，年限为10年，利率为4.5%，按等额本金方式偿还。</w:t>
      </w:r>
    </w:p>
    <w:p>
      <w:pPr>
        <w:pStyle w:val="4"/>
      </w:pPr>
      <w:r>
        <w:t>6.2.6 总投资收益率（ROI）</w:t>
      </w:r>
    </w:p>
    <w:p>
      <w:r>
        <w:t>按照《方法与参数》的规定，总投资收益率（ROI）表示总投资的盈利水平。ROI=EBIT/TI×100%=8.41%。</w:t>
      </w:r>
    </w:p>
    <w:p>
      <w:pPr>
        <w:pStyle w:val="4"/>
      </w:pPr>
      <w:r>
        <w:t>6.2.7 资本金净利润率（ROE）</w:t>
      </w:r>
    </w:p>
    <w:p>
      <w:r>
        <w:t>按照《方法与参数》的规定，资本金净利润率（ROE）表示利润总额占用资本金的百分比。ROE=NP/EC×100%=31.24%。</w:t>
      </w:r>
    </w:p>
    <w:p>
      <w:pPr>
        <w:pStyle w:val="4"/>
      </w:pPr>
      <w:r>
        <w:t>6.2.8 税后财务内部收益率（FIRR）</w:t>
      </w:r>
    </w:p>
    <w:p>
      <w:r>
        <w:t>按照《方法与参数》的规定，财务内部收益率（FIRR）系指项目计算期内净现金流量现值累计等于零时的折现率。本项目税后全部投资财务内部收益率（FIRR）计算结果为9.16%。</w:t>
      </w:r>
    </w:p>
    <w:p>
      <w:pPr>
        <w:pStyle w:val="4"/>
      </w:pPr>
      <w:r>
        <w:t>6.2.9 税后财务净现值（FNPV）</w:t>
      </w:r>
    </w:p>
    <w:p>
      <w:r>
        <w:t>按照《方法与参数》的规定，财务净现值（FNPV）系指按设定的折现率计算项目计算期内各年净现金流量的现值之和。本项目税后全部投资财务净现值（FNPV）计算结果为5,252.36万元。</w:t>
      </w:r>
    </w:p>
    <w:p>
      <w:pPr>
        <w:pStyle w:val="4"/>
      </w:pPr>
      <w:r>
        <w:t>6.2.10 所得税后动态投资回收期（Pt）</w:t>
      </w:r>
    </w:p>
    <w:p>
      <w:r>
        <w:t>按照《方法与参数》的规定，投资回收期（Pt）系指以项目的净收益回收项目投资所需要的时间。本项目税后投资回收期（Pt）经计算为9.01年（含建设期）。</w:t>
      </w:r>
    </w:p>
    <w:p>
      <w:pPr>
        <w:pStyle w:val="4"/>
      </w:pPr>
      <w:r>
        <w:t>6.2.11 盈亏平衡分析</w:t>
      </w:r>
    </w:p>
    <w:p>
      <w:r>
        <w:t>盈亏平衡分析是通过盈亏平衡点（BEP）分析项目成本与收益的平衡关系的一种方法。BEP项目能力利用率=年固定成本/（年营业收入-年可变成本-年营业税金及附加）×100％=46.08%。</w:t>
      </w:r>
    </w:p>
    <w:p>
      <w:pPr>
        <w:pStyle w:val="4"/>
      </w:pPr>
      <w:r>
        <w:t>6.2.12 敏感性分析</w:t>
      </w:r>
    </w:p>
    <w:p>
      <w:r>
        <w:t>本项目主要风险因素包括销售收入、原材料、经营成本、固定资产投资等因素的变化。基本方案的基本指标，满足了财务基准值的要求。分别对销售价格、销售量、经营成本、固定资产投资进行单因素分析，该项目具有较强的抗风险能力，但应密切关注市场电价和超级芦竹售价的变化。</w:t>
      </w:r>
    </w:p>
    <w:p>
      <w:pPr>
        <w:pStyle w:val="3"/>
      </w:pPr>
      <w:r>
        <w:t>6.3 资金投入计划和筹措方案</w:t>
      </w:r>
    </w:p>
    <w:p>
      <w:r>
        <w:t>在资金筹措方面，项目总投资由资本金和项目融资或其他债务性资金两部分构成，一是资本金1,881.80万元，占总投资的20.95%，由企业自筹解决；二是项目融资、银行借款7,100.00万元，占总投资的79.05%。资金使用计划：建设期1年内，根据工程进度安排资金使用。资本金1,881.80万元在项目建设期内按工程进度投入，银行借款7,100.00万元根据施工合同和付款节点分期支取。</w:t>
      </w:r>
    </w:p>
    <w:p>
      <w:pPr>
        <w:pStyle w:val="3"/>
      </w:pPr>
      <w:r>
        <w:t>6.4 债务清偿能力分析</w:t>
      </w:r>
    </w:p>
    <w:p>
      <w:r>
        <w:t>通过现金流量表计算可以看出项目计算期各年能收支平衡，并有盈余，有足够大的经营活动净现金流量，表明有足够的现金流量维持正常运营，实现财务可持续性，说明项目财务生存能力强。该项目综合利息备付率6.14，综合偿债备付率1.17，说明企业具有较强的清偿能力。</w:t>
      </w:r>
    </w:p>
    <w:p>
      <w:pPr>
        <w:pStyle w:val="3"/>
      </w:pPr>
      <w:r>
        <w:t>6.5 财务可持续性分析</w:t>
      </w:r>
    </w:p>
    <w:p>
      <w:r>
        <w:t>通过对项目从筹建到经营全过程各项评价指标的测算，项目虽然投资较大，但项目建成以后经营效益较好。项目建成后所得税后全部投资财务内部收益率为9.16%，投资回收期为9.01年（含建设期），总投资收益率为8.41%，资本金净利润率为31.24%。项目税后财务内部收益率高于行业基准收益率4.2%，各项指标均优于行业平均水平，项目在财务上是可行的，并且具有较强的经济效益和抗风险能力。</w:t>
      </w:r>
    </w:p>
    <w:p>
      <w:pPr>
        <w:pStyle w:val="2"/>
      </w:pPr>
      <w:r>
        <w:t>第七章 项目影响效果分析</w:t>
      </w:r>
    </w:p>
    <w:p>
      <w:pPr>
        <w:pStyle w:val="3"/>
      </w:pPr>
      <w:r>
        <w:t>7.1 经济影响分析</w:t>
      </w:r>
    </w:p>
    <w:p>
      <w:pPr>
        <w:pStyle w:val="4"/>
      </w:pPr>
      <w:r>
        <w:t>7.1.1 项目对宏观经济的影响</w:t>
      </w:r>
    </w:p>
    <w:p>
      <w:pPr>
        <w:rPr>
          <w:rFonts w:ascii="Times New Roman" w:hAnsi="Times New Roman" w:eastAsia="宋体" w:cstheme="minorBidi"/>
        </w:rPr>
      </w:pPr>
      <w:r>
        <w:rPr>
          <w:rFonts w:ascii="Times New Roman" w:hAnsi="Times New Roman" w:eastAsia="宋体" w:cstheme="minorBidi"/>
        </w:rPr>
        <w:t>拉动有效投资，注入经济增长新动能：本项目属于新能源领域的重大固定资产投资项目，项目建设将直接形成有效投资，为地方经济注入新的增长动力。</w:t>
      </w:r>
    </w:p>
    <w:p>
      <w:pPr>
        <w:rPr>
          <w:rFonts w:ascii="Times New Roman" w:hAnsi="Times New Roman" w:eastAsia="宋体" w:cstheme="minorBidi"/>
        </w:rPr>
      </w:pPr>
      <w:r>
        <w:rPr>
          <w:rFonts w:ascii="Times New Roman" w:hAnsi="Times New Roman" w:eastAsia="宋体" w:cstheme="minorBidi"/>
        </w:rPr>
        <w:t>扩充地方税源，增强财政保障能力：项目建成运营后，将产生稳定的增值税、企业所得税等税收贡献，有效扩充地方财政税源。</w:t>
      </w:r>
    </w:p>
    <w:p>
      <w:pPr>
        <w:rPr>
          <w:rFonts w:ascii="Times New Roman" w:hAnsi="Times New Roman" w:eastAsia="宋体" w:cstheme="minorBidi"/>
        </w:rPr>
      </w:pPr>
      <w:r>
        <w:rPr>
          <w:rFonts w:ascii="Times New Roman" w:hAnsi="Times New Roman" w:eastAsia="宋体" w:cstheme="minorBidi"/>
        </w:rPr>
        <w:t>激活绿色消费市场，引领低碳转型：本项目作为新能源综合利用示范工程，将有效激活区域绿色消费市场。</w:t>
      </w:r>
    </w:p>
    <w:p>
      <w:pPr>
        <w:rPr>
          <w:rFonts w:ascii="Times New Roman" w:hAnsi="Times New Roman" w:eastAsia="宋体" w:cstheme="minorBidi"/>
        </w:rPr>
      </w:pPr>
      <w:r>
        <w:rPr>
          <w:rFonts w:ascii="Times New Roman" w:hAnsi="Times New Roman" w:eastAsia="宋体" w:cstheme="minorBidi"/>
        </w:rPr>
        <w:t>提升经济发展质量，优化产业结构：项目融合了光伏发电、储能、微电网和生物质能源等多元业态，推动地方产业结构向绿色低碳方向优化升级。</w:t>
      </w:r>
    </w:p>
    <w:p>
      <w:pPr>
        <w:rPr>
          <w:rFonts w:ascii="Times New Roman" w:hAnsi="Times New Roman" w:eastAsia="宋体" w:cstheme="minorBidi"/>
        </w:rPr>
      </w:pPr>
      <w:r>
        <w:rPr>
          <w:rFonts w:ascii="Times New Roman" w:hAnsi="Times New Roman" w:eastAsia="宋体" w:cstheme="minorBidi"/>
        </w:rPr>
        <w:t>优化区域资源配置，实现可持续发展：项目充分利用尾矿库治理后的闲置土地资源建设光伏发电设施，实现了土地资源的集约高效利用。</w:t>
      </w:r>
    </w:p>
    <w:p>
      <w:pPr>
        <w:pStyle w:val="4"/>
      </w:pPr>
      <w:r>
        <w:t>7.1.2 项目对产业经济的影响</w:t>
      </w:r>
    </w:p>
    <w:p>
      <w:pPr>
        <w:rPr>
          <w:rFonts w:ascii="Times New Roman" w:hAnsi="Times New Roman" w:eastAsia="宋体" w:cstheme="minorBidi"/>
        </w:rPr>
      </w:pPr>
      <w:r>
        <w:rPr>
          <w:rFonts w:ascii="Times New Roman" w:hAnsi="Times New Roman" w:eastAsia="宋体" w:cstheme="minorBidi"/>
        </w:rPr>
        <w:t>补齐区域新能源产业配套短板：本项目配套建设储能系统和智能微电网，将有效补齐区域新能源产业配套短板。</w:t>
      </w:r>
    </w:p>
    <w:p>
      <w:pPr>
        <w:rPr>
          <w:rFonts w:ascii="Times New Roman" w:hAnsi="Times New Roman" w:eastAsia="宋体" w:cstheme="minorBidi"/>
        </w:rPr>
      </w:pPr>
      <w:r>
        <w:rPr>
          <w:rFonts w:ascii="Times New Roman" w:hAnsi="Times New Roman" w:eastAsia="宋体" w:cstheme="minorBidi"/>
        </w:rPr>
        <w:t>延伸完善新能源产业链条：本项目涵盖光伏发电、储能应用、微电网运营、生物质能源等多个产业环节，将有效延伸和完善区域新能源产业链条。</w:t>
      </w:r>
    </w:p>
    <w:p>
      <w:pPr>
        <w:rPr>
          <w:rFonts w:ascii="Times New Roman" w:hAnsi="Times New Roman" w:eastAsia="宋体" w:cstheme="minorBidi"/>
        </w:rPr>
      </w:pPr>
      <w:r>
        <w:rPr>
          <w:rFonts w:ascii="Times New Roman" w:hAnsi="Times New Roman" w:eastAsia="宋体" w:cstheme="minorBidi"/>
        </w:rPr>
        <w:t>推动多业态融合发展：本项目创新性地将光伏发电、储能系统、微电网控制和生物质种植四大业态有机融合。</w:t>
      </w:r>
    </w:p>
    <w:p>
      <w:pPr>
        <w:rPr>
          <w:rFonts w:ascii="Times New Roman" w:hAnsi="Times New Roman" w:eastAsia="宋体" w:cstheme="minorBidi"/>
        </w:rPr>
      </w:pPr>
      <w:r>
        <w:rPr>
          <w:rFonts w:ascii="Times New Roman" w:hAnsi="Times New Roman" w:eastAsia="宋体" w:cstheme="minorBidi"/>
        </w:rPr>
        <w:t>带动上下游产业协同发展：项目建设将直接带动光伏组件制造、储能设备生产、电气设备供应等上游产业发展。</w:t>
      </w:r>
    </w:p>
    <w:p>
      <w:pPr>
        <w:rPr>
          <w:rFonts w:ascii="Times New Roman" w:hAnsi="Times New Roman" w:eastAsia="宋体" w:cstheme="minorBidi"/>
        </w:rPr>
      </w:pPr>
      <w:r>
        <w:rPr>
          <w:rFonts w:ascii="Times New Roman" w:hAnsi="Times New Roman" w:eastAsia="宋体" w:cstheme="minorBidi"/>
        </w:rPr>
        <w:t>促进行业整体提质升级：本项目采用先进的光伏组件、储能系统和智能化微电网控制技术，代表了新能源行业的技术发展方向。</w:t>
      </w:r>
    </w:p>
    <w:p>
      <w:pPr>
        <w:pStyle w:val="4"/>
      </w:pPr>
      <w:r>
        <w:t>7.1.3 项目对区域经济的影响</w:t>
      </w:r>
    </w:p>
    <w:p>
      <w:pPr>
        <w:rPr>
          <w:rFonts w:ascii="Times New Roman" w:hAnsi="Times New Roman" w:eastAsia="宋体" w:cstheme="minorBidi"/>
        </w:rPr>
      </w:pPr>
      <w:r>
        <w:rPr>
          <w:rFonts w:ascii="Times New Roman" w:hAnsi="Times New Roman" w:eastAsia="宋体" w:cstheme="minorBidi"/>
        </w:rPr>
        <w:t>拉动片区经济增长，形成新的增长极：本项目建设期间将直接拉动当地建筑安装、设备运输、材料供应等相关产业发展。</w:t>
      </w:r>
    </w:p>
    <w:p>
      <w:pPr>
        <w:rPr>
          <w:rFonts w:ascii="Times New Roman" w:hAnsi="Times New Roman" w:eastAsia="宋体" w:cstheme="minorBidi"/>
        </w:rPr>
      </w:pPr>
      <w:r>
        <w:rPr>
          <w:rFonts w:ascii="Times New Roman" w:hAnsi="Times New Roman" w:eastAsia="宋体" w:cstheme="minorBidi"/>
        </w:rPr>
        <w:t>创造就业岗位，提升居民收入水平：项目建设期间将创造大量施工就业岗位，项目运营期间将设置光伏电站运维、储能系统管理等长期岗位。</w:t>
      </w:r>
    </w:p>
    <w:p>
      <w:pPr>
        <w:rPr>
          <w:rFonts w:ascii="Times New Roman" w:hAnsi="Times New Roman" w:eastAsia="宋体" w:cstheme="minorBidi"/>
        </w:rPr>
      </w:pPr>
      <w:r>
        <w:rPr>
          <w:rFonts w:ascii="Times New Roman" w:hAnsi="Times New Roman" w:eastAsia="宋体" w:cstheme="minorBidi"/>
        </w:rPr>
        <w:t>激活片区商业与运营活力：项目的建设和运营将有效激活片区商业活力。</w:t>
      </w:r>
    </w:p>
    <w:p>
      <w:pPr>
        <w:rPr>
          <w:rFonts w:ascii="Times New Roman" w:hAnsi="Times New Roman" w:eastAsia="宋体" w:cstheme="minorBidi"/>
        </w:rPr>
      </w:pPr>
      <w:r>
        <w:rPr>
          <w:rFonts w:ascii="Times New Roman" w:hAnsi="Times New Roman" w:eastAsia="宋体" w:cstheme="minorBidi"/>
        </w:rPr>
        <w:t>提升土地利用价值，盘活闲置资源：本项目选址于尾矿库治理后的工矿用地，通过光伏发电和芦竹种植实现了闲置土地的高效利用。</w:t>
      </w:r>
    </w:p>
    <w:p>
      <w:pPr>
        <w:rPr>
          <w:rFonts w:ascii="Times New Roman" w:hAnsi="Times New Roman" w:eastAsia="宋体" w:cstheme="minorBidi"/>
        </w:rPr>
      </w:pPr>
      <w:r>
        <w:rPr>
          <w:rFonts w:ascii="Times New Roman" w:hAnsi="Times New Roman" w:eastAsia="宋体" w:cstheme="minorBidi"/>
        </w:rPr>
        <w:t>完善区域基础设施，优化营商环境：项目建设将完善矿区周边的电力基础设施，提升区域供电可靠性和电能质量。</w:t>
      </w:r>
    </w:p>
    <w:p>
      <w:pPr>
        <w:pStyle w:val="4"/>
      </w:pPr>
      <w:r>
        <w:t>7.1.4 项目建设的经济合理性分析</w:t>
      </w:r>
    </w:p>
    <w:p>
      <w:pPr>
        <w:rPr>
          <w:rFonts w:ascii="Times New Roman" w:hAnsi="Times New Roman" w:eastAsia="宋体" w:cstheme="minorBidi"/>
        </w:rPr>
      </w:pPr>
      <w:r>
        <w:rPr>
          <w:rFonts w:ascii="Times New Roman" w:hAnsi="Times New Roman" w:eastAsia="宋体" w:cstheme="minorBidi"/>
        </w:rPr>
        <w:t>投资规模与项目功能相匹配：本项目总投资规模与光伏发电装机、储能系统及微电网配套设施的建设规模相匹配。</w:t>
      </w:r>
    </w:p>
    <w:p>
      <w:pPr>
        <w:rPr>
          <w:rFonts w:ascii="Times New Roman" w:hAnsi="Times New Roman" w:eastAsia="宋体" w:cstheme="minorBidi"/>
        </w:rPr>
      </w:pPr>
      <w:r>
        <w:rPr>
          <w:rFonts w:ascii="Times New Roman" w:hAnsi="Times New Roman" w:eastAsia="宋体" w:cstheme="minorBidi"/>
        </w:rPr>
        <w:t>投入产出效益显著：项目具备较好的投入产出效益，投资回收期处于行业合理水平。</w:t>
      </w:r>
    </w:p>
    <w:p>
      <w:pPr>
        <w:rPr>
          <w:rFonts w:ascii="Times New Roman" w:hAnsi="Times New Roman" w:eastAsia="宋体" w:cstheme="minorBidi"/>
        </w:rPr>
      </w:pPr>
      <w:r>
        <w:rPr>
          <w:rFonts w:ascii="Times New Roman" w:hAnsi="Times New Roman" w:eastAsia="宋体" w:cstheme="minorBidi"/>
        </w:rPr>
        <w:t>运营收益稳定性高：项目与用电企业签订长期电力供应协议，锁定售电关系和电价水平，确保了运营收益的稳定性。</w:t>
      </w:r>
    </w:p>
    <w:p>
      <w:pPr>
        <w:rPr>
          <w:rFonts w:ascii="Times New Roman" w:hAnsi="Times New Roman" w:eastAsia="宋体" w:cstheme="minorBidi"/>
        </w:rPr>
      </w:pPr>
      <w:r>
        <w:rPr>
          <w:rFonts w:ascii="Times New Roman" w:hAnsi="Times New Roman" w:eastAsia="宋体" w:cstheme="minorBidi"/>
        </w:rPr>
        <w:t>资金使用效率合理：项目资本金比例设置合理，债务融资部分充分利用绿色金融优惠政策，资金成本较低。</w:t>
      </w:r>
    </w:p>
    <w:p>
      <w:pPr>
        <w:rPr>
          <w:rFonts w:ascii="Times New Roman" w:hAnsi="Times New Roman" w:eastAsia="宋体" w:cstheme="minorBidi"/>
        </w:rPr>
      </w:pPr>
      <w:r>
        <w:rPr>
          <w:rFonts w:ascii="Times New Roman" w:hAnsi="Times New Roman" w:eastAsia="宋体" w:cstheme="minorBidi"/>
        </w:rPr>
        <w:t>长期经济可持续性良好：光伏发电系统设计寿命长，储能系统循环寿命高，项目具备长期稳定运营的技术基础。</w:t>
      </w:r>
    </w:p>
    <w:p>
      <w:pPr>
        <w:pStyle w:val="3"/>
      </w:pPr>
      <w:r>
        <w:t>7.2 社会影响分析</w:t>
      </w:r>
    </w:p>
    <w:p>
      <w:pPr>
        <w:pStyle w:val="4"/>
      </w:pPr>
      <w:r>
        <w:t>7.2.1 社会影响因素</w:t>
      </w:r>
    </w:p>
    <w:p>
      <w:pPr>
        <w:rPr>
          <w:rFonts w:ascii="Times New Roman" w:hAnsi="Times New Roman" w:eastAsia="宋体" w:cstheme="minorBidi"/>
        </w:rPr>
      </w:pPr>
      <w:r>
        <w:rPr>
          <w:rFonts w:ascii="Times New Roman" w:hAnsi="Times New Roman" w:eastAsia="宋体" w:cstheme="minorBidi"/>
        </w:rPr>
        <w:t>带动当地就业增收：项目建设期间将为当地创造大量临时就业岗位，项目运营后将设置光伏运维、储能管理等长期岗位。</w:t>
      </w:r>
    </w:p>
    <w:p>
      <w:pPr>
        <w:rPr>
          <w:rFonts w:ascii="Times New Roman" w:hAnsi="Times New Roman" w:eastAsia="宋体" w:cstheme="minorBidi"/>
        </w:rPr>
      </w:pPr>
      <w:r>
        <w:rPr>
          <w:rFonts w:ascii="Times New Roman" w:hAnsi="Times New Roman" w:eastAsia="宋体" w:cstheme="minorBidi"/>
        </w:rPr>
        <w:t>改善区域能源供给条件：项目建成后将为用电企业提供稳定可靠的绿色电力供应，降低企业用能成本。</w:t>
      </w:r>
    </w:p>
    <w:p>
      <w:pPr>
        <w:rPr>
          <w:rFonts w:ascii="Times New Roman" w:hAnsi="Times New Roman" w:eastAsia="宋体" w:cstheme="minorBidi"/>
        </w:rPr>
      </w:pPr>
      <w:r>
        <w:rPr>
          <w:rFonts w:ascii="Times New Roman" w:hAnsi="Times New Roman" w:eastAsia="宋体" w:cstheme="minorBidi"/>
        </w:rPr>
        <w:t>提升区域绿色形象：本项目作为林光互补矿山综合治理示范工程，将显著提升当地在新能源领域的知名度和绿色形象。</w:t>
      </w:r>
    </w:p>
    <w:p>
      <w:pPr>
        <w:rPr>
          <w:rFonts w:ascii="Times New Roman" w:hAnsi="Times New Roman" w:eastAsia="宋体" w:cstheme="minorBidi"/>
        </w:rPr>
      </w:pPr>
      <w:r>
        <w:rPr>
          <w:rFonts w:ascii="Times New Roman" w:hAnsi="Times New Roman" w:eastAsia="宋体" w:cstheme="minorBidi"/>
        </w:rPr>
        <w:t>推动绿色理念普及：项目的建设和运营将向周边社区传递绿色低碳发展理念，提升公众的环保意识和新能源认知。</w:t>
      </w:r>
    </w:p>
    <w:p>
      <w:pPr>
        <w:rPr>
          <w:rFonts w:ascii="Times New Roman" w:hAnsi="Times New Roman" w:eastAsia="宋体" w:cstheme="minorBidi"/>
        </w:rPr>
      </w:pPr>
      <w:r>
        <w:rPr>
          <w:rFonts w:ascii="Times New Roman" w:hAnsi="Times New Roman" w:eastAsia="宋体" w:cstheme="minorBidi"/>
        </w:rPr>
        <w:t>促进社区和谐发展：项目建设单位作为地方国有企业，积极履行社会责任。</w:t>
      </w:r>
    </w:p>
    <w:p>
      <w:pPr>
        <w:rPr>
          <w:rFonts w:ascii="Times New Roman" w:hAnsi="Times New Roman" w:eastAsia="宋体" w:cstheme="minorBidi"/>
        </w:rPr>
      </w:pPr>
      <w:r>
        <w:rPr>
          <w:rFonts w:ascii="Times New Roman" w:hAnsi="Times New Roman" w:eastAsia="宋体" w:cstheme="minorBidi"/>
        </w:rPr>
        <w:t>增强区域产业吸引力：本项目作为新能源综合利用的创新示范，将增强区域在新能源产业领域的投资吸引力。</w:t>
      </w:r>
    </w:p>
    <w:p>
      <w:pPr>
        <w:pStyle w:val="4"/>
      </w:pPr>
      <w:r>
        <w:t>7.2.2 减缓负面社会影响的措施</w:t>
      </w:r>
    </w:p>
    <w:p>
      <w:pPr>
        <w:rPr>
          <w:rFonts w:ascii="Times New Roman" w:hAnsi="Times New Roman" w:eastAsia="宋体" w:cstheme="minorBidi"/>
        </w:rPr>
      </w:pPr>
      <w:r>
        <w:rPr>
          <w:rFonts w:ascii="Times New Roman" w:hAnsi="Times New Roman" w:eastAsia="宋体" w:cstheme="minorBidi"/>
        </w:rPr>
        <w:t>施工期交通管理措施：合理规划施工车辆运输路线和通行时间，避开居民出行高峰时段。</w:t>
      </w:r>
    </w:p>
    <w:p>
      <w:pPr>
        <w:rPr>
          <w:rFonts w:ascii="Times New Roman" w:hAnsi="Times New Roman" w:eastAsia="宋体" w:cstheme="minorBidi"/>
        </w:rPr>
      </w:pPr>
      <w:r>
        <w:rPr>
          <w:rFonts w:ascii="Times New Roman" w:hAnsi="Times New Roman" w:eastAsia="宋体" w:cstheme="minorBidi"/>
        </w:rPr>
        <w:t>噪声与扬尘控制措施：选用低噪声施工设备，采取洒水降尘、物料覆盖、道路硬化等措施。</w:t>
      </w:r>
    </w:p>
    <w:p>
      <w:pPr>
        <w:rPr>
          <w:rFonts w:ascii="Times New Roman" w:hAnsi="Times New Roman" w:eastAsia="宋体" w:cstheme="minorBidi"/>
        </w:rPr>
      </w:pPr>
      <w:r>
        <w:rPr>
          <w:rFonts w:ascii="Times New Roman" w:hAnsi="Times New Roman" w:eastAsia="宋体" w:cstheme="minorBidi"/>
        </w:rPr>
        <w:t>施工期间社区沟通机制：建立项目建设信息公开制度，定期向周边社区居民通报施工进度。</w:t>
      </w:r>
    </w:p>
    <w:p>
      <w:pPr>
        <w:rPr>
          <w:rFonts w:ascii="Times New Roman" w:hAnsi="Times New Roman" w:eastAsia="宋体" w:cstheme="minorBidi"/>
        </w:rPr>
      </w:pPr>
      <w:r>
        <w:rPr>
          <w:rFonts w:ascii="Times New Roman" w:hAnsi="Times New Roman" w:eastAsia="宋体" w:cstheme="minorBidi"/>
        </w:rPr>
        <w:t>运营期环境与社会管理：建立完善的环境监测体系，定期检测噪声、电磁辐射等环境指标。</w:t>
      </w:r>
    </w:p>
    <w:p>
      <w:pPr>
        <w:rPr>
          <w:rFonts w:ascii="Times New Roman" w:hAnsi="Times New Roman" w:eastAsia="宋体" w:cstheme="minorBidi"/>
        </w:rPr>
      </w:pPr>
      <w:r>
        <w:rPr>
          <w:rFonts w:ascii="Times New Roman" w:hAnsi="Times New Roman" w:eastAsia="宋体" w:cstheme="minorBidi"/>
        </w:rPr>
        <w:t>文化遗产与特殊区域保护：项目建设前开展全面的文物勘查和环境调查。</w:t>
      </w:r>
    </w:p>
    <w:p>
      <w:pPr>
        <w:pStyle w:val="3"/>
      </w:pPr>
      <w:r>
        <w:t>7.3 生态环境影响分析</w:t>
      </w:r>
    </w:p>
    <w:p>
      <w:pPr>
        <w:pStyle w:val="4"/>
      </w:pPr>
      <w:r>
        <w:t>7.3.1 建设项目所在地的生态环境现状</w:t>
      </w:r>
    </w:p>
    <w:p>
      <w:r>
        <w:t>项目选址位于河南省洛阳市汝阳县金堆城钼业东沟矿区尾矿库及周边工矿用地，属中低山丘陵地貌区，场地整体地势开阔平坦，海拔标高在400至700米之间。区域属暖温带半湿润大陆性季风气候，四季分明，光照充足，年平均日照时数超过2100小时。项目所在矿区已完成治理覆土，原尾矿库区域已形成相对稳定的地表形态，周边地表水系不发育，无自然保护区、风景名胜区、水源地等环境敏感区域分布。</w:t>
      </w:r>
    </w:p>
    <w:p>
      <w:pPr>
        <w:pStyle w:val="4"/>
      </w:pPr>
      <w:r>
        <w:t>7.3.2 项目在污染物排放、地理环境敏感区等方面的影响</w:t>
      </w:r>
    </w:p>
    <w:p>
      <w:pPr>
        <w:pStyle w:val="5"/>
      </w:pPr>
      <w:r>
        <w:t>1、建设期环境影响及治理措施</w:t>
      </w:r>
    </w:p>
    <w:p>
      <w:pPr>
        <w:rPr>
          <w:rFonts w:ascii="Times New Roman" w:hAnsi="Times New Roman" w:eastAsia="宋体" w:cstheme="minorBidi"/>
        </w:rPr>
      </w:pPr>
      <w:r>
        <w:rPr>
          <w:rFonts w:ascii="Times New Roman" w:hAnsi="Times New Roman" w:eastAsia="宋体" w:cstheme="minorBidi"/>
        </w:rPr>
        <w:t>对大气环境的影响：施工过程中的土方开挖、物料运输与堆放、场地平整等作业易产生扬尘。施工单位应使用符合环保标准的施工车辆设备，减少废气排放。</w:t>
      </w:r>
    </w:p>
    <w:p>
      <w:pPr>
        <w:rPr>
          <w:rFonts w:ascii="Times New Roman" w:hAnsi="Times New Roman" w:eastAsia="宋体" w:cstheme="minorBidi"/>
        </w:rPr>
      </w:pPr>
      <w:r>
        <w:rPr>
          <w:rFonts w:ascii="Times New Roman" w:hAnsi="Times New Roman" w:eastAsia="宋体" w:cstheme="minorBidi"/>
        </w:rPr>
        <w:t>对声环境的影响：各类施工机械在运行过程中会产生高强度噪声。应采取合理布局施工场地、选用低噪声设备、避免夜间施工等措施。</w:t>
      </w:r>
    </w:p>
    <w:p>
      <w:pPr>
        <w:rPr>
          <w:rFonts w:ascii="Times New Roman" w:hAnsi="Times New Roman" w:eastAsia="宋体" w:cstheme="minorBidi"/>
        </w:rPr>
      </w:pPr>
      <w:r>
        <w:rPr>
          <w:rFonts w:ascii="Times New Roman" w:hAnsi="Times New Roman" w:eastAsia="宋体" w:cstheme="minorBidi"/>
        </w:rPr>
        <w:t>固体废弃物影响：施工期固体废弃物主要来自施工过程中开挖的土方和废弃的建筑材料，经集中收集后全部运至城市垃圾处理场妥善堆放。</w:t>
      </w:r>
    </w:p>
    <w:p>
      <w:pPr>
        <w:rPr>
          <w:rFonts w:ascii="Times New Roman" w:hAnsi="Times New Roman" w:eastAsia="宋体" w:cstheme="minorBidi"/>
        </w:rPr>
      </w:pPr>
      <w:r>
        <w:rPr>
          <w:rFonts w:ascii="Times New Roman" w:hAnsi="Times New Roman" w:eastAsia="宋体" w:cstheme="minorBidi"/>
        </w:rPr>
        <w:t>水土保护的影响：项目建设需要占用一定面积的土地。在施工过程中，采取有效的水土流失防治措施，如设置截水沟、排水沟等排水设施，对开挖面和堆土区进行临时覆盖。</w:t>
      </w:r>
    </w:p>
    <w:p>
      <w:pPr>
        <w:pStyle w:val="5"/>
      </w:pPr>
      <w:r>
        <w:t>2、地质灾害影响分析</w:t>
      </w:r>
    </w:p>
    <w:p>
      <w:r>
        <w:t>该项目所处地段，地势相对平坦开阔，自然条件较好。矿区区域地壳稳定性评价为稳定型，未发现全新活动性断裂，不存在滑坡、崩塌、泥石流等地质灾害隐患。</w:t>
      </w:r>
    </w:p>
    <w:p>
      <w:pPr>
        <w:pStyle w:val="5"/>
      </w:pPr>
      <w:r>
        <w:t>3、特殊环境影响</w:t>
      </w:r>
    </w:p>
    <w:p>
      <w:r>
        <w:t>项目周围没有历史文化遗产、自然遗产、风景名胜和自然景观等，无特殊环境影响。</w:t>
      </w:r>
    </w:p>
    <w:p>
      <w:pPr>
        <w:pStyle w:val="5"/>
      </w:pPr>
      <w:r>
        <w:t>4、环境影响分析结论</w:t>
      </w:r>
    </w:p>
    <w:p>
      <w:r>
        <w:t>本项目在建设期和运营期通过采取适当的污染防治措施对污染物进行妥当处理，可以做到废气、废水、噪声及固体废弃物达标排放；并严格执行环保设施与主体工程同时设计、同时施工、同时投入运行的"三同时"制度，将对环境的影响降到最小。因此，从环境保护的角度进行分析，本项目的建设是可行的。</w:t>
      </w:r>
    </w:p>
    <w:p>
      <w:pPr>
        <w:pStyle w:val="3"/>
      </w:pPr>
      <w:r>
        <w:t>7.4 资源和能源利用效果分析</w:t>
      </w:r>
    </w:p>
    <w:p>
      <w:pPr>
        <w:pStyle w:val="4"/>
      </w:pPr>
      <w:r>
        <w:t>7.4.1 项目所需消耗的资源品种、数量、来源情况</w:t>
      </w:r>
    </w:p>
    <w:p>
      <w:r>
        <w:t>本项目属于新能源发电类项目，非高耗能、高耗水项目。项目运营阶段主要消耗的资源包括：少量淡水用于光伏组件定期清洗，年用水量有限，水源可利用矿区现有供水系统或收集雨水；电力主要用于站内设备运行和照明，由项目自身光伏发电系统供给；项目不涉及燃料消耗和原材料大规模投入。项目所需的核心资源为太阳能，当地年日照时数超过2100小时，太阳能资源较为丰富，能够保障光伏发电系统的稳定运行。</w:t>
      </w:r>
    </w:p>
    <w:p>
      <w:pPr>
        <w:pStyle w:val="4"/>
      </w:pPr>
      <w:r>
        <w:t>7.4.2 资源综合利用方案和资源节约措施</w:t>
      </w:r>
    </w:p>
    <w:p>
      <w:pPr>
        <w:pStyle w:val="5"/>
      </w:pPr>
      <w:r>
        <w:t>1、电气节能</w:t>
      </w:r>
    </w:p>
    <w:p>
      <w:r>
        <w:t>节能设备的选用及节电控制措施：变压器选用低损耗干式变压器；功率较大的电动机采用高压电动机；照明采用LED节能灯盘。功率因数的提高及谐波治理：照明灯具均采用高功率因数的电子镇流器，补偿后的功率因数大于0.93。多项分级计量：供配电系统采用能源管理系统，对各类型负荷均能实现电能的计量、统计、分析。</w:t>
      </w:r>
    </w:p>
    <w:p>
      <w:pPr>
        <w:pStyle w:val="5"/>
      </w:pPr>
      <w:r>
        <w:t>2、节水措施</w:t>
      </w:r>
    </w:p>
    <w:p>
      <w:r>
        <w:t>供水系统中尽量使用节能型阀门、水龙头等产品；经常检查供水系统是否正常，及时堵漏；提高用水回收率和重复利用率；卫生间采用节水型设备和器具；回收雨水作为浇洒绿地用水。</w:t>
      </w:r>
    </w:p>
    <w:p>
      <w:pPr>
        <w:pStyle w:val="5"/>
      </w:pPr>
      <w:r>
        <w:t>3、可再生能源利用</w:t>
      </w:r>
    </w:p>
    <w:p>
      <w:pPr>
        <w:rPr>
          <w:rFonts w:ascii="Times New Roman" w:hAnsi="Times New Roman" w:eastAsia="宋体" w:cstheme="minorBidi"/>
        </w:rPr>
      </w:pPr>
      <w:r>
        <w:rPr>
          <w:rFonts w:ascii="Times New Roman" w:hAnsi="Times New Roman" w:eastAsia="宋体" w:cstheme="minorBidi"/>
        </w:rPr>
        <w:t>太阳能利用系统：本项目核心即为光伏发电系统，通过光伏组件将太阳能直接转换为电能，为用电企业提供清洁电力。</w:t>
      </w:r>
    </w:p>
    <w:p>
      <w:pPr>
        <w:rPr>
          <w:rFonts w:ascii="Times New Roman" w:hAnsi="Times New Roman" w:eastAsia="宋体" w:cstheme="minorBidi"/>
        </w:rPr>
      </w:pPr>
      <w:r>
        <w:rPr>
          <w:rFonts w:ascii="Times New Roman" w:hAnsi="Times New Roman" w:eastAsia="宋体" w:cstheme="minorBidi"/>
        </w:rPr>
        <w:t>生物质能源利用：项目在光伏板下种植超级芦竹，作为能源植物进行生物质能源开发。</w:t>
      </w:r>
    </w:p>
    <w:p>
      <w:pPr>
        <w:rPr>
          <w:rFonts w:ascii="Times New Roman" w:hAnsi="Times New Roman" w:eastAsia="宋体" w:cstheme="minorBidi"/>
        </w:rPr>
      </w:pPr>
      <w:r>
        <w:rPr>
          <w:rFonts w:ascii="Times New Roman" w:hAnsi="Times New Roman" w:eastAsia="宋体" w:cstheme="minorBidi"/>
        </w:rPr>
        <w:t>雨水收集处理技术：为节约用水，建议项目单位考虑对雨水进行收集利用。</w:t>
      </w:r>
    </w:p>
    <w:p>
      <w:pPr>
        <w:pStyle w:val="3"/>
      </w:pPr>
      <w:r>
        <w:t>7.5 碳达峰碳中和分析</w:t>
      </w:r>
    </w:p>
    <w:p>
      <w:r>
        <w:t>本项目为光伏发电与生态修复相结合的清洁能源项目，整体碳排放水平极低，属于实质性的碳减排项目。项目运营期间通过光伏发电替代化石能源发电，每年可减少大量二氧化碳排放。配套建设的储能系统通过提高新能源消纳率，减少了因新能源弃用导致的化石能源替代量。光伏板下种植的超级芦竹作为高生物量产出的能源植物，在生长过程中可持续吸收二氧化碳，形成稳定的碳汇，进一步放大项目的碳减排效益。</w:t>
      </w:r>
    </w:p>
    <w:p>
      <w:r>
        <w:t>项目建设期间的碳排放主要来源于设备生产运输和施工活动，但这些一次性排放在项目投运后可通过清洁发电在短期内获得抵消。从全生命周期角度分析，项目的碳减排效益远大于建设期碳排放，具有显著的净碳减排效果，符合全面节约战略和循环经济发展要求。</w:t>
      </w:r>
    </w:p>
    <w:p>
      <w:r>
        <w:t>项目与河南省及洛阳市碳达峰碳中和工作高度契合。河南省明确提出大力发展非化石能源，推动能源结构优化调整，至2030年非化石能源占能源消费总量比重达到25%。本项目通过林光互补模式实现清洁能源生产与生态修复的双重效益，每年可产生可观的碳减排量和碳汇增量，为当地实现双碳目标作出积极贡献。</w:t>
      </w:r>
    </w:p>
    <w:p>
      <w:pPr>
        <w:pStyle w:val="2"/>
      </w:pPr>
      <w:r>
        <w:t>第八章 项目风险管控方案</w:t>
      </w:r>
    </w:p>
    <w:p>
      <w:pPr>
        <w:pStyle w:val="3"/>
      </w:pPr>
      <w:r>
        <w:t>8.1 风险识别与评价</w:t>
      </w:r>
    </w:p>
    <w:p>
      <w:r>
        <w:t>项目风险贯穿于项目建设和运营的全过程。本项目在建设、实施以及运营阶段可能主要存在以下风险：</w:t>
      </w:r>
    </w:p>
    <w:p>
      <w:pPr>
        <w:rPr>
          <w:rFonts w:ascii="Times New Roman" w:hAnsi="Times New Roman" w:eastAsia="宋体" w:cstheme="minorBidi"/>
        </w:rPr>
      </w:pPr>
      <w:r>
        <w:rPr>
          <w:rFonts w:ascii="Times New Roman" w:hAnsi="Times New Roman" w:eastAsia="宋体" w:cstheme="minorBidi"/>
        </w:rPr>
        <w:t>市场风险：本项目发电全部就近供给金堆城钼业公司消纳，电力销售依赖单一用电企业，若企业经营状况发生波动或产能缩减，将直接影响项目电力消纳和售电收入。光伏组件价格、储能设备成本受上下游产业链供需关系影响存在价格波动。随着新能源装机规模持续扩大，电力市场化改革深入推进，未来电价走势存在不确定性。</w:t>
      </w:r>
    </w:p>
    <w:p>
      <w:pPr>
        <w:rPr>
          <w:rFonts w:ascii="Times New Roman" w:hAnsi="Times New Roman" w:eastAsia="宋体" w:cstheme="minorBidi"/>
        </w:rPr>
      </w:pPr>
      <w:r>
        <w:rPr>
          <w:rFonts w:ascii="Times New Roman" w:hAnsi="Times New Roman" w:eastAsia="宋体" w:cstheme="minorBidi"/>
        </w:rPr>
        <w:t>资金风险：本项目总投资规模较大，资金来源以项目融资为主，若金融市场环境变化导致融资渠道收窄或融资成本上升，将影响项目建设资金及时到位。在项目建设过程中，若出现设备价格上涨、工程量增加或不可预见费用，可能导致投资超概算。</w:t>
      </w:r>
    </w:p>
    <w:p>
      <w:pPr>
        <w:rPr>
          <w:rFonts w:ascii="Times New Roman" w:hAnsi="Times New Roman" w:eastAsia="宋体" w:cstheme="minorBidi"/>
        </w:rPr>
      </w:pPr>
      <w:r>
        <w:rPr>
          <w:rFonts w:ascii="Times New Roman" w:hAnsi="Times New Roman" w:eastAsia="宋体" w:cstheme="minorBidi"/>
        </w:rPr>
        <w:t>项目策划及管理风险：本项目涵盖光伏发电、储能系统、微电网运营、虚拟电厂和超级芦竹种植等多个业态，各业态技术标准和管理要求差异较大，项目整体策划和跨业态协调难度较高。</w:t>
      </w:r>
    </w:p>
    <w:p>
      <w:pPr>
        <w:rPr>
          <w:rFonts w:ascii="Times New Roman" w:hAnsi="Times New Roman" w:eastAsia="宋体" w:cstheme="minorBidi"/>
        </w:rPr>
      </w:pPr>
      <w:r>
        <w:rPr>
          <w:rFonts w:ascii="Times New Roman" w:hAnsi="Times New Roman" w:eastAsia="宋体" w:cstheme="minorBidi"/>
        </w:rPr>
        <w:t>政策风险：新能源行业受国家和地方政策影响较大，电力市场化改革政策、新能源上网电价政策、储能扶持政策等若发生调整，可能直接影响项目收益模式和经济性。</w:t>
      </w:r>
    </w:p>
    <w:p>
      <w:pPr>
        <w:rPr>
          <w:rFonts w:ascii="Times New Roman" w:hAnsi="Times New Roman" w:eastAsia="宋体" w:cstheme="minorBidi"/>
        </w:rPr>
      </w:pPr>
      <w:r>
        <w:rPr>
          <w:rFonts w:ascii="Times New Roman" w:hAnsi="Times New Roman" w:eastAsia="宋体" w:cstheme="minorBidi"/>
        </w:rPr>
        <w:t>技术风险：本项目涉及光伏组件、储能电池、逆变器、能量管理系统和虚拟电厂平台等多种技术设备，虽然各项技术已相对成熟，但在多系统集成和长期运行中仍可能出现兼容性问题和性能衰减。</w:t>
      </w:r>
    </w:p>
    <w:p>
      <w:pPr>
        <w:pStyle w:val="3"/>
      </w:pPr>
      <w:r>
        <w:t>8.2 风险评估</w:t>
      </w:r>
    </w:p>
    <w:p>
      <w:r>
        <w:t>通过分析，本项目的风险的主要因素是市场因素和资金因素及管理风险变化因素等构成。</w:t>
      </w:r>
    </w:p>
    <w:p>
      <w:r>
        <w:t>由于本项目得到当地政府以及广大群众和相关部门的支持，关于资金、技术、工程方面的风险，均已在项目前期得到了相当的重视，通过政府各部门的有力协调该项目合理措施的制定与实施，可以将这些风险控制在可控范围内，对项目的实施影响程度较小。</w:t>
      </w:r>
    </w:p>
    <w:p>
      <w:r>
        <w:t>为确保项目顺利实施，建议项目的建设单位及相关部门应高度重视项目的具体操作，一开始就应该建立风险管理机制，确定相关的责任人，协调和监督项目在各阶段的运行情况。</w:t>
      </w:r>
    </w:p>
    <w:p>
      <w:pPr>
        <w:pStyle w:val="3"/>
      </w:pPr>
      <w:r>
        <w:t>8.3 风险管控方案</w:t>
      </w:r>
    </w:p>
    <w:p>
      <w:r>
        <w:t>项目投资的成功在很大程度上依赖于对风险的认识和管理，及早发现或预测到上述风险并能及时地采取有效的措施，可以化解或缓和、减轻、控制这些风险。本项目控制风险的措施如下：</w:t>
      </w:r>
    </w:p>
    <w:p>
      <w:pPr>
        <w:rPr>
          <w:rFonts w:ascii="Times New Roman" w:hAnsi="Times New Roman" w:eastAsia="宋体" w:cstheme="minorBidi"/>
        </w:rPr>
      </w:pPr>
      <w:r>
        <w:rPr>
          <w:rFonts w:ascii="Times New Roman" w:hAnsi="Times New Roman" w:eastAsia="宋体" w:cstheme="minorBidi"/>
        </w:rPr>
        <w:t>市场风险应对：加强与用电企业的沟通协调，签订长期稳定的电力供应协议，锁定售电关系和电价机制。密切关注电力市场动态和行业发展趋势，灵活调整运营策略，积极拓展虚拟电厂运营等增量收益渠道。</w:t>
      </w:r>
    </w:p>
    <w:p>
      <w:pPr>
        <w:rPr>
          <w:rFonts w:ascii="Times New Roman" w:hAnsi="Times New Roman" w:eastAsia="宋体" w:cstheme="minorBidi"/>
        </w:rPr>
      </w:pPr>
      <w:r>
        <w:rPr>
          <w:rFonts w:ascii="Times New Roman" w:hAnsi="Times New Roman" w:eastAsia="宋体" w:cstheme="minorBidi"/>
        </w:rPr>
        <w:t>资金风险应对：积极拓展多元化融资渠道，除银行贷款外探索绿色债券、融资租赁、产业基金等融资方式。合理编制投资预算和资金使用计划，严格执行工程概算管理，加强建设过程成本控制。</w:t>
      </w:r>
    </w:p>
    <w:p>
      <w:pPr>
        <w:rPr>
          <w:rFonts w:ascii="Times New Roman" w:hAnsi="Times New Roman" w:eastAsia="宋体" w:cstheme="minorBidi"/>
        </w:rPr>
      </w:pPr>
      <w:r>
        <w:rPr>
          <w:rFonts w:ascii="Times New Roman" w:hAnsi="Times New Roman" w:eastAsia="宋体" w:cstheme="minorBidi"/>
        </w:rPr>
        <w:t>项目策划及管理风险应对：完善项目组织架构，建立扁平化高效的管理体系。制定覆盖各业态的精细化管理制度和操作规程。加强人员培训和能力建设，制定岗位培训计划和职业发展通道。</w:t>
      </w:r>
    </w:p>
    <w:p>
      <w:pPr>
        <w:rPr>
          <w:rFonts w:ascii="Times New Roman" w:hAnsi="Times New Roman" w:eastAsia="宋体" w:cstheme="minorBidi"/>
        </w:rPr>
      </w:pPr>
      <w:r>
        <w:rPr>
          <w:rFonts w:ascii="Times New Roman" w:hAnsi="Times New Roman" w:eastAsia="宋体" w:cstheme="minorBidi"/>
        </w:rPr>
        <w:t>政策风险应对：安排专人跟踪国家和地方新能源政策、电力市场改革政策等动态。加强与政府主管部门的沟通联系，积极参与行业政策研讨和标准制定。</w:t>
      </w:r>
    </w:p>
    <w:p>
      <w:pPr>
        <w:rPr>
          <w:rFonts w:ascii="Times New Roman" w:hAnsi="Times New Roman" w:eastAsia="宋体" w:cstheme="minorBidi"/>
        </w:rPr>
      </w:pPr>
      <w:r>
        <w:rPr>
          <w:rFonts w:ascii="Times New Roman" w:hAnsi="Times New Roman" w:eastAsia="宋体" w:cstheme="minorBidi"/>
        </w:rPr>
        <w:t>技术风险应对：选用技术成熟、质量可靠的光伏组件、储能系统和逆变器等关键设备。与专业技术服务商建立长期合作关系。建立设备全生命周期维保体系，制定预防性维护计划和设备更新改造方案。</w:t>
      </w:r>
    </w:p>
    <w:p>
      <w:pPr>
        <w:pStyle w:val="3"/>
      </w:pPr>
      <w:r>
        <w:t>8.4 重大风险管控应急预案</w:t>
      </w:r>
    </w:p>
    <w:p>
      <w:r>
        <w:t>根据对各种风险因素及风险程度的分析，本项目面临的主要风险已经明确，针对这些风险因素提出如下防范和降低风险的措施：</w:t>
      </w:r>
    </w:p>
    <w:p>
      <w:pPr>
        <w:rPr>
          <w:rFonts w:ascii="Times New Roman" w:hAnsi="Times New Roman" w:eastAsia="宋体" w:cstheme="minorBidi"/>
        </w:rPr>
      </w:pPr>
      <w:r>
        <w:rPr>
          <w:rFonts w:ascii="Times New Roman" w:hAnsi="Times New Roman" w:eastAsia="宋体" w:cstheme="minorBidi"/>
        </w:rPr>
        <w:t>为了使该项目顺利实施，甲方事前做好充分准备，通过多渠道进行融资，利用好各级政府的各项优惠政策，在保证质量的前提下，加快项目实施进度，尽可能规避融资风险。</w:t>
      </w:r>
    </w:p>
    <w:p>
      <w:pPr>
        <w:rPr>
          <w:rFonts w:ascii="Times New Roman" w:hAnsi="Times New Roman" w:eastAsia="宋体" w:cstheme="minorBidi"/>
        </w:rPr>
      </w:pPr>
      <w:r>
        <w:rPr>
          <w:rFonts w:ascii="Times New Roman" w:hAnsi="Times New Roman" w:eastAsia="宋体" w:cstheme="minorBidi"/>
        </w:rPr>
        <w:t>加强光伏及储能工程施工管理，严格把控光伏组件安装、储能系统调试和微电网集成质量，确保各分项工程按期完工并顺利并网投产。</w:t>
      </w:r>
    </w:p>
    <w:p>
      <w:pPr>
        <w:rPr>
          <w:rFonts w:ascii="Times New Roman" w:hAnsi="Times New Roman" w:eastAsia="宋体" w:cstheme="minorBidi"/>
        </w:rPr>
      </w:pPr>
      <w:r>
        <w:rPr>
          <w:rFonts w:ascii="Times New Roman" w:hAnsi="Times New Roman" w:eastAsia="宋体" w:cstheme="minorBidi"/>
        </w:rPr>
        <w:t>加强项目运营管理，完善内部监管体系，严控工程造价和运营成本，提升跨业态统筹协调能力，确保项目投资效益最大化。</w:t>
      </w:r>
    </w:p>
    <w:p>
      <w:pPr>
        <w:rPr>
          <w:rFonts w:ascii="Times New Roman" w:hAnsi="Times New Roman" w:eastAsia="宋体" w:cstheme="minorBidi"/>
        </w:rPr>
      </w:pPr>
      <w:r>
        <w:rPr>
          <w:rFonts w:ascii="Times New Roman" w:hAnsi="Times New Roman" w:eastAsia="宋体" w:cstheme="minorBidi"/>
        </w:rPr>
        <w:t>密切关注国家宏观经济政策的变化，加强对影响行业的政策和相关因素的分析研究，及时制定有效的对策，尽可能把政策影响降低到最低水平。</w:t>
      </w:r>
    </w:p>
    <w:p>
      <w:pPr>
        <w:rPr>
          <w:rFonts w:ascii="Times New Roman" w:hAnsi="Times New Roman" w:eastAsia="宋体" w:cstheme="minorBidi"/>
        </w:rPr>
      </w:pPr>
      <w:r>
        <w:rPr>
          <w:rFonts w:ascii="Times New Roman" w:hAnsi="Times New Roman" w:eastAsia="宋体" w:cstheme="minorBidi"/>
        </w:rPr>
        <w:t>要严格贯彻执行建设和管理的有关法规，加强人员培训，严格技术管理，严把建设过程的每一道关口，确保工程质量稳定可靠。</w:t>
      </w:r>
    </w:p>
    <w:p>
      <w:pPr>
        <w:pStyle w:val="2"/>
      </w:pPr>
      <w:r>
        <w:t>第九章 结论和建议</w:t>
      </w:r>
    </w:p>
    <w:p>
      <w:pPr>
        <w:pStyle w:val="3"/>
      </w:pPr>
      <w:r>
        <w:t>9.1 结论</w:t>
      </w:r>
    </w:p>
    <w:p>
      <w:pPr>
        <w:rPr>
          <w:rFonts w:ascii="Times New Roman" w:hAnsi="Times New Roman" w:eastAsia="宋体" w:cstheme="minorBidi"/>
        </w:rPr>
      </w:pPr>
      <w:r>
        <w:rPr>
          <w:rFonts w:ascii="Times New Roman" w:hAnsi="Times New Roman" w:eastAsia="宋体" w:cstheme="minorBidi"/>
        </w:rPr>
        <w:t>项目建设顺应新能源发展趋势，符合国家和地方产业政策导向。项目采用林光互补模式，将光伏发电与矿山生态修复有机结合，契合"双碳"战略和乡村振兴战略要求。项目在已治理尾矿库工矿用地上建设，不占用基本农田和生态红线，选址合理、政策合规，具备良好的建设基础和实施必要性。</w:t>
      </w:r>
    </w:p>
    <w:p>
      <w:pPr>
        <w:rPr>
          <w:rFonts w:ascii="Times New Roman" w:hAnsi="Times New Roman" w:eastAsia="宋体" w:cstheme="minorBidi"/>
        </w:rPr>
      </w:pPr>
      <w:r>
        <w:rPr>
          <w:rFonts w:ascii="Times New Roman" w:hAnsi="Times New Roman" w:eastAsia="宋体" w:cstheme="minorBidi"/>
        </w:rPr>
        <w:t>项目建设方案科学可行，技术路线成熟可靠。项目采用源网荷储一体化微电网架构，配套建设储能系统和智能调度平台，技术方案在国内已有成功应用案例。项目所在地太阳能资源较为丰富，周边交通条件便利，供水供电通信等基础设施完善，建设条件充分具备，整体方案具有落地可行性。</w:t>
      </w:r>
    </w:p>
    <w:p>
      <w:pPr>
        <w:rPr>
          <w:rFonts w:ascii="Times New Roman" w:hAnsi="Times New Roman" w:eastAsia="宋体" w:cstheme="minorBidi"/>
        </w:rPr>
      </w:pPr>
      <w:r>
        <w:rPr>
          <w:rFonts w:ascii="Times New Roman" w:hAnsi="Times New Roman" w:eastAsia="宋体" w:cstheme="minorBidi"/>
        </w:rPr>
        <w:t>项目综合效益显著，风险总体可控。项目建成后可产生稳定的经济效益，同时创造就业岗位、带动区域新能源产业发展，具有良好的社会效益。项目采用自发自用运营模式，收益稳定可控；通过科学选址和规范设计，环境风险和运营风险均可有效防范，项目具备一定的抗风险能力。</w:t>
      </w:r>
    </w:p>
    <w:p>
      <w:pPr>
        <w:rPr>
          <w:rFonts w:ascii="Times New Roman" w:hAnsi="Times New Roman" w:eastAsia="宋体" w:cstheme="minorBidi"/>
        </w:rPr>
      </w:pPr>
      <w:r>
        <w:rPr>
          <w:rFonts w:ascii="Times New Roman" w:hAnsi="Times New Roman" w:eastAsia="宋体" w:cstheme="minorBidi"/>
        </w:rPr>
        <w:t>综合以上分析，本项目建设必要、方案可行、效益良好、风险可控，符合可持续发展理念和高质量发展要求。建议尽快启动项目建设，充分发挥项目在清洁能源供给、生态修复示范和产业带动等方面的综合价值，为区域经济绿色转型注入新动能。</w:t>
      </w:r>
    </w:p>
    <w:p>
      <w:pPr>
        <w:pStyle w:val="3"/>
      </w:pPr>
      <w:r>
        <w:t>9.2 建议</w:t>
      </w:r>
    </w:p>
    <w:p>
      <w:r>
        <w:t>建议建设单位加快项目的前期工作进程，积极落实建设资金，落实设计及施工单位，尽早开工，保质保量按时完成工程建设，及时投入使用，尽快发挥项目应有的社会效益。同时也建议政府各有关部门积极支持该项目的建设。</w:t>
      </w:r>
    </w:p>
    <w:p>
      <w:pPr>
        <w:rPr>
          <w:rFonts w:ascii="Times New Roman" w:hAnsi="Times New Roman" w:eastAsia="宋体" w:cstheme="minorBidi"/>
        </w:rPr>
      </w:pPr>
      <w:r>
        <w:rPr>
          <w:rFonts w:ascii="Times New Roman" w:hAnsi="Times New Roman" w:eastAsia="宋体" w:cstheme="minorBidi"/>
        </w:rPr>
        <w:t>向地方政府争取相关政策支持和优惠措施，例如税收优惠、绿色金融支持等。积极对接碳减排支持工具和绿色信贷政策，降低项目融资成本和建设运营成本。</w:t>
      </w:r>
    </w:p>
    <w:p>
      <w:pPr>
        <w:rPr>
          <w:rFonts w:ascii="Times New Roman" w:hAnsi="Times New Roman" w:eastAsia="宋体" w:cstheme="minorBidi"/>
        </w:rPr>
      </w:pPr>
      <w:r>
        <w:rPr>
          <w:rFonts w:ascii="Times New Roman" w:hAnsi="Times New Roman" w:eastAsia="宋体" w:cstheme="minorBidi"/>
        </w:rPr>
        <w:t>建设项目单位应尽早办理各种手续，抓紧时间落实项目备案、环评审批、能评审查、土地租赁协议签订等前期工作，并尽早组织设计招标、设备采购和施工招标。</w:t>
      </w:r>
    </w:p>
    <w:p>
      <w:pPr>
        <w:rPr>
          <w:rFonts w:ascii="Times New Roman" w:hAnsi="Times New Roman" w:eastAsia="宋体" w:cstheme="minorBidi"/>
        </w:rPr>
      </w:pPr>
      <w:r>
        <w:rPr>
          <w:rFonts w:ascii="Times New Roman" w:hAnsi="Times New Roman" w:eastAsia="宋体" w:cstheme="minorBidi"/>
        </w:rPr>
        <w:t>水、电、气、通风等设施应积极采用节能、节水、节材并符合环境保护和计量要求的新技术、新设备。光伏组件、逆变器、储能系统等核心设备应优先选用通过国家认证的高效节能产品。</w:t>
      </w:r>
    </w:p>
    <w:p>
      <w:pPr>
        <w:rPr>
          <w:rFonts w:ascii="Times New Roman" w:hAnsi="Times New Roman" w:eastAsia="宋体" w:cstheme="minorBidi"/>
        </w:rPr>
      </w:pPr>
      <w:r>
        <w:rPr>
          <w:rFonts w:ascii="Times New Roman" w:hAnsi="Times New Roman" w:eastAsia="宋体" w:cstheme="minorBidi"/>
        </w:rPr>
        <w:t>建议建设单位通过加强管理来控制工程风险。应建立健全项目管理制度，实行精细化管理，确保工程质量达标、投资可控、进度合理。</w:t>
      </w:r>
    </w:p>
    <w:p>
      <w:pPr>
        <w:rPr>
          <w:rFonts w:ascii="Times New Roman" w:hAnsi="Times New Roman" w:eastAsia="宋体" w:cstheme="minorBidi"/>
        </w:rPr>
      </w:pPr>
      <w:r>
        <w:rPr>
          <w:rFonts w:ascii="Times New Roman" w:hAnsi="Times New Roman" w:eastAsia="宋体" w:cstheme="minorBidi"/>
        </w:rPr>
        <w:t>为了尽快实施该项目，应当优化项目管理流程和执行计划。确保项目各阶段的设计、审批、采购和施工能够高效有序地进行。</w:t>
      </w:r>
    </w:p>
    <w:p>
      <w:pPr>
        <w:rPr>
          <w:rFonts w:ascii="Times New Roman" w:hAnsi="Times New Roman" w:eastAsia="宋体" w:cstheme="minorBidi"/>
        </w:rPr>
      </w:pPr>
      <w:r>
        <w:rPr>
          <w:rFonts w:ascii="Times New Roman" w:hAnsi="Times New Roman" w:eastAsia="宋体" w:cstheme="minorBidi"/>
        </w:rPr>
        <w:t>项目应严格按环保"三同时"原则，搞好环境治理工作。建设期和运营期同步落实大气污染防治、噪声控制、水土保持和生态修复措施。</w:t>
      </w:r>
    </w:p>
    <w:p>
      <w:pPr>
        <w:rPr>
          <w:rFonts w:ascii="Times New Roman" w:hAnsi="Times New Roman" w:eastAsia="宋体" w:cstheme="minorBidi"/>
        </w:rPr>
      </w:pPr>
      <w:r>
        <w:rPr>
          <w:rFonts w:ascii="Times New Roman" w:hAnsi="Times New Roman" w:eastAsia="宋体" w:cstheme="minorBidi"/>
        </w:rPr>
        <w:t>建议提前布局微电网运营团队建设和虚拟电厂平台开发，培养专业技术人才，做好运营期技术储备。</w:t>
      </w:r>
    </w:p>
    <w:sectPr>
      <w:footerReference r:id="rId5" w:type="default"/>
      <w:pgSz w:w="11906" w:h="16838"/>
      <w:pgMar w:top="1440" w:right="1800" w:bottom="1440" w:left="180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jc w:val="center"/>
    </w:pPr>
    <w:r>
      <w:rPr>
        <w:rFonts w:ascii="Times New Roman" w:hAnsi="Times New Roman" w:eastAsia="宋体"/>
        <w:color w:val="000000"/>
        <w:sz w:val="21"/>
        <w:szCs w:val="21"/>
      </w:rPr>
      <w:fldChar w:fldCharType="begin"/>
    </w:r>
    <w:r>
      <w:rPr>
        <w:rFonts w:ascii="Times New Roman" w:hAnsi="Times New Roman" w:eastAsia="宋体"/>
        <w:sz w:val="21"/>
        <w:szCs w:val="21"/>
      </w:rPr>
      <w:instrText xml:space="preserve"> PAGE </w:instrText>
    </w:r>
    <w:r>
      <w:rPr>
        <w:rFonts w:ascii="Times New Roman" w:hAnsi="Times New Roman" w:eastAsia="宋体"/>
        <w:sz w:val="21"/>
        <w:szCs w:val="21"/>
      </w:rPr>
      <w:fldChar w:fldCharType="separate"/>
    </w:r>
    <w:r>
      <w:rPr>
        <w:rFonts w:ascii="Times New Roman" w:hAnsi="Times New Roman" w:eastAsia="宋体"/>
        <w:sz w:val="21"/>
        <w:szCs w:val="21"/>
      </w:rPr>
      <w:t>1</w:t>
    </w:r>
    <w:r>
      <w:rPr>
        <w:rFonts w:ascii="Times New Roman" w:hAnsi="Times New Roman" w:eastAsia="宋体"/>
        <w:sz w:val="21"/>
        <w:szCs w:val="2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ind w:firstLine="560"/>
      </w:pPr>
      <w:r>
        <w:separator/>
      </w:r>
    </w:p>
  </w:footnote>
  <w:footnote w:type="continuationSeparator" w:id="1">
    <w:p>
      <w:pPr>
        <w:spacing w:before="0" w:after="0" w:line="360" w:lineRule="auto"/>
        <w:ind w:firstLine="56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53208E"/>
    <w:multiLevelType w:val="multilevel"/>
    <w:tmpl w:val="0053208E"/>
    <w:lvl w:ilvl="0" w:tentative="0">
      <w:start w:val="0"/>
      <w:numFmt w:val="chineseCounting"/>
      <w:lvlText w:val="%1、"/>
      <w:lvlJc w:val="left"/>
      <w:pPr>
        <w:ind w:left="480" w:hanging="480"/>
      </w:pPr>
    </w:lvl>
    <w:lvl w:ilvl="1" w:tentative="0">
      <w:start w:val="0"/>
      <w:numFmt w:val="chineseCountingThousand"/>
      <w:lvlText w:val="（%1）"/>
      <w:lvlJc w:val="left"/>
      <w:pPr>
        <w:ind w:left="480" w:hanging="480"/>
      </w:pPr>
    </w:lvl>
    <w:lvl w:ilvl="2" w:tentative="0">
      <w:start w:val="0"/>
      <w:numFmt w:val="ideographEnclosedCircle"/>
      <w:lvlText w:val="%1"/>
      <w:lvlJc w:val="left"/>
      <w:pPr>
        <w:ind w:left="480" w:hanging="480"/>
      </w:pPr>
    </w:lvl>
    <w:lvl w:ilvl="3" w:tentative="0">
      <w:start w:val="0"/>
      <w:numFmt w:val="lowerLetter"/>
      <w:lvlText w:val="%1."/>
      <w:lvlJc w:val="left"/>
      <w:pPr>
        <w:ind w:left="48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footnotePr>
    <w:footnote w:id="0"/>
    <w:footnote w:id="1"/>
  </w:footnotePr>
  <w:endnotePr>
    <w:endnote w:id="0"/>
    <w:endnote w:id="1"/>
  </w:endnotePr>
  <w:compat>
    <w:useFELayout/>
    <w:splitPgBreakAndParaMark/>
    <w:compatSetting w:name="compatibilityMode" w:uri="http://schemas.microsoft.com/office/word" w:val="12"/>
  </w:compat>
  <w:docVars>
    <w:docVar w:name="commondata" w:val="eyJoZGlkIjoiMjg5Y2I0MjJhNjk2YTNkNTBmZDQzOWRjNmQ4ZWQxMjUifQ=="/>
  </w:docVars>
  <w:rsids>
    <w:rsidRoot w:val="00000000"/>
    <w:rsid w:val="41CE7CC1"/>
    <w:rsid w:val="615D0F9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20" w:after="120" w:line="360" w:lineRule="auto"/>
      <w:ind w:firstLineChars="200"/>
      <w:jc w:val="both"/>
    </w:pPr>
    <w:rPr>
      <w:rFonts w:ascii="Times New Roman" w:hAnsi="Times New Roman" w:eastAsia="宋体" w:cstheme="minorBidi"/>
      <w:color w:val="000000"/>
      <w:sz w:val="28"/>
      <w:szCs w:val="28"/>
    </w:rPr>
  </w:style>
  <w:style w:type="paragraph" w:styleId="2">
    <w:name w:val="heading 1"/>
    <w:basedOn w:val="1"/>
    <w:next w:val="1"/>
    <w:qFormat/>
    <w:uiPriority w:val="0"/>
    <w:pPr>
      <w:keepNext/>
      <w:keepLines/>
      <w:pageBreakBefore/>
      <w:spacing w:before="240" w:after="240" w:line="360" w:lineRule="auto"/>
      <w:ind w:firstLine="0"/>
      <w:jc w:val="center"/>
      <w:outlineLvl w:val="0"/>
    </w:pPr>
    <w:rPr>
      <w:rFonts w:ascii="Times New Roman" w:hAnsi="Times New Roman" w:eastAsia="宋体"/>
      <w:b/>
      <w:bCs/>
      <w:color w:val="000000"/>
      <w:sz w:val="36"/>
      <w:szCs w:val="36"/>
    </w:rPr>
  </w:style>
  <w:style w:type="paragraph" w:styleId="3">
    <w:name w:val="heading 2"/>
    <w:basedOn w:val="1"/>
    <w:next w:val="1"/>
    <w:qFormat/>
    <w:uiPriority w:val="0"/>
    <w:pPr>
      <w:keepNext/>
      <w:keepLines/>
      <w:spacing w:before="120" w:after="120" w:line="360" w:lineRule="auto"/>
      <w:ind w:firstLine="0"/>
      <w:jc w:val="left"/>
      <w:outlineLvl w:val="1"/>
    </w:pPr>
    <w:rPr>
      <w:rFonts w:ascii="Times New Roman" w:hAnsi="Times New Roman" w:eastAsia="宋体"/>
      <w:b/>
      <w:bCs/>
      <w:color w:val="000000"/>
      <w:sz w:val="28"/>
      <w:szCs w:val="28"/>
    </w:rPr>
  </w:style>
  <w:style w:type="paragraph" w:styleId="4">
    <w:name w:val="heading 3"/>
    <w:basedOn w:val="1"/>
    <w:next w:val="1"/>
    <w:qFormat/>
    <w:uiPriority w:val="0"/>
    <w:pPr>
      <w:keepNext/>
      <w:keepLines/>
      <w:spacing w:before="240" w:after="240" w:line="360" w:lineRule="auto"/>
      <w:ind w:firstLine="0"/>
      <w:jc w:val="left"/>
      <w:outlineLvl w:val="2"/>
    </w:pPr>
    <w:rPr>
      <w:rFonts w:ascii="Times New Roman" w:hAnsi="Times New Roman" w:eastAsia="宋体"/>
      <w:b/>
      <w:bCs/>
      <w:color w:val="000000"/>
      <w:sz w:val="28"/>
      <w:szCs w:val="28"/>
    </w:rPr>
  </w:style>
  <w:style w:type="paragraph" w:styleId="5">
    <w:name w:val="heading 4"/>
    <w:basedOn w:val="1"/>
    <w:next w:val="1"/>
    <w:uiPriority w:val="0"/>
    <w:pPr>
      <w:keepNext/>
      <w:keepLines/>
      <w:spacing w:before="240" w:after="240" w:line="360" w:lineRule="auto"/>
      <w:ind w:firstLine="0"/>
      <w:jc w:val="left"/>
      <w:outlineLvl w:val="3"/>
    </w:pPr>
    <w:rPr>
      <w:rFonts w:ascii="Times New Roman" w:hAnsi="Times New Roman" w:eastAsia="宋体"/>
      <w:b/>
      <w:bCs/>
      <w:color w:val="000000"/>
      <w:sz w:val="28"/>
      <w:szCs w:val="28"/>
    </w:rPr>
  </w:style>
  <w:style w:type="character" w:default="1" w:styleId="10">
    <w:name w:val="Default Paragraph Font"/>
    <w:semiHidden/>
    <w:uiPriority w:val="0"/>
  </w:style>
  <w:style w:type="table" w:default="1" w:styleId="9">
    <w:name w:val="Normal Table"/>
    <w:semiHidden/>
    <w:uiPriority w:val="0"/>
    <w:tblPr>
      <w:tblCellMar>
        <w:top w:w="0" w:type="dxa"/>
        <w:left w:w="108" w:type="dxa"/>
        <w:bottom w:w="0" w:type="dxa"/>
        <w:right w:w="108" w:type="dxa"/>
      </w:tblCellMar>
    </w:tblPr>
  </w:style>
  <w:style w:type="paragraph" w:styleId="6">
    <w:name w:val="toc 3"/>
    <w:basedOn w:val="1"/>
    <w:next w:val="1"/>
    <w:qFormat/>
    <w:uiPriority w:val="0"/>
    <w:pPr>
      <w:tabs>
        <w:tab w:val="right" w:leader="dot" w:pos="8640"/>
      </w:tabs>
      <w:spacing w:before="60" w:after="60" w:line="360" w:lineRule="auto"/>
      <w:ind w:left="800" w:firstLine="0"/>
    </w:pPr>
    <w:rPr>
      <w:rFonts w:ascii="Times New Roman" w:hAnsi="Times New Roman" w:eastAsia="宋体"/>
      <w:color w:val="000000"/>
      <w:sz w:val="28"/>
      <w:szCs w:val="28"/>
    </w:rPr>
  </w:style>
  <w:style w:type="paragraph" w:styleId="7">
    <w:name w:val="toc 1"/>
    <w:basedOn w:val="1"/>
    <w:next w:val="1"/>
    <w:qFormat/>
    <w:uiPriority w:val="0"/>
    <w:pPr>
      <w:tabs>
        <w:tab w:val="right" w:leader="dot" w:pos="8640"/>
      </w:tabs>
      <w:spacing w:before="60" w:after="60" w:line="360" w:lineRule="auto"/>
      <w:ind w:left="0" w:firstLine="0"/>
    </w:pPr>
    <w:rPr>
      <w:rFonts w:ascii="Times New Roman" w:hAnsi="Times New Roman" w:eastAsia="宋体"/>
      <w:b/>
      <w:color w:val="000000"/>
      <w:sz w:val="28"/>
      <w:szCs w:val="28"/>
    </w:rPr>
  </w:style>
  <w:style w:type="paragraph" w:styleId="8">
    <w:name w:val="toc 2"/>
    <w:basedOn w:val="1"/>
    <w:next w:val="1"/>
    <w:uiPriority w:val="0"/>
    <w:pPr>
      <w:tabs>
        <w:tab w:val="right" w:leader="dot" w:pos="8640"/>
      </w:tabs>
      <w:spacing w:before="60" w:after="60" w:line="360" w:lineRule="auto"/>
      <w:ind w:left="400" w:firstLine="0"/>
    </w:pPr>
    <w:rPr>
      <w:rFonts w:ascii="Times New Roman" w:hAnsi="Times New Roman" w:eastAsia="宋体"/>
      <w:color w:val="00000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otalTime>10</TotalTime>
  <ScaleCrop>false</ScaleCrop>
  <LinksUpToDate>false</LinksUpToDate>
  <Application>WPS Office_11.1.0.15319_F1E327BC-269C-435d-A152-05C5408002CA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2026-06-09T10:57:00Z</dcterms:created>
  <dc:creator>lenovo</dc:creator>
  <cp:lastModifiedBy>超</cp:lastModifiedBy>
  <dcterms:modified xsi:type="dcterms:W3CDTF">2026-06-09T11:11:42Z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2052-11.1.0.15319</vt:lpwstr>
  </property>
  <property fmtid="{D5CDD505-2E9C-101B-9397-08002B2CF9AE}" pid="3" name="ICV">
    <vt:lpwstr>2CB2758A6B384591ABC00166F1EDB775_12</vt:lpwstr>
  </property>
</Properties>
</file>