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B508">
      <w:pPr>
        <w:pageBreakBefore/>
        <w:overflowPunct w:val="0"/>
        <w:adjustRightInd w:val="0"/>
        <w:snapToGrid w:val="0"/>
        <w:spacing w:line="560" w:lineRule="atLeast"/>
        <w:textAlignment w:val="bottom"/>
        <w:rPr>
          <w:rFonts w:ascii="仿宋" w:hAnsi="仿宋" w:eastAsia="仿宋" w:cstheme="minorEastAsia"/>
          <w:bCs/>
          <w:snapToGrid w:val="0"/>
          <w:kern w:val="0"/>
          <w:sz w:val="32"/>
          <w:szCs w:val="32"/>
        </w:rPr>
      </w:pPr>
      <w:r>
        <w:rPr>
          <w:rFonts w:hint="eastAsia" w:ascii="仿宋" w:hAnsi="仿宋" w:eastAsia="仿宋" w:cstheme="minorEastAsia"/>
          <w:bCs/>
          <w:snapToGrid w:val="0"/>
          <w:kern w:val="0"/>
          <w:sz w:val="32"/>
          <w:szCs w:val="32"/>
        </w:rPr>
        <w:t>附件</w:t>
      </w:r>
      <w:r>
        <w:rPr>
          <w:rFonts w:ascii="仿宋" w:hAnsi="仿宋" w:eastAsia="仿宋" w:cstheme="minorEastAsia"/>
          <w:bCs/>
          <w:snapToGrid w:val="0"/>
          <w:kern w:val="0"/>
          <w:sz w:val="32"/>
          <w:szCs w:val="32"/>
        </w:rPr>
        <w:t>1</w:t>
      </w:r>
      <w:r>
        <w:rPr>
          <w:rFonts w:hint="eastAsia" w:ascii="仿宋" w:hAnsi="仿宋" w:eastAsia="仿宋" w:cstheme="minorEastAsia"/>
          <w:bCs/>
          <w:snapToGrid w:val="0"/>
          <w:kern w:val="0"/>
          <w:sz w:val="32"/>
          <w:szCs w:val="32"/>
        </w:rPr>
        <w:t>：</w:t>
      </w:r>
    </w:p>
    <w:p w14:paraId="77091979">
      <w:pPr>
        <w:overflowPunct w:val="0"/>
        <w:snapToGrid w:val="0"/>
        <w:spacing w:line="316" w:lineRule="auto"/>
        <w:ind w:firstLine="1680"/>
        <w:textAlignment w:val="bottom"/>
        <w:rPr>
          <w:rFonts w:ascii="仿宋" w:hAnsi="仿宋" w:eastAsia="仿宋"/>
        </w:rPr>
      </w:pPr>
      <w:r>
        <w:rPr>
          <w:rFonts w:hint="eastAsia" w:ascii="仿宋" w:hAnsi="仿宋" w:eastAsia="仿宋"/>
          <w:kern w:val="0"/>
          <w:sz w:val="24"/>
        </w:rPr>
        <w:t xml:space="preserve">                           </w:t>
      </w:r>
      <w:r>
        <w:rPr>
          <w:rFonts w:hint="eastAsia" w:ascii="仿宋" w:hAnsi="仿宋" w:eastAsia="仿宋"/>
        </w:rPr>
        <w:t>编号</w:t>
      </w:r>
      <w:r>
        <w:rPr>
          <w:rFonts w:hint="eastAsia" w:ascii="仿宋" w:hAnsi="仿宋" w:eastAsia="仿宋"/>
          <w:lang w:eastAsia="zh-CN"/>
        </w:rPr>
        <w:t>：</w:t>
      </w:r>
      <w:r>
        <w:rPr>
          <w:rFonts w:hint="eastAsia" w:ascii="仿宋" w:hAnsi="仿宋" w:eastAsia="仿宋" w:cs="Times New Roman"/>
          <w:sz w:val="21"/>
          <w:szCs w:val="21"/>
          <w:u w:val="single"/>
          <w:shd w:val="pct10" w:color="auto" w:fill="FFFFFF"/>
          <w:lang w:val="en-US" w:eastAsia="zh-CN"/>
        </w:rPr>
        <w:t>中原银评估字2025第</w:t>
      </w:r>
      <w:r>
        <w:rPr>
          <w:rFonts w:hint="eastAsia" w:ascii="仿宋" w:hAnsi="仿宋" w:eastAsia="仿宋"/>
          <w:sz w:val="28"/>
          <w:szCs w:val="28"/>
          <w:u w:val="single"/>
          <w:shd w:val="pct10" w:color="auto" w:fill="FFFFFF"/>
        </w:rPr>
        <w:t xml:space="preserve">      </w:t>
      </w:r>
      <w:r>
        <w:rPr>
          <w:rFonts w:ascii="Calibri" w:hAnsi="Calibri" w:eastAsia="仿宋" w:cs="Calibri"/>
        </w:rPr>
        <w:t> </w:t>
      </w:r>
    </w:p>
    <w:p w14:paraId="29E9EF24">
      <w:pPr>
        <w:rPr>
          <w:rFonts w:ascii="仿宋" w:hAnsi="仿宋" w:eastAsia="仿宋"/>
        </w:rPr>
      </w:pPr>
      <w:r>
        <w:rPr>
          <w:rFonts w:ascii="Calibri" w:hAnsi="Calibri" w:eastAsia="仿宋" w:cs="Calibri"/>
        </w:rPr>
        <w:t> </w:t>
      </w:r>
    </w:p>
    <w:p w14:paraId="4DC316BB">
      <w:pPr>
        <w:rPr>
          <w:rFonts w:ascii="仿宋" w:hAnsi="仿宋" w:eastAsia="仿宋"/>
        </w:rPr>
      </w:pPr>
      <w:r>
        <w:rPr>
          <w:rFonts w:ascii="Calibri" w:hAnsi="Calibri" w:eastAsia="仿宋" w:cs="Calibri"/>
        </w:rPr>
        <w:t> </w:t>
      </w:r>
    </w:p>
    <w:p w14:paraId="1FA76F0C">
      <w:pPr>
        <w:rPr>
          <w:rFonts w:ascii="仿宋" w:hAnsi="仿宋" w:eastAsia="仿宋"/>
        </w:rPr>
      </w:pPr>
      <w:r>
        <w:rPr>
          <w:rFonts w:ascii="Calibri" w:hAnsi="Calibri" w:eastAsia="仿宋" w:cs="Calibri"/>
        </w:rPr>
        <w:t> </w:t>
      </w:r>
    </w:p>
    <w:p w14:paraId="40F15E19">
      <w:pPr>
        <w:rPr>
          <w:rFonts w:ascii="仿宋" w:hAnsi="仿宋" w:eastAsia="仿宋"/>
        </w:rPr>
      </w:pPr>
      <w:r>
        <w:rPr>
          <w:rFonts w:ascii="Calibri" w:hAnsi="Calibri" w:eastAsia="仿宋" w:cs="Calibri"/>
        </w:rPr>
        <w:t> </w:t>
      </w:r>
    </w:p>
    <w:p w14:paraId="140A37AB">
      <w:pPr>
        <w:jc w:val="center"/>
        <w:rPr>
          <w:rFonts w:ascii="仿宋" w:hAnsi="仿宋" w:eastAsia="仿宋" w:cs="宋体"/>
          <w:kern w:val="0"/>
          <w:sz w:val="24"/>
        </w:rPr>
      </w:pPr>
    </w:p>
    <w:p w14:paraId="1B4DCB3A">
      <w:pPr>
        <w:spacing w:line="480" w:lineRule="auto"/>
        <w:jc w:val="center"/>
        <w:rPr>
          <w:rFonts w:ascii="仿宋" w:hAnsi="仿宋" w:eastAsia="仿宋"/>
          <w:b/>
          <w:sz w:val="48"/>
        </w:rPr>
      </w:pPr>
      <w:r>
        <w:rPr>
          <w:rFonts w:hint="eastAsia" w:ascii="仿宋" w:hAnsi="仿宋" w:eastAsia="仿宋"/>
          <w:b/>
          <w:sz w:val="48"/>
        </w:rPr>
        <w:t>中 原 银 行 项 目 评 估 报 告</w:t>
      </w:r>
    </w:p>
    <w:p w14:paraId="1F9D6AF6">
      <w:pPr>
        <w:spacing w:line="480" w:lineRule="auto"/>
        <w:jc w:val="center"/>
        <w:rPr>
          <w:rFonts w:ascii="仿宋" w:hAnsi="仿宋" w:eastAsia="仿宋" w:cs="宋体"/>
          <w:kern w:val="0"/>
          <w:sz w:val="24"/>
        </w:rPr>
      </w:pPr>
      <w:r>
        <w:rPr>
          <w:rFonts w:hint="eastAsia" w:ascii="仿宋" w:hAnsi="仿宋" w:eastAsia="仿宋"/>
          <w:sz w:val="28"/>
          <w:szCs w:val="28"/>
        </w:rPr>
        <w:t>（适用于固定资产贷款）</w:t>
      </w:r>
    </w:p>
    <w:p w14:paraId="36044FD6">
      <w:pPr>
        <w:rPr>
          <w:rFonts w:ascii="仿宋" w:hAnsi="仿宋" w:eastAsia="仿宋"/>
        </w:rPr>
      </w:pPr>
      <w:r>
        <w:rPr>
          <w:rFonts w:ascii="Calibri" w:hAnsi="Calibri" w:eastAsia="仿宋" w:cs="Calibri"/>
        </w:rPr>
        <w:t> </w:t>
      </w:r>
    </w:p>
    <w:p w14:paraId="64CBFDC4">
      <w:pPr>
        <w:rPr>
          <w:rFonts w:ascii="仿宋" w:hAnsi="仿宋" w:eastAsia="仿宋"/>
        </w:rPr>
      </w:pPr>
      <w:r>
        <w:rPr>
          <w:rFonts w:ascii="Calibri" w:hAnsi="Calibri" w:eastAsia="仿宋" w:cs="Calibri"/>
        </w:rPr>
        <w:t> </w:t>
      </w:r>
    </w:p>
    <w:p w14:paraId="024394EA">
      <w:pPr>
        <w:jc w:val="center"/>
        <w:rPr>
          <w:rFonts w:ascii="仿宋" w:hAnsi="仿宋" w:eastAsia="仿宋"/>
        </w:rPr>
      </w:pPr>
    </w:p>
    <w:p w14:paraId="4A4AD304">
      <w:pPr>
        <w:jc w:val="center"/>
        <w:rPr>
          <w:rFonts w:ascii="仿宋" w:hAnsi="仿宋" w:eastAsia="仿宋"/>
        </w:rPr>
      </w:pPr>
    </w:p>
    <w:p w14:paraId="2CB3CB06">
      <w:pPr>
        <w:jc w:val="center"/>
        <w:rPr>
          <w:rFonts w:ascii="仿宋" w:hAnsi="仿宋" w:eastAsia="仿宋"/>
        </w:rPr>
      </w:pPr>
    </w:p>
    <w:p w14:paraId="1480CE40">
      <w:pPr>
        <w:jc w:val="center"/>
        <w:rPr>
          <w:rFonts w:ascii="仿宋" w:hAnsi="仿宋" w:eastAsia="仿宋"/>
        </w:rPr>
      </w:pPr>
    </w:p>
    <w:p w14:paraId="548CC5D5">
      <w:pPr>
        <w:jc w:val="center"/>
        <w:rPr>
          <w:rFonts w:ascii="仿宋" w:hAnsi="仿宋" w:eastAsia="仿宋"/>
        </w:rPr>
      </w:pPr>
    </w:p>
    <w:p w14:paraId="718D13E1">
      <w:pPr>
        <w:jc w:val="center"/>
        <w:rPr>
          <w:rFonts w:ascii="仿宋" w:hAnsi="仿宋" w:eastAsia="仿宋"/>
        </w:rPr>
      </w:pPr>
    </w:p>
    <w:p w14:paraId="79389DA7">
      <w:pPr>
        <w:tabs>
          <w:tab w:val="left" w:pos="8200"/>
        </w:tabs>
        <w:ind w:right="326" w:rightChars="0"/>
        <w:rPr>
          <w:rFonts w:hint="eastAsia" w:ascii="仿宋" w:hAnsi="仿宋" w:eastAsia="仿宋"/>
          <w:sz w:val="28"/>
        </w:rPr>
      </w:pPr>
      <w:r>
        <w:rPr>
          <w:rFonts w:hint="eastAsia" w:ascii="仿宋" w:hAnsi="仿宋" w:eastAsia="仿宋"/>
          <w:sz w:val="28"/>
        </w:rPr>
        <w:t>项 目 名 称：河南大成包装材料有限公司源网荷储一体化项目</w:t>
      </w:r>
    </w:p>
    <w:p w14:paraId="31CC6849">
      <w:pPr>
        <w:ind w:right="560"/>
        <w:rPr>
          <w:rFonts w:hint="eastAsia" w:ascii="仿宋" w:hAnsi="仿宋" w:eastAsia="仿宋"/>
          <w:sz w:val="28"/>
        </w:rPr>
      </w:pPr>
      <w:r>
        <w:rPr>
          <w:rFonts w:hint="eastAsia" w:ascii="仿宋" w:hAnsi="仿宋" w:eastAsia="仿宋"/>
          <w:sz w:val="28"/>
        </w:rPr>
        <w:t>借款人名 称：河南中原智慧冷链物流园管理运营有限公司</w:t>
      </w:r>
    </w:p>
    <w:p w14:paraId="7AD12839">
      <w:pPr>
        <w:ind w:right="560"/>
        <w:rPr>
          <w:rFonts w:ascii="仿宋" w:hAnsi="仿宋" w:eastAsia="仿宋"/>
        </w:rPr>
      </w:pPr>
      <w:r>
        <w:rPr>
          <w:rFonts w:hint="eastAsia" w:ascii="仿宋" w:hAnsi="仿宋" w:eastAsia="仿宋"/>
          <w:sz w:val="28"/>
        </w:rPr>
        <w:t>经 办 机 构：</w:t>
      </w:r>
      <w:r>
        <w:rPr>
          <w:rFonts w:hint="eastAsia" w:ascii="仿宋" w:hAnsi="仿宋" w:eastAsia="仿宋"/>
          <w:sz w:val="28"/>
          <w:szCs w:val="28"/>
          <w:u w:val="single"/>
          <w:shd w:val="pct10" w:color="auto" w:fill="FFFFFF"/>
          <w:lang w:val="en-US" w:eastAsia="zh-CN"/>
        </w:rPr>
        <w:t>新乡</w:t>
      </w:r>
      <w:r>
        <w:rPr>
          <w:rFonts w:hint="eastAsia" w:ascii="仿宋" w:hAnsi="仿宋" w:eastAsia="仿宋"/>
          <w:sz w:val="28"/>
          <w:szCs w:val="28"/>
          <w:u w:val="single"/>
          <w:shd w:val="pct10" w:color="auto" w:fill="FFFFFF"/>
          <w:lang w:eastAsia="zh-CN"/>
        </w:rPr>
        <w:t>分行</w:t>
      </w:r>
      <w:r>
        <w:rPr>
          <w:rFonts w:hint="eastAsia" w:ascii="仿宋" w:hAnsi="仿宋" w:eastAsia="仿宋"/>
          <w:sz w:val="28"/>
          <w:szCs w:val="28"/>
          <w:u w:val="single"/>
          <w:shd w:val="pct10" w:color="auto" w:fill="FFFFFF"/>
          <w:lang w:val="en-US" w:eastAsia="zh-CN"/>
        </w:rPr>
        <w:t>获嘉县</w:t>
      </w:r>
      <w:r>
        <w:rPr>
          <w:rFonts w:hint="eastAsia" w:ascii="仿宋" w:hAnsi="仿宋" w:eastAsia="仿宋"/>
          <w:sz w:val="28"/>
          <w:szCs w:val="28"/>
          <w:u w:val="single"/>
          <w:shd w:val="pct10" w:color="auto" w:fill="FFFFFF"/>
          <w:lang w:eastAsia="zh-CN"/>
        </w:rPr>
        <w:t>支行</w:t>
      </w:r>
      <w:r>
        <w:rPr>
          <w:rFonts w:hint="eastAsia" w:ascii="仿宋" w:hAnsi="仿宋" w:eastAsia="仿宋"/>
          <w:sz w:val="28"/>
          <w:szCs w:val="28"/>
          <w:u w:val="single"/>
          <w:shd w:val="pct10" w:color="auto" w:fill="FFFFFF"/>
        </w:rPr>
        <w:t xml:space="preserve">   </w:t>
      </w:r>
      <w:r>
        <w:rPr>
          <w:rFonts w:hint="eastAsia" w:ascii="仿宋" w:hAnsi="仿宋" w:eastAsia="仿宋"/>
          <w:sz w:val="28"/>
          <w:szCs w:val="28"/>
          <w:u w:val="single"/>
          <w:shd w:val="pct10" w:color="auto" w:fill="FFFFFF"/>
          <w:lang w:val="en-US" w:eastAsia="zh-CN"/>
        </w:rPr>
        <w:t xml:space="preserve">                      </w:t>
      </w:r>
      <w:r>
        <w:rPr>
          <w:rFonts w:hint="eastAsia" w:ascii="仿宋" w:hAnsi="仿宋" w:eastAsia="仿宋"/>
          <w:sz w:val="28"/>
          <w:szCs w:val="28"/>
          <w:u w:val="single"/>
          <w:shd w:val="pct10" w:color="auto" w:fill="FFFFFF"/>
        </w:rPr>
        <w:t xml:space="preserve">        </w:t>
      </w:r>
    </w:p>
    <w:p w14:paraId="5F7E4BC6">
      <w:pPr>
        <w:ind w:right="560"/>
        <w:rPr>
          <w:rFonts w:ascii="仿宋" w:hAnsi="仿宋" w:eastAsia="仿宋"/>
        </w:rPr>
      </w:pPr>
      <w:r>
        <w:rPr>
          <w:rFonts w:hint="eastAsia" w:ascii="仿宋" w:hAnsi="仿宋" w:eastAsia="仿宋"/>
          <w:sz w:val="28"/>
        </w:rPr>
        <w:t>审 核 机 构：</w:t>
      </w:r>
      <w:r>
        <w:rPr>
          <w:rFonts w:hint="eastAsia" w:ascii="仿宋" w:hAnsi="仿宋" w:eastAsia="仿宋"/>
          <w:sz w:val="28"/>
          <w:szCs w:val="28"/>
          <w:u w:val="single"/>
          <w:shd w:val="pct10" w:color="auto" w:fill="FFFFFF"/>
        </w:rPr>
        <w:t xml:space="preserve"> </w:t>
      </w:r>
      <w:r>
        <w:rPr>
          <w:rFonts w:hint="eastAsia" w:ascii="仿宋" w:hAnsi="仿宋" w:eastAsia="仿宋"/>
          <w:color w:val="FF0000"/>
          <w:sz w:val="28"/>
          <w:szCs w:val="28"/>
          <w:u w:val="single"/>
          <w:shd w:val="pct10" w:color="auto" w:fill="FFFFFF"/>
          <w:lang w:eastAsia="zh-CN"/>
        </w:rPr>
        <w:t>总行授信管理部</w:t>
      </w:r>
      <w:r>
        <w:rPr>
          <w:rFonts w:hint="eastAsia" w:ascii="仿宋" w:hAnsi="仿宋" w:eastAsia="仿宋"/>
          <w:sz w:val="28"/>
          <w:szCs w:val="28"/>
          <w:u w:val="single"/>
          <w:shd w:val="pct10" w:color="auto" w:fill="FFFFFF"/>
          <w:lang w:val="en-US" w:eastAsia="zh-CN"/>
        </w:rPr>
        <w:t xml:space="preserve">               </w:t>
      </w:r>
      <w:r>
        <w:rPr>
          <w:rFonts w:hint="eastAsia" w:ascii="仿宋" w:hAnsi="仿宋" w:eastAsia="仿宋"/>
          <w:sz w:val="28"/>
          <w:szCs w:val="28"/>
          <w:u w:val="single"/>
          <w:shd w:val="pct10" w:color="auto" w:fill="FFFFFF"/>
        </w:rPr>
        <w:t xml:space="preserve">            </w:t>
      </w:r>
      <w:r>
        <w:rPr>
          <w:rFonts w:ascii="Calibri" w:hAnsi="Calibri" w:eastAsia="仿宋" w:cs="Calibri"/>
        </w:rPr>
        <w:t> </w:t>
      </w:r>
    </w:p>
    <w:p w14:paraId="628AC86A">
      <w:pPr>
        <w:ind w:right="560"/>
        <w:rPr>
          <w:rFonts w:ascii="仿宋" w:hAnsi="仿宋" w:eastAsia="仿宋"/>
        </w:rPr>
      </w:pPr>
      <w:r>
        <w:rPr>
          <w:rFonts w:hint="eastAsia" w:ascii="仿宋" w:hAnsi="仿宋" w:eastAsia="仿宋"/>
          <w:sz w:val="28"/>
        </w:rPr>
        <w:t>生 效 日 期：</w:t>
      </w:r>
      <w:r>
        <w:rPr>
          <w:rFonts w:hint="eastAsia" w:ascii="仿宋" w:hAnsi="仿宋" w:eastAsia="仿宋"/>
          <w:sz w:val="28"/>
          <w:szCs w:val="28"/>
          <w:u w:val="single"/>
          <w:shd w:val="pct10" w:color="auto" w:fill="FFFFFF"/>
          <w:lang w:val="en-US" w:eastAsia="zh-CN"/>
        </w:rPr>
        <w:t>2025.6.10</w:t>
      </w:r>
      <w:r>
        <w:rPr>
          <w:rFonts w:hint="eastAsia" w:ascii="仿宋" w:hAnsi="仿宋" w:eastAsia="仿宋"/>
          <w:sz w:val="28"/>
          <w:szCs w:val="28"/>
          <w:u w:val="single"/>
          <w:shd w:val="pct10" w:color="auto" w:fill="FFFFFF"/>
        </w:rPr>
        <w:t xml:space="preserve">     </w:t>
      </w:r>
      <w:r>
        <w:rPr>
          <w:rFonts w:ascii="Calibri" w:hAnsi="Calibri" w:eastAsia="仿宋" w:cs="Calibri"/>
        </w:rPr>
        <w:t> </w:t>
      </w:r>
    </w:p>
    <w:p w14:paraId="2739B8F0">
      <w:pPr>
        <w:ind w:right="560" w:firstLine="1680" w:firstLineChars="800"/>
        <w:rPr>
          <w:rFonts w:ascii="仿宋" w:hAnsi="仿宋" w:eastAsia="仿宋"/>
        </w:rPr>
      </w:pPr>
    </w:p>
    <w:p w14:paraId="168166AE">
      <w:pPr>
        <w:tabs>
          <w:tab w:val="left" w:pos="1260"/>
        </w:tabs>
        <w:spacing w:line="480" w:lineRule="auto"/>
        <w:ind w:right="-17" w:firstLine="1680" w:firstLineChars="800"/>
        <w:rPr>
          <w:rFonts w:ascii="仿宋" w:hAnsi="仿宋" w:eastAsia="仿宋"/>
        </w:rPr>
      </w:pPr>
    </w:p>
    <w:p w14:paraId="60ABA8BA">
      <w:pPr>
        <w:jc w:val="center"/>
        <w:rPr>
          <w:rFonts w:ascii="仿宋" w:hAnsi="仿宋" w:eastAsia="仿宋"/>
        </w:rPr>
      </w:pPr>
    </w:p>
    <w:p w14:paraId="47464927">
      <w:pPr>
        <w:jc w:val="center"/>
        <w:rPr>
          <w:rFonts w:ascii="仿宋" w:hAnsi="仿宋" w:eastAsia="仿宋"/>
        </w:rPr>
      </w:pPr>
    </w:p>
    <w:p w14:paraId="26C88392">
      <w:pPr>
        <w:jc w:val="center"/>
        <w:rPr>
          <w:rFonts w:ascii="仿宋" w:hAnsi="仿宋" w:eastAsia="仿宋"/>
        </w:rPr>
      </w:pPr>
    </w:p>
    <w:p w14:paraId="5C8BECB6">
      <w:pPr>
        <w:jc w:val="center"/>
        <w:rPr>
          <w:rFonts w:ascii="仿宋" w:hAnsi="仿宋" w:eastAsia="仿宋"/>
        </w:rPr>
      </w:pPr>
    </w:p>
    <w:p w14:paraId="08330ED1">
      <w:pPr>
        <w:jc w:val="center"/>
        <w:rPr>
          <w:rFonts w:ascii="仿宋" w:hAnsi="仿宋" w:eastAsia="仿宋"/>
        </w:rPr>
      </w:pPr>
    </w:p>
    <w:p w14:paraId="31AF87DD">
      <w:pPr>
        <w:jc w:val="center"/>
        <w:rPr>
          <w:rFonts w:ascii="仿宋" w:hAnsi="仿宋" w:eastAsia="仿宋"/>
        </w:rPr>
      </w:pPr>
    </w:p>
    <w:p w14:paraId="39A5F047">
      <w:pPr>
        <w:jc w:val="center"/>
        <w:rPr>
          <w:rFonts w:ascii="仿宋" w:hAnsi="仿宋" w:eastAsia="仿宋"/>
        </w:rPr>
      </w:pPr>
    </w:p>
    <w:p w14:paraId="7A2E0DA7">
      <w:pPr>
        <w:snapToGrid w:val="0"/>
        <w:jc w:val="center"/>
        <w:rPr>
          <w:rFonts w:ascii="仿宋" w:hAnsi="仿宋" w:eastAsia="仿宋" w:cstheme="majorEastAsia"/>
          <w:b/>
          <w:sz w:val="36"/>
          <w:szCs w:val="36"/>
        </w:rPr>
      </w:pPr>
    </w:p>
    <w:p w14:paraId="10A94397">
      <w:pPr>
        <w:snapToGrid w:val="0"/>
        <w:jc w:val="center"/>
        <w:rPr>
          <w:rFonts w:ascii="仿宋" w:hAnsi="仿宋" w:eastAsia="仿宋" w:cstheme="majorEastAsia"/>
          <w:b/>
          <w:sz w:val="36"/>
          <w:szCs w:val="36"/>
        </w:rPr>
      </w:pPr>
    </w:p>
    <w:p w14:paraId="49128238">
      <w:pPr>
        <w:snapToGrid w:val="0"/>
        <w:jc w:val="center"/>
        <w:rPr>
          <w:rFonts w:ascii="仿宋" w:hAnsi="仿宋" w:eastAsia="仿宋" w:cstheme="majorEastAsia"/>
          <w:b/>
          <w:sz w:val="36"/>
          <w:szCs w:val="36"/>
        </w:rPr>
      </w:pPr>
    </w:p>
    <w:p w14:paraId="3827A1F8">
      <w:pPr>
        <w:sectPr>
          <w:pgSz w:w="11906" w:h="16838"/>
          <w:pgMar w:top="1440" w:right="1800" w:bottom="1440" w:left="1800" w:header="851" w:footer="992" w:gutter="0"/>
          <w:cols w:space="425" w:num="1"/>
          <w:docGrid w:type="lines" w:linePitch="312" w:charSpace="0"/>
        </w:sectPr>
      </w:pPr>
    </w:p>
    <w:p w14:paraId="2CAE44DA">
      <w:pPr>
        <w:snapToGrid w:val="0"/>
        <w:jc w:val="center"/>
        <w:rPr>
          <w:rFonts w:ascii="仿宋" w:hAnsi="仿宋" w:eastAsia="仿宋" w:cstheme="majorEastAsia"/>
          <w:b/>
          <w:sz w:val="36"/>
          <w:szCs w:val="36"/>
        </w:rPr>
      </w:pPr>
      <w:r>
        <w:rPr>
          <w:rFonts w:hint="eastAsia" w:ascii="仿宋" w:hAnsi="仿宋" w:eastAsia="仿宋" w:cstheme="majorEastAsia"/>
          <w:b/>
          <w:sz w:val="36"/>
          <w:szCs w:val="36"/>
        </w:rPr>
        <w:t>目</w:t>
      </w:r>
      <w:r>
        <w:rPr>
          <w:rFonts w:ascii="Calibri" w:hAnsi="Calibri" w:eastAsia="仿宋" w:cs="Calibri"/>
          <w:b/>
          <w:sz w:val="36"/>
          <w:szCs w:val="36"/>
        </w:rPr>
        <w:t>  </w:t>
      </w:r>
      <w:r>
        <w:rPr>
          <w:rFonts w:hint="eastAsia" w:ascii="仿宋" w:hAnsi="仿宋" w:eastAsia="仿宋" w:cstheme="majorEastAsia"/>
          <w:b/>
          <w:sz w:val="36"/>
          <w:szCs w:val="36"/>
        </w:rPr>
        <w:t>录</w:t>
      </w:r>
    </w:p>
    <w:p w14:paraId="6505414E">
      <w:pPr>
        <w:rPr>
          <w:rFonts w:ascii="仿宋" w:hAnsi="仿宋" w:eastAsia="仿宋" w:cs="宋体"/>
          <w:kern w:val="0"/>
          <w:sz w:val="24"/>
        </w:rPr>
      </w:pPr>
      <w:r>
        <w:rPr>
          <w:rFonts w:ascii="Calibri" w:hAnsi="Calibri" w:eastAsia="仿宋" w:cs="Calibri"/>
        </w:rPr>
        <w:t> </w:t>
      </w:r>
    </w:p>
    <w:p w14:paraId="711ABC3C">
      <w:pPr>
        <w:ind w:firstLine="602" w:firstLineChars="200"/>
        <w:rPr>
          <w:rFonts w:ascii="仿宋" w:hAnsi="仿宋" w:eastAsia="仿宋"/>
          <w:b/>
          <w:bCs/>
          <w:sz w:val="30"/>
          <w:szCs w:val="30"/>
        </w:rPr>
      </w:pPr>
      <w:r>
        <w:rPr>
          <w:rFonts w:hint="eastAsia" w:ascii="仿宋" w:hAnsi="仿宋" w:eastAsia="仿宋"/>
          <w:b/>
          <w:bCs/>
          <w:sz w:val="30"/>
          <w:szCs w:val="30"/>
        </w:rPr>
        <w:t>第一章 总评价</w:t>
      </w:r>
    </w:p>
    <w:p w14:paraId="58700C9C">
      <w:pPr>
        <w:ind w:firstLine="602" w:firstLineChars="200"/>
        <w:rPr>
          <w:rFonts w:ascii="仿宋" w:hAnsi="仿宋" w:eastAsia="仿宋"/>
          <w:b/>
          <w:bCs/>
          <w:sz w:val="30"/>
          <w:szCs w:val="30"/>
        </w:rPr>
      </w:pPr>
      <w:r>
        <w:rPr>
          <w:rFonts w:hint="eastAsia" w:ascii="仿宋" w:hAnsi="仿宋" w:eastAsia="仿宋"/>
          <w:b/>
          <w:bCs/>
          <w:sz w:val="30"/>
          <w:szCs w:val="30"/>
        </w:rPr>
        <w:t>第二章 项目参与人评价</w:t>
      </w:r>
    </w:p>
    <w:p w14:paraId="386AA7AB">
      <w:pPr>
        <w:ind w:firstLine="602" w:firstLineChars="200"/>
        <w:rPr>
          <w:rFonts w:ascii="仿宋" w:hAnsi="仿宋" w:eastAsia="仿宋"/>
          <w:b/>
          <w:bCs/>
          <w:sz w:val="30"/>
          <w:szCs w:val="30"/>
        </w:rPr>
      </w:pPr>
      <w:r>
        <w:rPr>
          <w:rFonts w:hint="eastAsia" w:ascii="仿宋" w:hAnsi="仿宋" w:eastAsia="仿宋"/>
          <w:b/>
          <w:bCs/>
          <w:sz w:val="30"/>
          <w:szCs w:val="30"/>
        </w:rPr>
        <w:t>第三章 项目概况与回报模式评估</w:t>
      </w:r>
      <w:r>
        <w:rPr>
          <w:rFonts w:hint="eastAsia" w:ascii="仿宋" w:hAnsi="仿宋" w:eastAsia="仿宋"/>
          <w:b/>
          <w:bCs/>
          <w:sz w:val="30"/>
          <w:szCs w:val="30"/>
        </w:rPr>
        <w:tab/>
      </w:r>
    </w:p>
    <w:p w14:paraId="59D5B5F7">
      <w:pPr>
        <w:ind w:firstLine="602" w:firstLineChars="200"/>
        <w:rPr>
          <w:rFonts w:ascii="仿宋" w:hAnsi="仿宋" w:eastAsia="仿宋"/>
          <w:b/>
          <w:bCs/>
          <w:sz w:val="30"/>
          <w:szCs w:val="30"/>
        </w:rPr>
      </w:pPr>
      <w:r>
        <w:rPr>
          <w:rFonts w:hint="eastAsia" w:ascii="仿宋" w:hAnsi="仿宋" w:eastAsia="仿宋"/>
          <w:b/>
          <w:bCs/>
          <w:sz w:val="30"/>
          <w:szCs w:val="30"/>
        </w:rPr>
        <w:t>第四章 项目市场评估</w:t>
      </w:r>
    </w:p>
    <w:p w14:paraId="76A63C31">
      <w:pPr>
        <w:ind w:firstLine="602" w:firstLineChars="200"/>
        <w:rPr>
          <w:rFonts w:ascii="仿宋" w:hAnsi="仿宋" w:eastAsia="仿宋"/>
          <w:b/>
          <w:bCs/>
          <w:sz w:val="30"/>
          <w:szCs w:val="30"/>
        </w:rPr>
      </w:pPr>
      <w:r>
        <w:rPr>
          <w:rFonts w:hint="eastAsia" w:ascii="仿宋" w:hAnsi="仿宋" w:eastAsia="仿宋"/>
          <w:b/>
          <w:bCs/>
          <w:sz w:val="30"/>
          <w:szCs w:val="30"/>
        </w:rPr>
        <w:t>第五章 投资估算与筹资方案评估</w:t>
      </w:r>
    </w:p>
    <w:p w14:paraId="24434785">
      <w:pPr>
        <w:ind w:firstLine="602" w:firstLineChars="200"/>
        <w:rPr>
          <w:rFonts w:ascii="仿宋" w:hAnsi="仿宋" w:eastAsia="仿宋"/>
          <w:b/>
          <w:bCs/>
          <w:sz w:val="30"/>
          <w:szCs w:val="30"/>
        </w:rPr>
      </w:pPr>
      <w:r>
        <w:rPr>
          <w:rFonts w:hint="eastAsia" w:ascii="仿宋" w:hAnsi="仿宋" w:eastAsia="仿宋"/>
          <w:b/>
          <w:bCs/>
          <w:sz w:val="30"/>
          <w:szCs w:val="30"/>
        </w:rPr>
        <w:t>第六章 财务效益与偿债能力评估</w:t>
      </w:r>
    </w:p>
    <w:p w14:paraId="48E7C567">
      <w:pPr>
        <w:ind w:firstLine="602" w:firstLineChars="200"/>
        <w:rPr>
          <w:rFonts w:ascii="仿宋" w:hAnsi="仿宋" w:eastAsia="仿宋"/>
          <w:b/>
          <w:bCs/>
          <w:sz w:val="30"/>
          <w:szCs w:val="30"/>
        </w:rPr>
      </w:pPr>
      <w:r>
        <w:rPr>
          <w:rFonts w:hint="eastAsia" w:ascii="仿宋" w:hAnsi="仿宋" w:eastAsia="仿宋"/>
          <w:b/>
          <w:bCs/>
          <w:sz w:val="30"/>
          <w:szCs w:val="30"/>
        </w:rPr>
        <w:t>第七章 不确定性分析与风险评估</w:t>
      </w:r>
    </w:p>
    <w:p w14:paraId="1D92131F">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6B854009">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5340C773">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7C2EC15D">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44533102">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18905227">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22BCFD28">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2C441BF5">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4F745C2C">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09884129">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4B524BDE">
      <w:pPr>
        <w:sectPr>
          <w:footerReference r:id="rId4" w:type="default"/>
          <w:pgSz w:w="11906" w:h="16838"/>
          <w:pgMar w:top="1440" w:right="1800" w:bottom="1440" w:left="1800" w:header="851" w:footer="992" w:gutter="0"/>
          <w:pgNumType w:start="1"/>
          <w:cols w:space="425" w:num="1"/>
          <w:docGrid w:type="lines" w:linePitch="312" w:charSpace="0"/>
        </w:sectPr>
      </w:pPr>
    </w:p>
    <w:p w14:paraId="4739FC56">
      <w:pPr>
        <w:pStyle w:val="56"/>
        <w:numPr>
          <w:ilvl w:val="255"/>
          <w:numId w:val="0"/>
        </w:numPr>
        <w:overflowPunct w:val="0"/>
        <w:snapToGrid w:val="0"/>
        <w:spacing w:line="360" w:lineRule="auto"/>
        <w:jc w:val="center"/>
        <w:textAlignment w:val="bottom"/>
        <w:rPr>
          <w:rFonts w:ascii="仿宋" w:hAnsi="仿宋" w:eastAsia="仿宋" w:cstheme="majorEastAsia"/>
          <w:b/>
          <w:kern w:val="0"/>
          <w:sz w:val="36"/>
          <w:szCs w:val="36"/>
        </w:rPr>
      </w:pPr>
    </w:p>
    <w:p w14:paraId="0BF6913D">
      <w:pPr>
        <w:pStyle w:val="2"/>
        <w:spacing w:before="0" w:after="0" w:line="360" w:lineRule="auto"/>
        <w:jc w:val="center"/>
        <w:rPr>
          <w:rFonts w:hint="eastAsia"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t>第一章 总评价</w:t>
      </w:r>
    </w:p>
    <w:p w14:paraId="30C2C541">
      <w:pPr>
        <w:autoSpaceDE w:val="0"/>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一、项目评估结论主要指标</w:t>
      </w:r>
    </w:p>
    <w:tbl>
      <w:tblPr>
        <w:tblStyle w:val="2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19"/>
        <w:gridCol w:w="1780"/>
        <w:gridCol w:w="1656"/>
        <w:gridCol w:w="1379"/>
        <w:gridCol w:w="3408"/>
      </w:tblGrid>
      <w:tr w14:paraId="018CE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1519" w:type="dxa"/>
            <w:tcBorders>
              <w:tl2br w:val="nil"/>
              <w:tr2bl w:val="nil"/>
            </w:tcBorders>
            <w:noWrap w:val="0"/>
            <w:tcMar>
              <w:top w:w="15" w:type="dxa"/>
              <w:left w:w="15" w:type="dxa"/>
              <w:right w:w="15" w:type="dxa"/>
            </w:tcMar>
            <w:vAlign w:val="center"/>
          </w:tcPr>
          <w:p w14:paraId="3B78DDA5">
            <w:pPr>
              <w:widowControl/>
              <w:jc w:val="left"/>
              <w:textAlignment w:val="center"/>
              <w:rPr>
                <w:rFonts w:hint="eastAsia" w:ascii="仿宋" w:hAnsi="仿宋" w:eastAsia="仿宋" w:cs="宋体"/>
                <w:color w:val="000000"/>
                <w:kern w:val="0"/>
                <w:szCs w:val="21"/>
                <w:lang w:bidi="ar"/>
              </w:rPr>
            </w:pPr>
            <w:r>
              <w:rPr>
                <w:rFonts w:hint="eastAsia" w:ascii="仿宋" w:hAnsi="仿宋" w:eastAsia="仿宋" w:cs="宋体"/>
                <w:color w:val="000000"/>
                <w:kern w:val="0"/>
                <w:szCs w:val="21"/>
                <w:lang w:bidi="ar"/>
              </w:rPr>
              <w:t>项目名称</w:t>
            </w:r>
          </w:p>
        </w:tc>
        <w:tc>
          <w:tcPr>
            <w:tcW w:w="8223" w:type="dxa"/>
            <w:gridSpan w:val="4"/>
            <w:tcBorders>
              <w:tl2br w:val="nil"/>
              <w:tr2bl w:val="nil"/>
            </w:tcBorders>
            <w:noWrap w:val="0"/>
            <w:tcMar>
              <w:top w:w="15" w:type="dxa"/>
              <w:left w:w="15" w:type="dxa"/>
              <w:right w:w="15" w:type="dxa"/>
            </w:tcMar>
            <w:vAlign w:val="center"/>
          </w:tcPr>
          <w:p w14:paraId="7CAAB2E6">
            <w:pPr>
              <w:widowControl/>
              <w:jc w:val="left"/>
              <w:textAlignment w:val="center"/>
              <w:rPr>
                <w:rFonts w:hint="eastAsia" w:ascii="仿宋" w:hAnsi="仿宋" w:eastAsia="仿宋" w:cs="宋体"/>
                <w:color w:val="000000"/>
                <w:kern w:val="0"/>
                <w:szCs w:val="21"/>
                <w:lang w:val="en-US" w:eastAsia="zh-CN" w:bidi="ar"/>
              </w:rPr>
            </w:pPr>
            <w:r>
              <w:rPr>
                <w:rFonts w:hint="eastAsia" w:ascii="仿宋" w:hAnsi="仿宋" w:eastAsia="仿宋" w:cs="宋体"/>
                <w:color w:val="000000"/>
                <w:kern w:val="0"/>
                <w:szCs w:val="21"/>
                <w:lang w:val="en-US" w:eastAsia="zh-CN" w:bidi="ar"/>
              </w:rPr>
              <w:t>河南大成包装材料有限公司源网荷储一体化项目</w:t>
            </w:r>
          </w:p>
        </w:tc>
      </w:tr>
      <w:tr w14:paraId="543F6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jc w:val="center"/>
        </w:trPr>
        <w:tc>
          <w:tcPr>
            <w:tcW w:w="1519" w:type="dxa"/>
            <w:tcBorders>
              <w:tl2br w:val="nil"/>
              <w:tr2bl w:val="nil"/>
            </w:tcBorders>
            <w:noWrap w:val="0"/>
            <w:tcMar>
              <w:top w:w="15" w:type="dxa"/>
              <w:left w:w="15" w:type="dxa"/>
              <w:right w:w="15" w:type="dxa"/>
            </w:tcMar>
            <w:vAlign w:val="center"/>
          </w:tcPr>
          <w:p w14:paraId="661322F8">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借款人名称</w:t>
            </w:r>
          </w:p>
        </w:tc>
        <w:tc>
          <w:tcPr>
            <w:tcW w:w="8223" w:type="dxa"/>
            <w:gridSpan w:val="4"/>
            <w:tcBorders>
              <w:tl2br w:val="nil"/>
              <w:tr2bl w:val="nil"/>
            </w:tcBorders>
            <w:noWrap w:val="0"/>
            <w:tcMar>
              <w:top w:w="15" w:type="dxa"/>
              <w:left w:w="15" w:type="dxa"/>
              <w:right w:w="15" w:type="dxa"/>
            </w:tcMar>
            <w:vAlign w:val="center"/>
          </w:tcPr>
          <w:p w14:paraId="180F1968">
            <w:pPr>
              <w:rPr>
                <w:rFonts w:hint="eastAsia" w:ascii="仿宋" w:hAnsi="仿宋" w:eastAsia="仿宋" w:cs="宋体"/>
                <w:color w:val="000000"/>
                <w:kern w:val="0"/>
                <w:szCs w:val="21"/>
                <w:lang w:val="en-US" w:eastAsia="zh-CN" w:bidi="ar"/>
              </w:rPr>
            </w:pPr>
            <w:r>
              <w:rPr>
                <w:rFonts w:hint="eastAsia" w:ascii="仿宋" w:hAnsi="仿宋" w:eastAsia="仿宋" w:cs="宋体"/>
                <w:color w:val="000000"/>
                <w:kern w:val="0"/>
                <w:szCs w:val="21"/>
                <w:lang w:val="en-US" w:eastAsia="zh-CN" w:bidi="ar"/>
              </w:rPr>
              <w:t>河南中原智慧冷链物流园管理运营有限公司</w:t>
            </w:r>
          </w:p>
        </w:tc>
      </w:tr>
      <w:tr w14:paraId="3BE91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 w:hRule="atLeast"/>
          <w:jc w:val="center"/>
        </w:trPr>
        <w:tc>
          <w:tcPr>
            <w:tcW w:w="1519" w:type="dxa"/>
            <w:tcBorders>
              <w:tl2br w:val="nil"/>
              <w:tr2bl w:val="nil"/>
            </w:tcBorders>
            <w:noWrap w:val="0"/>
            <w:tcMar>
              <w:top w:w="15" w:type="dxa"/>
              <w:left w:w="15" w:type="dxa"/>
              <w:right w:w="15" w:type="dxa"/>
            </w:tcMar>
            <w:vAlign w:val="center"/>
          </w:tcPr>
          <w:p w14:paraId="7EB57A7A">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项目所属行业</w:t>
            </w:r>
          </w:p>
        </w:tc>
        <w:tc>
          <w:tcPr>
            <w:tcW w:w="8223" w:type="dxa"/>
            <w:gridSpan w:val="4"/>
            <w:tcBorders>
              <w:tl2br w:val="nil"/>
              <w:tr2bl w:val="nil"/>
            </w:tcBorders>
            <w:noWrap w:val="0"/>
            <w:tcMar>
              <w:top w:w="15" w:type="dxa"/>
              <w:left w:w="15" w:type="dxa"/>
              <w:right w:w="15" w:type="dxa"/>
            </w:tcMar>
            <w:vAlign w:val="center"/>
          </w:tcPr>
          <w:p w14:paraId="77C56D0F">
            <w:pPr>
              <w:rPr>
                <w:rFonts w:hint="default" w:ascii="仿宋" w:hAnsi="仿宋" w:eastAsia="仿宋" w:cs="宋体"/>
                <w:color w:val="FF0000"/>
                <w:szCs w:val="21"/>
                <w:lang w:val="en-US" w:eastAsia="zh-CN"/>
              </w:rPr>
            </w:pPr>
            <w:r>
              <w:rPr>
                <w:rFonts w:hint="eastAsia" w:ascii="仿宋" w:hAnsi="仿宋" w:eastAsia="仿宋" w:cs="宋体"/>
                <w:color w:val="auto"/>
                <w:szCs w:val="21"/>
                <w:lang w:val="en-US" w:eastAsia="zh-CN"/>
              </w:rPr>
              <w:t>新能源</w:t>
            </w:r>
          </w:p>
        </w:tc>
      </w:tr>
      <w:tr w14:paraId="0E7FA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 w:hRule="atLeast"/>
          <w:jc w:val="center"/>
        </w:trPr>
        <w:tc>
          <w:tcPr>
            <w:tcW w:w="1519" w:type="dxa"/>
            <w:tcBorders>
              <w:tl2br w:val="nil"/>
              <w:tr2bl w:val="nil"/>
            </w:tcBorders>
            <w:noWrap w:val="0"/>
            <w:tcMar>
              <w:top w:w="15" w:type="dxa"/>
              <w:left w:w="15" w:type="dxa"/>
              <w:right w:w="15" w:type="dxa"/>
            </w:tcMar>
            <w:vAlign w:val="center"/>
          </w:tcPr>
          <w:p w14:paraId="1B9B49FF">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建设期+运营期</w:t>
            </w:r>
          </w:p>
        </w:tc>
        <w:tc>
          <w:tcPr>
            <w:tcW w:w="8223" w:type="dxa"/>
            <w:gridSpan w:val="4"/>
            <w:tcBorders>
              <w:tl2br w:val="nil"/>
              <w:tr2bl w:val="nil"/>
            </w:tcBorders>
            <w:noWrap w:val="0"/>
            <w:tcMar>
              <w:top w:w="15" w:type="dxa"/>
              <w:left w:w="15" w:type="dxa"/>
              <w:right w:w="15" w:type="dxa"/>
            </w:tcMar>
            <w:vAlign w:val="center"/>
          </w:tcPr>
          <w:p w14:paraId="00332B55">
            <w:pP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0.5年+11.5年</w:t>
            </w:r>
          </w:p>
        </w:tc>
      </w:tr>
      <w:tr w14:paraId="36B5C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jc w:val="center"/>
        </w:trPr>
        <w:tc>
          <w:tcPr>
            <w:tcW w:w="1519" w:type="dxa"/>
            <w:tcBorders>
              <w:tl2br w:val="nil"/>
              <w:tr2bl w:val="nil"/>
            </w:tcBorders>
            <w:noWrap w:val="0"/>
            <w:tcMar>
              <w:top w:w="15" w:type="dxa"/>
              <w:left w:w="15" w:type="dxa"/>
              <w:right w:w="15" w:type="dxa"/>
            </w:tcMar>
            <w:vAlign w:val="center"/>
          </w:tcPr>
          <w:p w14:paraId="0B3A12A4">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项目内容</w:t>
            </w:r>
          </w:p>
        </w:tc>
        <w:tc>
          <w:tcPr>
            <w:tcW w:w="8223" w:type="dxa"/>
            <w:gridSpan w:val="4"/>
            <w:tcBorders>
              <w:tl2br w:val="nil"/>
              <w:tr2bl w:val="nil"/>
            </w:tcBorders>
            <w:noWrap w:val="0"/>
            <w:tcMar>
              <w:top w:w="15" w:type="dxa"/>
              <w:left w:w="15" w:type="dxa"/>
              <w:right w:w="15" w:type="dxa"/>
            </w:tcMar>
            <w:vAlign w:val="center"/>
          </w:tcPr>
          <w:p w14:paraId="6B05C755">
            <w:pPr>
              <w:rPr>
                <w:rFonts w:hint="eastAsia" w:ascii="仿宋" w:hAnsi="仿宋" w:eastAsia="仿宋" w:cs="宋体"/>
                <w:color w:val="000000"/>
                <w:kern w:val="0"/>
                <w:szCs w:val="21"/>
                <w:lang w:val="en-US" w:eastAsia="zh-CN" w:bidi="ar"/>
              </w:rPr>
            </w:pPr>
            <w:r>
              <w:rPr>
                <w:rFonts w:hint="eastAsia" w:ascii="仿宋" w:hAnsi="仿宋" w:eastAsia="仿宋" w:cs="宋体"/>
                <w:color w:val="000000"/>
                <w:kern w:val="0"/>
                <w:szCs w:val="21"/>
                <w:lang w:val="en-US" w:eastAsia="zh-CN" w:bidi="ar"/>
              </w:rPr>
              <w:t>河南大成包装材料有限公司源网荷储一体化项目分为两期建设，需要在获嘉县产业集聚区创业孵化园区内工业厂房屋顶部署5956KW的分布式光伏发电系统，并配套安装20MW/40MWh用户侧储能设施（包含3MW充换点储能设备），安装5个600kw液冷光伏充电桩，同步实施园区其他相关配套工程。</w:t>
            </w:r>
          </w:p>
          <w:p w14:paraId="59AEF130">
            <w:pPr>
              <w:rPr>
                <w:rFonts w:hint="default" w:ascii="仿宋" w:hAnsi="仿宋" w:eastAsia="仿宋" w:cs="宋体"/>
                <w:color w:val="000000"/>
                <w:szCs w:val="21"/>
                <w:highlight w:val="yellow"/>
                <w:lang w:val="en-US" w:eastAsia="zh-CN"/>
              </w:rPr>
            </w:pPr>
            <w:r>
              <w:rPr>
                <w:rFonts w:hint="eastAsia" w:ascii="仿宋" w:hAnsi="仿宋" w:eastAsia="仿宋" w:cs="宋体"/>
                <w:b/>
                <w:bCs/>
                <w:color w:val="000000"/>
                <w:kern w:val="0"/>
                <w:szCs w:val="21"/>
                <w:lang w:val="en-US" w:eastAsia="zh-CN" w:bidi="ar"/>
              </w:rPr>
              <w:t>本项目为（一期）建设内容</w:t>
            </w:r>
            <w:r>
              <w:rPr>
                <w:rFonts w:hint="eastAsia" w:ascii="仿宋" w:hAnsi="仿宋" w:eastAsia="仿宋" w:cs="宋体"/>
                <w:color w:val="000000"/>
                <w:kern w:val="0"/>
                <w:szCs w:val="21"/>
                <w:lang w:val="en-US" w:eastAsia="zh-CN" w:bidi="ar"/>
              </w:rPr>
              <w:t>，需要在获嘉县产业集聚区创业孵化园区内工业厂房屋顶部署5956KW的分布式光伏发电系统，并配套安装10MW/20MWh用户侧储能设施（包含3MW充换点储能设备），安装5个600kw液冷光伏充电桩，同步实施园区其他相关配套工程，利用源网荷储模式为河南大成包装材料有限公司提供绿色电力能源供应；二期将建20MWh储能设施，与一期衔接提升能源调节与保障能力，助力园区能源优化。</w:t>
            </w:r>
            <w:r>
              <w:rPr>
                <w:rFonts w:hint="eastAsia" w:ascii="仿宋" w:hAnsi="仿宋" w:eastAsia="仿宋" w:cs="宋体"/>
                <w:b/>
                <w:bCs/>
                <w:color w:val="000000"/>
                <w:kern w:val="0"/>
                <w:szCs w:val="21"/>
                <w:lang w:val="en-US" w:eastAsia="zh-CN" w:bidi="ar"/>
              </w:rPr>
              <w:t>（以下为本项目内容）</w:t>
            </w:r>
          </w:p>
        </w:tc>
      </w:tr>
      <w:tr w14:paraId="4B310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jc w:val="center"/>
        </w:trPr>
        <w:tc>
          <w:tcPr>
            <w:tcW w:w="1519" w:type="dxa"/>
            <w:tcBorders>
              <w:tl2br w:val="nil"/>
              <w:tr2bl w:val="nil"/>
            </w:tcBorders>
            <w:noWrap w:val="0"/>
            <w:tcMar>
              <w:top w:w="15" w:type="dxa"/>
              <w:left w:w="15" w:type="dxa"/>
              <w:right w:w="15" w:type="dxa"/>
            </w:tcMar>
            <w:vAlign w:val="center"/>
          </w:tcPr>
          <w:p w14:paraId="21945AF2">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项目主要产品与生产能力(产品名称、计量单位)</w:t>
            </w:r>
          </w:p>
        </w:tc>
        <w:tc>
          <w:tcPr>
            <w:tcW w:w="8223" w:type="dxa"/>
            <w:gridSpan w:val="4"/>
            <w:tcBorders>
              <w:tl2br w:val="nil"/>
              <w:tr2bl w:val="nil"/>
            </w:tcBorders>
            <w:noWrap w:val="0"/>
            <w:tcMar>
              <w:top w:w="15" w:type="dxa"/>
              <w:left w:w="15" w:type="dxa"/>
              <w:right w:w="15" w:type="dxa"/>
            </w:tcMar>
            <w:vAlign w:val="center"/>
          </w:tcPr>
          <w:p w14:paraId="15BEF1F0">
            <w:pPr>
              <w:rPr>
                <w:rFonts w:hint="default" w:ascii="仿宋" w:hAnsi="仿宋" w:eastAsia="仿宋" w:cs="宋体"/>
                <w:color w:val="000000"/>
                <w:szCs w:val="21"/>
                <w:highlight w:val="yellow"/>
                <w:lang w:val="en-US" w:eastAsia="zh-CN"/>
              </w:rPr>
            </w:pPr>
            <w:r>
              <w:rPr>
                <w:rFonts w:hint="eastAsia" w:ascii="仿宋" w:hAnsi="仿宋" w:eastAsia="仿宋" w:cs="宋体"/>
                <w:color w:val="000000"/>
                <w:szCs w:val="21"/>
                <w:lang w:eastAsia="zh-CN"/>
              </w:rPr>
              <w:t>本项目</w:t>
            </w:r>
            <w:r>
              <w:rPr>
                <w:rFonts w:hint="eastAsia" w:ascii="仿宋" w:hAnsi="仿宋" w:eastAsia="仿宋" w:cs="宋体"/>
                <w:color w:val="000000"/>
                <w:szCs w:val="21"/>
                <w:lang w:val="en-US" w:eastAsia="zh-CN"/>
              </w:rPr>
              <w:t>在获嘉县产业集聚区创业孵化园区内工业厂房屋顶</w:t>
            </w:r>
            <w:r>
              <w:rPr>
                <w:rFonts w:hint="eastAsia" w:ascii="仿宋" w:hAnsi="仿宋" w:eastAsia="仿宋" w:cs="宋体"/>
                <w:color w:val="000000"/>
                <w:kern w:val="0"/>
                <w:szCs w:val="21"/>
                <w:lang w:val="en-US" w:eastAsia="zh-CN" w:bidi="ar"/>
              </w:rPr>
              <w:t>及周边可使用空地上安装分布式光伏发电装置，</w:t>
            </w:r>
            <w:r>
              <w:rPr>
                <w:rFonts w:hint="eastAsia" w:ascii="仿宋" w:hAnsi="仿宋" w:eastAsia="仿宋" w:cs="宋体"/>
                <w:color w:val="000000"/>
                <w:szCs w:val="21"/>
                <w:lang w:val="en-US" w:eastAsia="zh-CN"/>
              </w:rPr>
              <w:t>装机容量为</w:t>
            </w:r>
            <w:r>
              <w:rPr>
                <w:rFonts w:hint="eastAsia" w:ascii="仿宋" w:hAnsi="仿宋" w:eastAsia="仿宋" w:cs="宋体"/>
                <w:color w:val="000000"/>
                <w:szCs w:val="21"/>
              </w:rPr>
              <w:t>5</w:t>
            </w:r>
            <w:r>
              <w:rPr>
                <w:rFonts w:hint="eastAsia" w:ascii="仿宋" w:hAnsi="仿宋" w:eastAsia="仿宋" w:cs="宋体"/>
                <w:color w:val="000000"/>
                <w:szCs w:val="21"/>
                <w:lang w:val="en-US" w:eastAsia="zh-CN"/>
              </w:rPr>
              <w:t>956</w:t>
            </w:r>
            <w:r>
              <w:rPr>
                <w:rFonts w:hint="eastAsia" w:ascii="仿宋" w:hAnsi="仿宋" w:eastAsia="仿宋" w:cs="宋体"/>
                <w:color w:val="000000"/>
                <w:szCs w:val="21"/>
              </w:rPr>
              <w:t>KW</w:t>
            </w:r>
            <w:r>
              <w:rPr>
                <w:rFonts w:hint="eastAsia" w:ascii="仿宋" w:hAnsi="仿宋" w:eastAsia="仿宋" w:cs="宋体"/>
                <w:color w:val="000000"/>
                <w:szCs w:val="21"/>
                <w:lang w:val="en-US" w:eastAsia="zh-CN"/>
              </w:rPr>
              <w:t>并建设用户侧储能电站10</w:t>
            </w:r>
            <w:r>
              <w:rPr>
                <w:rFonts w:hint="eastAsia" w:ascii="仿宋" w:hAnsi="仿宋" w:eastAsia="仿宋" w:cs="宋体"/>
                <w:color w:val="000000"/>
                <w:szCs w:val="21"/>
              </w:rPr>
              <w:t>MW/</w:t>
            </w:r>
            <w:r>
              <w:rPr>
                <w:rFonts w:hint="eastAsia" w:ascii="仿宋" w:hAnsi="仿宋" w:eastAsia="仿宋" w:cs="宋体"/>
                <w:color w:val="000000"/>
                <w:szCs w:val="21"/>
                <w:lang w:val="en-US" w:eastAsia="zh-CN"/>
              </w:rPr>
              <w:t>20</w:t>
            </w:r>
            <w:r>
              <w:rPr>
                <w:rFonts w:hint="eastAsia" w:ascii="仿宋" w:hAnsi="仿宋" w:eastAsia="仿宋" w:cs="宋体"/>
                <w:color w:val="000000"/>
                <w:szCs w:val="21"/>
              </w:rPr>
              <w:t>MWh</w:t>
            </w:r>
            <w:r>
              <w:rPr>
                <w:rFonts w:hint="eastAsia" w:ascii="仿宋" w:hAnsi="仿宋" w:eastAsia="仿宋" w:cs="宋体"/>
                <w:color w:val="000000"/>
                <w:szCs w:val="21"/>
                <w:lang w:eastAsia="zh-CN"/>
              </w:rPr>
              <w:t>。</w:t>
            </w:r>
            <w:r>
              <w:rPr>
                <w:rFonts w:hint="eastAsia" w:ascii="仿宋" w:hAnsi="仿宋" w:eastAsia="仿宋" w:cs="宋体"/>
                <w:color w:val="000000"/>
                <w:szCs w:val="21"/>
                <w:lang w:val="en-US" w:eastAsia="zh-CN"/>
              </w:rPr>
              <w:t>光伏年产电量约为718.07万千瓦时，运营期内光伏发电售价0.57元/千瓦时；储能电站年储存电量约为662.40万千瓦时，运营期内储能进行峰谷套利，储能售电价格为0.61元/千万时。</w:t>
            </w:r>
          </w:p>
        </w:tc>
      </w:tr>
      <w:tr w14:paraId="564C0D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jc w:val="center"/>
        </w:trPr>
        <w:tc>
          <w:tcPr>
            <w:tcW w:w="1519" w:type="dxa"/>
            <w:tcBorders>
              <w:tl2br w:val="nil"/>
              <w:tr2bl w:val="nil"/>
            </w:tcBorders>
            <w:noWrap w:val="0"/>
            <w:tcMar>
              <w:top w:w="15" w:type="dxa"/>
              <w:left w:w="15" w:type="dxa"/>
              <w:right w:w="15" w:type="dxa"/>
            </w:tcMar>
            <w:vAlign w:val="center"/>
          </w:tcPr>
          <w:p w14:paraId="3E72C5BC">
            <w:pPr>
              <w:widowControl/>
              <w:jc w:val="left"/>
              <w:textAlignment w:val="center"/>
              <w:rPr>
                <w:rFonts w:ascii="仿宋" w:hAnsi="仿宋" w:eastAsia="仿宋" w:cs="宋体"/>
                <w:szCs w:val="21"/>
              </w:rPr>
            </w:pPr>
            <w:r>
              <w:rPr>
                <w:rFonts w:hint="eastAsia" w:ascii="仿宋" w:hAnsi="仿宋" w:eastAsia="仿宋" w:cs="宋体"/>
                <w:color w:val="000000"/>
                <w:kern w:val="0"/>
                <w:szCs w:val="21"/>
                <w:lang w:bidi="ar"/>
              </w:rPr>
              <w:t>项目行政批复</w:t>
            </w:r>
            <w:r>
              <w:rPr>
                <w:rFonts w:hint="eastAsia" w:ascii="仿宋" w:hAnsi="仿宋" w:eastAsia="仿宋" w:cs="宋体"/>
                <w:szCs w:val="21"/>
              </w:rPr>
              <w:t>手续完成度</w:t>
            </w:r>
          </w:p>
        </w:tc>
        <w:tc>
          <w:tcPr>
            <w:tcW w:w="8223" w:type="dxa"/>
            <w:gridSpan w:val="4"/>
            <w:tcBorders>
              <w:tl2br w:val="nil"/>
              <w:tr2bl w:val="nil"/>
            </w:tcBorders>
            <w:noWrap w:val="0"/>
            <w:tcMar>
              <w:top w:w="15" w:type="dxa"/>
              <w:left w:w="15" w:type="dxa"/>
              <w:right w:w="15" w:type="dxa"/>
            </w:tcMar>
            <w:vAlign w:val="center"/>
          </w:tcPr>
          <w:p w14:paraId="3FFBF59E">
            <w:pPr>
              <w:rPr>
                <w:rFonts w:hint="eastAsia" w:ascii="仿宋" w:hAnsi="仿宋" w:eastAsia="仿宋" w:cs="宋体"/>
                <w:color w:val="000000"/>
                <w:szCs w:val="21"/>
              </w:rPr>
            </w:pPr>
            <w:r>
              <w:rPr>
                <w:rFonts w:hint="eastAsia" w:ascii="仿宋" w:hAnsi="仿宋" w:eastAsia="仿宋" w:cs="宋体"/>
                <w:color w:val="000000"/>
                <w:szCs w:val="21"/>
                <w:highlight w:val="none"/>
              </w:rPr>
              <w:t>完备，清单见评估报告第三章</w:t>
            </w:r>
          </w:p>
        </w:tc>
      </w:tr>
      <w:tr w14:paraId="02D9C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8" w:hRule="atLeast"/>
          <w:jc w:val="center"/>
        </w:trPr>
        <w:tc>
          <w:tcPr>
            <w:tcW w:w="1519" w:type="dxa"/>
            <w:vMerge w:val="restart"/>
            <w:tcBorders>
              <w:tl2br w:val="nil"/>
              <w:tr2bl w:val="nil"/>
            </w:tcBorders>
            <w:noWrap w:val="0"/>
            <w:tcMar>
              <w:top w:w="15" w:type="dxa"/>
              <w:left w:w="15" w:type="dxa"/>
              <w:right w:w="15" w:type="dxa"/>
            </w:tcMar>
            <w:vAlign w:val="center"/>
          </w:tcPr>
          <w:p w14:paraId="4FDF6077">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投资估算与筹资方案</w:t>
            </w:r>
          </w:p>
        </w:tc>
        <w:tc>
          <w:tcPr>
            <w:tcW w:w="1780" w:type="dxa"/>
            <w:tcBorders>
              <w:tl2br w:val="nil"/>
              <w:tr2bl w:val="nil"/>
            </w:tcBorders>
            <w:noWrap w:val="0"/>
            <w:tcMar>
              <w:top w:w="15" w:type="dxa"/>
              <w:left w:w="15" w:type="dxa"/>
              <w:right w:w="15" w:type="dxa"/>
            </w:tcMar>
            <w:vAlign w:val="center"/>
          </w:tcPr>
          <w:p w14:paraId="3172F24D">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项目评估指标</w:t>
            </w:r>
          </w:p>
        </w:tc>
        <w:tc>
          <w:tcPr>
            <w:tcW w:w="1656" w:type="dxa"/>
            <w:tcBorders>
              <w:tl2br w:val="nil"/>
              <w:tr2bl w:val="nil"/>
            </w:tcBorders>
            <w:noWrap w:val="0"/>
            <w:tcMar>
              <w:top w:w="15" w:type="dxa"/>
              <w:left w:w="15" w:type="dxa"/>
              <w:right w:w="15" w:type="dxa"/>
            </w:tcMar>
            <w:vAlign w:val="center"/>
          </w:tcPr>
          <w:p w14:paraId="6BE1C14B">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评估测算</w:t>
            </w:r>
          </w:p>
        </w:tc>
        <w:tc>
          <w:tcPr>
            <w:tcW w:w="1379" w:type="dxa"/>
            <w:tcBorders>
              <w:tl2br w:val="nil"/>
              <w:tr2bl w:val="nil"/>
            </w:tcBorders>
            <w:noWrap/>
            <w:tcMar>
              <w:top w:w="15" w:type="dxa"/>
              <w:left w:w="15" w:type="dxa"/>
              <w:right w:w="15" w:type="dxa"/>
            </w:tcMar>
            <w:vAlign w:val="center"/>
          </w:tcPr>
          <w:p w14:paraId="310AA44B">
            <w:pPr>
              <w:widowControl/>
              <w:jc w:val="center"/>
              <w:textAlignment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可行性研究报告</w:t>
            </w:r>
          </w:p>
          <w:p w14:paraId="77E75807">
            <w:pPr>
              <w:widowControl/>
              <w:jc w:val="center"/>
              <w:textAlignment w:val="center"/>
              <w:rPr>
                <w:rFonts w:ascii="仿宋" w:hAnsi="仿宋" w:eastAsia="仿宋" w:cs="宋体"/>
                <w:color w:val="000000"/>
                <w:szCs w:val="21"/>
              </w:rPr>
            </w:pPr>
            <w:r>
              <w:rPr>
                <w:rFonts w:hint="eastAsia" w:ascii="仿宋" w:hAnsi="仿宋" w:eastAsia="仿宋" w:cs="宋体"/>
                <w:color w:val="000000"/>
                <w:kern w:val="0"/>
                <w:szCs w:val="21"/>
                <w:lang w:bidi="ar"/>
              </w:rPr>
              <w:t>或初步设计（如有）</w:t>
            </w:r>
          </w:p>
        </w:tc>
        <w:tc>
          <w:tcPr>
            <w:tcW w:w="3408" w:type="dxa"/>
            <w:tcBorders>
              <w:tl2br w:val="nil"/>
              <w:tr2bl w:val="nil"/>
            </w:tcBorders>
            <w:noWrap/>
            <w:tcMar>
              <w:top w:w="15" w:type="dxa"/>
              <w:left w:w="15" w:type="dxa"/>
              <w:right w:w="15" w:type="dxa"/>
            </w:tcMar>
            <w:vAlign w:val="center"/>
          </w:tcPr>
          <w:p w14:paraId="659406F3">
            <w:pPr>
              <w:widowControl/>
              <w:jc w:val="center"/>
              <w:textAlignment w:val="center"/>
              <w:rPr>
                <w:rFonts w:hint="eastAsia" w:ascii="仿宋" w:hAnsi="仿宋" w:eastAsia="仿宋" w:cs="宋体"/>
                <w:color w:val="000000"/>
                <w:kern w:val="0"/>
                <w:szCs w:val="21"/>
                <w:lang w:val="en-US" w:eastAsia="zh-CN" w:bidi="ar"/>
              </w:rPr>
            </w:pPr>
            <w:r>
              <w:rPr>
                <w:rFonts w:hint="eastAsia" w:ascii="仿宋" w:hAnsi="仿宋" w:eastAsia="仿宋" w:cs="宋体"/>
                <w:color w:val="000000"/>
                <w:kern w:val="0"/>
                <w:szCs w:val="21"/>
                <w:lang w:val="en-US" w:eastAsia="zh-CN" w:bidi="ar"/>
              </w:rPr>
              <w:t>备注</w:t>
            </w:r>
          </w:p>
        </w:tc>
      </w:tr>
      <w:tr w14:paraId="7F805A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519" w:type="dxa"/>
            <w:vMerge w:val="continue"/>
            <w:tcBorders>
              <w:tl2br w:val="nil"/>
              <w:tr2bl w:val="nil"/>
            </w:tcBorders>
            <w:noWrap w:val="0"/>
            <w:tcMar>
              <w:top w:w="15" w:type="dxa"/>
              <w:left w:w="15" w:type="dxa"/>
              <w:right w:w="15" w:type="dxa"/>
            </w:tcMar>
            <w:vAlign w:val="center"/>
          </w:tcPr>
          <w:p w14:paraId="759F14CB">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59E5C5CE">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1、项目总投资（万元）</w:t>
            </w:r>
          </w:p>
        </w:tc>
        <w:tc>
          <w:tcPr>
            <w:tcW w:w="1656" w:type="dxa"/>
            <w:tcBorders>
              <w:tl2br w:val="nil"/>
              <w:tr2bl w:val="nil"/>
            </w:tcBorders>
            <w:noWrap w:val="0"/>
            <w:tcMar>
              <w:top w:w="15" w:type="dxa"/>
              <w:left w:w="15" w:type="dxa"/>
              <w:right w:w="15" w:type="dxa"/>
            </w:tcMar>
            <w:vAlign w:val="center"/>
          </w:tcPr>
          <w:p w14:paraId="41602182">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5816.94</w:t>
            </w:r>
          </w:p>
        </w:tc>
        <w:tc>
          <w:tcPr>
            <w:tcW w:w="1379" w:type="dxa"/>
            <w:tcBorders>
              <w:tl2br w:val="nil"/>
              <w:tr2bl w:val="nil"/>
            </w:tcBorders>
            <w:noWrap/>
            <w:tcMar>
              <w:top w:w="15" w:type="dxa"/>
              <w:left w:w="15" w:type="dxa"/>
              <w:right w:w="15" w:type="dxa"/>
            </w:tcMar>
            <w:vAlign w:val="center"/>
          </w:tcPr>
          <w:p w14:paraId="64B86274">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5816.94</w:t>
            </w:r>
          </w:p>
        </w:tc>
        <w:tc>
          <w:tcPr>
            <w:tcW w:w="3408" w:type="dxa"/>
            <w:tcBorders>
              <w:tl2br w:val="nil"/>
              <w:tr2bl w:val="nil"/>
            </w:tcBorders>
            <w:noWrap/>
            <w:tcMar>
              <w:top w:w="15" w:type="dxa"/>
              <w:left w:w="15" w:type="dxa"/>
              <w:right w:w="15" w:type="dxa"/>
            </w:tcMar>
            <w:vAlign w:val="center"/>
          </w:tcPr>
          <w:p w14:paraId="7C921200">
            <w:pP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项目建议书批复总投资</w:t>
            </w:r>
            <w:r>
              <w:rPr>
                <w:rFonts w:hint="eastAsia" w:ascii="仿宋" w:hAnsi="仿宋" w:eastAsia="仿宋" w:cs="宋体"/>
                <w:color w:val="000000"/>
                <w:szCs w:val="21"/>
                <w:highlight w:val="none"/>
                <w:lang w:val="en-US" w:eastAsia="zh-CN"/>
              </w:rPr>
              <w:t>5816.94</w:t>
            </w:r>
            <w:r>
              <w:rPr>
                <w:rFonts w:hint="eastAsia" w:ascii="仿宋" w:hAnsi="仿宋" w:eastAsia="仿宋" w:cs="宋体"/>
                <w:color w:val="000000"/>
                <w:szCs w:val="21"/>
                <w:lang w:val="en-US" w:eastAsia="zh-CN"/>
              </w:rPr>
              <w:t>万元与可行性研究报告总投资一致。</w:t>
            </w:r>
          </w:p>
        </w:tc>
      </w:tr>
      <w:tr w14:paraId="6FC7E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 w:hRule="atLeast"/>
          <w:jc w:val="center"/>
        </w:trPr>
        <w:tc>
          <w:tcPr>
            <w:tcW w:w="1519" w:type="dxa"/>
            <w:vMerge w:val="continue"/>
            <w:tcBorders>
              <w:tl2br w:val="nil"/>
              <w:tr2bl w:val="nil"/>
            </w:tcBorders>
            <w:noWrap w:val="0"/>
            <w:tcMar>
              <w:top w:w="15" w:type="dxa"/>
              <w:left w:w="15" w:type="dxa"/>
              <w:right w:w="15" w:type="dxa"/>
            </w:tcMar>
            <w:vAlign w:val="center"/>
          </w:tcPr>
          <w:p w14:paraId="690CDC9C">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0B7D8FB6">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2、项目资本金（万元）</w:t>
            </w:r>
          </w:p>
        </w:tc>
        <w:tc>
          <w:tcPr>
            <w:tcW w:w="1656" w:type="dxa"/>
            <w:tcBorders>
              <w:tl2br w:val="nil"/>
              <w:tr2bl w:val="nil"/>
            </w:tcBorders>
            <w:noWrap w:val="0"/>
            <w:tcMar>
              <w:top w:w="15" w:type="dxa"/>
              <w:left w:w="15" w:type="dxa"/>
              <w:right w:w="15" w:type="dxa"/>
            </w:tcMar>
            <w:vAlign w:val="center"/>
          </w:tcPr>
          <w:p w14:paraId="3380CF83">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1216.94</w:t>
            </w:r>
          </w:p>
        </w:tc>
        <w:tc>
          <w:tcPr>
            <w:tcW w:w="1379" w:type="dxa"/>
            <w:tcBorders>
              <w:tl2br w:val="nil"/>
              <w:tr2bl w:val="nil"/>
            </w:tcBorders>
            <w:noWrap/>
            <w:tcMar>
              <w:top w:w="15" w:type="dxa"/>
              <w:left w:w="15" w:type="dxa"/>
              <w:right w:w="15" w:type="dxa"/>
            </w:tcMar>
            <w:vAlign w:val="center"/>
          </w:tcPr>
          <w:p w14:paraId="062827FB">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1216.94</w:t>
            </w:r>
          </w:p>
        </w:tc>
        <w:tc>
          <w:tcPr>
            <w:tcW w:w="3408" w:type="dxa"/>
            <w:tcBorders>
              <w:tl2br w:val="nil"/>
              <w:tr2bl w:val="nil"/>
            </w:tcBorders>
            <w:noWrap/>
            <w:tcMar>
              <w:top w:w="15" w:type="dxa"/>
              <w:left w:w="15" w:type="dxa"/>
              <w:right w:w="15" w:type="dxa"/>
            </w:tcMar>
            <w:vAlign w:val="center"/>
          </w:tcPr>
          <w:p w14:paraId="3D69AD61">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14:paraId="21AC9B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jc w:val="center"/>
        </w:trPr>
        <w:tc>
          <w:tcPr>
            <w:tcW w:w="1519" w:type="dxa"/>
            <w:vMerge w:val="continue"/>
            <w:tcBorders>
              <w:tl2br w:val="nil"/>
              <w:tr2bl w:val="nil"/>
            </w:tcBorders>
            <w:noWrap w:val="0"/>
            <w:tcMar>
              <w:top w:w="15" w:type="dxa"/>
              <w:left w:w="15" w:type="dxa"/>
              <w:right w:w="15" w:type="dxa"/>
            </w:tcMar>
            <w:vAlign w:val="center"/>
          </w:tcPr>
          <w:p w14:paraId="3942A923">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531CD806">
            <w:pPr>
              <w:widowControl/>
              <w:ind w:firstLine="315" w:firstLineChars="150"/>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项目资本金比例（%）</w:t>
            </w:r>
          </w:p>
        </w:tc>
        <w:tc>
          <w:tcPr>
            <w:tcW w:w="1656" w:type="dxa"/>
            <w:tcBorders>
              <w:tl2br w:val="nil"/>
              <w:tr2bl w:val="nil"/>
            </w:tcBorders>
            <w:noWrap w:val="0"/>
            <w:tcMar>
              <w:top w:w="15" w:type="dxa"/>
              <w:left w:w="15" w:type="dxa"/>
              <w:right w:w="15" w:type="dxa"/>
            </w:tcMar>
            <w:vAlign w:val="center"/>
          </w:tcPr>
          <w:p w14:paraId="614B3C03">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20.92%</w:t>
            </w:r>
          </w:p>
        </w:tc>
        <w:tc>
          <w:tcPr>
            <w:tcW w:w="1379" w:type="dxa"/>
            <w:tcBorders>
              <w:tl2br w:val="nil"/>
              <w:tr2bl w:val="nil"/>
            </w:tcBorders>
            <w:noWrap/>
            <w:tcMar>
              <w:top w:w="15" w:type="dxa"/>
              <w:left w:w="15" w:type="dxa"/>
              <w:right w:w="15" w:type="dxa"/>
            </w:tcMar>
            <w:vAlign w:val="center"/>
          </w:tcPr>
          <w:p w14:paraId="5F60B31B">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20.92%</w:t>
            </w:r>
          </w:p>
        </w:tc>
        <w:tc>
          <w:tcPr>
            <w:tcW w:w="3408" w:type="dxa"/>
            <w:tcBorders>
              <w:tl2br w:val="nil"/>
              <w:tr2bl w:val="nil"/>
            </w:tcBorders>
            <w:noWrap/>
            <w:tcMar>
              <w:top w:w="15" w:type="dxa"/>
              <w:left w:w="15" w:type="dxa"/>
              <w:right w:w="15" w:type="dxa"/>
            </w:tcMar>
            <w:vAlign w:val="center"/>
          </w:tcPr>
          <w:p w14:paraId="0611108E">
            <w:pPr>
              <w:jc w:val="center"/>
              <w:rPr>
                <w:rFonts w:hint="default" w:ascii="仿宋" w:hAnsi="仿宋" w:eastAsia="仿宋" w:cs="宋体"/>
                <w:color w:val="000000"/>
                <w:szCs w:val="21"/>
                <w:lang w:val="en-US" w:eastAsia="zh-CN"/>
              </w:rPr>
            </w:pPr>
          </w:p>
        </w:tc>
      </w:tr>
      <w:tr w14:paraId="08099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4" w:hRule="atLeast"/>
          <w:jc w:val="center"/>
        </w:trPr>
        <w:tc>
          <w:tcPr>
            <w:tcW w:w="1519" w:type="dxa"/>
            <w:vMerge w:val="continue"/>
            <w:tcBorders>
              <w:tl2br w:val="nil"/>
              <w:tr2bl w:val="nil"/>
            </w:tcBorders>
            <w:noWrap w:val="0"/>
            <w:tcMar>
              <w:top w:w="15" w:type="dxa"/>
              <w:left w:w="15" w:type="dxa"/>
              <w:right w:w="15" w:type="dxa"/>
            </w:tcMar>
            <w:vAlign w:val="center"/>
          </w:tcPr>
          <w:p w14:paraId="29721B83">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3C56599C">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3、拟申请银行贷款金额（万元）</w:t>
            </w:r>
          </w:p>
        </w:tc>
        <w:tc>
          <w:tcPr>
            <w:tcW w:w="1656" w:type="dxa"/>
            <w:tcBorders>
              <w:tl2br w:val="nil"/>
              <w:tr2bl w:val="nil"/>
            </w:tcBorders>
            <w:noWrap w:val="0"/>
            <w:tcMar>
              <w:top w:w="15" w:type="dxa"/>
              <w:left w:w="15" w:type="dxa"/>
              <w:right w:w="15" w:type="dxa"/>
            </w:tcMar>
            <w:vAlign w:val="center"/>
          </w:tcPr>
          <w:p w14:paraId="26F53DC5">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4600.00</w:t>
            </w:r>
          </w:p>
        </w:tc>
        <w:tc>
          <w:tcPr>
            <w:tcW w:w="1379" w:type="dxa"/>
            <w:tcBorders>
              <w:tl2br w:val="nil"/>
              <w:tr2bl w:val="nil"/>
            </w:tcBorders>
            <w:noWrap/>
            <w:tcMar>
              <w:top w:w="15" w:type="dxa"/>
              <w:left w:w="15" w:type="dxa"/>
              <w:right w:w="15" w:type="dxa"/>
            </w:tcMar>
            <w:vAlign w:val="center"/>
          </w:tcPr>
          <w:p w14:paraId="42695B67">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4600.00</w:t>
            </w:r>
          </w:p>
        </w:tc>
        <w:tc>
          <w:tcPr>
            <w:tcW w:w="3408" w:type="dxa"/>
            <w:tcBorders>
              <w:tl2br w:val="nil"/>
              <w:tr2bl w:val="nil"/>
            </w:tcBorders>
            <w:noWrap/>
            <w:tcMar>
              <w:top w:w="15" w:type="dxa"/>
              <w:left w:w="15" w:type="dxa"/>
              <w:right w:w="15" w:type="dxa"/>
            </w:tcMar>
            <w:vAlign w:val="center"/>
          </w:tcPr>
          <w:p w14:paraId="1C4D6E09">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14:paraId="60DE77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jc w:val="center"/>
        </w:trPr>
        <w:tc>
          <w:tcPr>
            <w:tcW w:w="1519" w:type="dxa"/>
            <w:vMerge w:val="continue"/>
            <w:tcBorders>
              <w:tl2br w:val="nil"/>
              <w:tr2bl w:val="nil"/>
            </w:tcBorders>
            <w:noWrap w:val="0"/>
            <w:tcMar>
              <w:top w:w="15" w:type="dxa"/>
              <w:left w:w="15" w:type="dxa"/>
              <w:right w:w="15" w:type="dxa"/>
            </w:tcMar>
            <w:vAlign w:val="center"/>
          </w:tcPr>
          <w:p w14:paraId="625BF732">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36E0C8F3">
            <w:pPr>
              <w:widowControl/>
              <w:ind w:firstLine="210" w:firstLineChars="100"/>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其中：我行拟贷款金额（万元）</w:t>
            </w:r>
          </w:p>
        </w:tc>
        <w:tc>
          <w:tcPr>
            <w:tcW w:w="1656" w:type="dxa"/>
            <w:tcBorders>
              <w:tl2br w:val="nil"/>
              <w:tr2bl w:val="nil"/>
            </w:tcBorders>
            <w:noWrap w:val="0"/>
            <w:tcMar>
              <w:top w:w="15" w:type="dxa"/>
              <w:left w:w="15" w:type="dxa"/>
              <w:right w:w="15" w:type="dxa"/>
            </w:tcMar>
            <w:vAlign w:val="center"/>
          </w:tcPr>
          <w:p w14:paraId="27E035CE">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4600.00</w:t>
            </w:r>
          </w:p>
        </w:tc>
        <w:tc>
          <w:tcPr>
            <w:tcW w:w="1379" w:type="dxa"/>
            <w:tcBorders>
              <w:tl2br w:val="nil"/>
              <w:tr2bl w:val="nil"/>
            </w:tcBorders>
            <w:noWrap/>
            <w:tcMar>
              <w:top w:w="15" w:type="dxa"/>
              <w:left w:w="15" w:type="dxa"/>
              <w:right w:w="15" w:type="dxa"/>
            </w:tcMar>
            <w:vAlign w:val="center"/>
          </w:tcPr>
          <w:p w14:paraId="42E62360">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4600.00</w:t>
            </w:r>
          </w:p>
        </w:tc>
        <w:tc>
          <w:tcPr>
            <w:tcW w:w="3408" w:type="dxa"/>
            <w:tcBorders>
              <w:tl2br w:val="nil"/>
              <w:tr2bl w:val="nil"/>
            </w:tcBorders>
            <w:noWrap/>
            <w:tcMar>
              <w:top w:w="15" w:type="dxa"/>
              <w:left w:w="15" w:type="dxa"/>
              <w:right w:w="15" w:type="dxa"/>
            </w:tcMar>
            <w:vAlign w:val="center"/>
          </w:tcPr>
          <w:p w14:paraId="165F0EFA">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14:paraId="43280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 w:hRule="atLeast"/>
          <w:jc w:val="center"/>
        </w:trPr>
        <w:tc>
          <w:tcPr>
            <w:tcW w:w="1519" w:type="dxa"/>
            <w:vMerge w:val="continue"/>
            <w:tcBorders>
              <w:tl2br w:val="nil"/>
              <w:tr2bl w:val="nil"/>
            </w:tcBorders>
            <w:noWrap w:val="0"/>
            <w:tcMar>
              <w:top w:w="15" w:type="dxa"/>
              <w:left w:w="15" w:type="dxa"/>
              <w:right w:w="15" w:type="dxa"/>
            </w:tcMar>
            <w:vAlign w:val="center"/>
          </w:tcPr>
          <w:p w14:paraId="7F531603">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62849809">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4、其他资金</w:t>
            </w:r>
          </w:p>
        </w:tc>
        <w:tc>
          <w:tcPr>
            <w:tcW w:w="1656" w:type="dxa"/>
            <w:tcBorders>
              <w:tl2br w:val="nil"/>
              <w:tr2bl w:val="nil"/>
            </w:tcBorders>
            <w:noWrap w:val="0"/>
            <w:tcMar>
              <w:top w:w="15" w:type="dxa"/>
              <w:left w:w="15" w:type="dxa"/>
              <w:right w:w="15" w:type="dxa"/>
            </w:tcMar>
            <w:vAlign w:val="center"/>
          </w:tcPr>
          <w:p w14:paraId="77CAC85E">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c>
          <w:tcPr>
            <w:tcW w:w="1379" w:type="dxa"/>
            <w:tcBorders>
              <w:tl2br w:val="nil"/>
              <w:tr2bl w:val="nil"/>
            </w:tcBorders>
            <w:noWrap/>
            <w:tcMar>
              <w:top w:w="15" w:type="dxa"/>
              <w:left w:w="15" w:type="dxa"/>
              <w:right w:w="15" w:type="dxa"/>
            </w:tcMar>
            <w:vAlign w:val="center"/>
          </w:tcPr>
          <w:p w14:paraId="00E84492">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c>
          <w:tcPr>
            <w:tcW w:w="3408" w:type="dxa"/>
            <w:tcBorders>
              <w:tl2br w:val="nil"/>
              <w:tr2bl w:val="nil"/>
            </w:tcBorders>
            <w:noWrap/>
            <w:tcMar>
              <w:top w:w="15" w:type="dxa"/>
              <w:left w:w="15" w:type="dxa"/>
              <w:right w:w="15" w:type="dxa"/>
            </w:tcMar>
            <w:vAlign w:val="center"/>
          </w:tcPr>
          <w:p w14:paraId="0950A8A3">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14:paraId="24250A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jc w:val="center"/>
        </w:trPr>
        <w:tc>
          <w:tcPr>
            <w:tcW w:w="1519" w:type="dxa"/>
            <w:vMerge w:val="restart"/>
            <w:tcBorders>
              <w:tl2br w:val="nil"/>
              <w:tr2bl w:val="nil"/>
            </w:tcBorders>
            <w:noWrap w:val="0"/>
            <w:tcMar>
              <w:top w:w="15" w:type="dxa"/>
              <w:left w:w="15" w:type="dxa"/>
              <w:right w:w="15" w:type="dxa"/>
            </w:tcMar>
            <w:vAlign w:val="center"/>
          </w:tcPr>
          <w:p w14:paraId="71755468">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项目财务效益测算</w:t>
            </w:r>
          </w:p>
        </w:tc>
        <w:tc>
          <w:tcPr>
            <w:tcW w:w="1780" w:type="dxa"/>
            <w:tcBorders>
              <w:tl2br w:val="nil"/>
              <w:tr2bl w:val="nil"/>
            </w:tcBorders>
            <w:noWrap w:val="0"/>
            <w:tcMar>
              <w:top w:w="15" w:type="dxa"/>
              <w:left w:w="15" w:type="dxa"/>
              <w:right w:w="15" w:type="dxa"/>
            </w:tcMar>
            <w:vAlign w:val="center"/>
          </w:tcPr>
          <w:p w14:paraId="714E4915">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1、项目投资利润率（%）（总利润/总投资）</w:t>
            </w:r>
          </w:p>
        </w:tc>
        <w:tc>
          <w:tcPr>
            <w:tcW w:w="1656" w:type="dxa"/>
            <w:tcBorders>
              <w:tl2br w:val="nil"/>
              <w:tr2bl w:val="nil"/>
            </w:tcBorders>
            <w:noWrap w:val="0"/>
            <w:tcMar>
              <w:top w:w="15" w:type="dxa"/>
              <w:left w:w="15" w:type="dxa"/>
              <w:right w:w="15" w:type="dxa"/>
            </w:tcMar>
            <w:vAlign w:val="center"/>
          </w:tcPr>
          <w:p w14:paraId="44CA4444">
            <w:pPr>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47.96</w:t>
            </w:r>
          </w:p>
        </w:tc>
        <w:tc>
          <w:tcPr>
            <w:tcW w:w="1379" w:type="dxa"/>
            <w:tcBorders>
              <w:tl2br w:val="nil"/>
              <w:tr2bl w:val="nil"/>
            </w:tcBorders>
            <w:noWrap/>
            <w:tcMar>
              <w:top w:w="15" w:type="dxa"/>
              <w:left w:w="15" w:type="dxa"/>
              <w:right w:w="15" w:type="dxa"/>
            </w:tcMar>
            <w:vAlign w:val="center"/>
          </w:tcPr>
          <w:p w14:paraId="7A1D23DB">
            <w:pPr>
              <w:jc w:val="center"/>
              <w:rPr>
                <w:rFonts w:hint="default" w:ascii="仿宋" w:hAnsi="仿宋" w:eastAsia="仿宋" w:cs="宋体"/>
                <w:color w:val="FF0000"/>
                <w:szCs w:val="21"/>
                <w:lang w:val="en-US" w:eastAsia="zh-CN"/>
              </w:rPr>
            </w:pPr>
            <w:r>
              <w:rPr>
                <w:rFonts w:hint="eastAsia" w:ascii="仿宋" w:hAnsi="仿宋" w:eastAsia="仿宋" w:cs="宋体"/>
                <w:color w:val="000000"/>
                <w:szCs w:val="21"/>
                <w:highlight w:val="none"/>
                <w:lang w:val="en-US" w:eastAsia="zh-CN"/>
              </w:rPr>
              <w:t>47.96</w:t>
            </w:r>
          </w:p>
        </w:tc>
        <w:tc>
          <w:tcPr>
            <w:tcW w:w="3408" w:type="dxa"/>
            <w:tcBorders>
              <w:tl2br w:val="nil"/>
              <w:tr2bl w:val="nil"/>
            </w:tcBorders>
            <w:noWrap/>
            <w:tcMar>
              <w:top w:w="15" w:type="dxa"/>
              <w:left w:w="15" w:type="dxa"/>
              <w:right w:w="15" w:type="dxa"/>
            </w:tcMar>
            <w:vAlign w:val="center"/>
          </w:tcPr>
          <w:p w14:paraId="164305EF">
            <w:pPr>
              <w:jc w:val="center"/>
              <w:rPr>
                <w:rFonts w:ascii="仿宋" w:hAnsi="仿宋" w:eastAsia="仿宋" w:cs="宋体"/>
                <w:color w:val="FF0000"/>
                <w:szCs w:val="21"/>
              </w:rPr>
            </w:pPr>
            <w:r>
              <w:rPr>
                <w:rFonts w:hint="eastAsia" w:ascii="仿宋" w:hAnsi="仿宋" w:eastAsia="仿宋" w:cs="宋体"/>
                <w:color w:val="000000"/>
                <w:szCs w:val="21"/>
                <w:highlight w:val="none"/>
                <w:lang w:val="en-US" w:eastAsia="zh-CN"/>
              </w:rPr>
              <w:t>-</w:t>
            </w:r>
          </w:p>
        </w:tc>
      </w:tr>
      <w:tr w14:paraId="4D387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 w:hRule="atLeast"/>
          <w:jc w:val="center"/>
        </w:trPr>
        <w:tc>
          <w:tcPr>
            <w:tcW w:w="1519" w:type="dxa"/>
            <w:vMerge w:val="continue"/>
            <w:tcBorders>
              <w:tl2br w:val="nil"/>
              <w:tr2bl w:val="nil"/>
            </w:tcBorders>
            <w:noWrap w:val="0"/>
            <w:tcMar>
              <w:top w:w="15" w:type="dxa"/>
              <w:left w:w="15" w:type="dxa"/>
              <w:right w:w="15" w:type="dxa"/>
            </w:tcMar>
            <w:vAlign w:val="center"/>
          </w:tcPr>
          <w:p w14:paraId="5FCC9A9E">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70B4C454">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2、项目销售利润率（%）（总利润/总销售收入）</w:t>
            </w:r>
          </w:p>
        </w:tc>
        <w:tc>
          <w:tcPr>
            <w:tcW w:w="1656" w:type="dxa"/>
            <w:tcBorders>
              <w:tl2br w:val="nil"/>
              <w:tr2bl w:val="nil"/>
            </w:tcBorders>
            <w:noWrap w:val="0"/>
            <w:tcMar>
              <w:top w:w="15" w:type="dxa"/>
              <w:left w:w="15" w:type="dxa"/>
              <w:right w:w="15" w:type="dxa"/>
            </w:tcMar>
            <w:vAlign w:val="center"/>
          </w:tcPr>
          <w:p w14:paraId="62A769DE">
            <w:pPr>
              <w:jc w:val="center"/>
              <w:rPr>
                <w:rFonts w:hint="default" w:ascii="仿宋" w:hAnsi="仿宋" w:eastAsia="仿宋" w:cs="宋体"/>
                <w:color w:val="auto"/>
                <w:szCs w:val="21"/>
                <w:highlight w:val="none"/>
                <w:lang w:val="en-US" w:eastAsia="zh-CN"/>
              </w:rPr>
            </w:pPr>
            <w:r>
              <w:rPr>
                <w:rFonts w:hint="eastAsia" w:ascii="仿宋" w:hAnsi="仿宋" w:eastAsia="仿宋" w:cs="宋体"/>
                <w:color w:val="auto"/>
                <w:szCs w:val="21"/>
                <w:highlight w:val="none"/>
                <w:lang w:val="en-US" w:eastAsia="zh-CN"/>
              </w:rPr>
              <w:t>29.38</w:t>
            </w:r>
          </w:p>
        </w:tc>
        <w:tc>
          <w:tcPr>
            <w:tcW w:w="1379" w:type="dxa"/>
            <w:tcBorders>
              <w:tl2br w:val="nil"/>
              <w:tr2bl w:val="nil"/>
            </w:tcBorders>
            <w:noWrap/>
            <w:tcMar>
              <w:top w:w="15" w:type="dxa"/>
              <w:left w:w="15" w:type="dxa"/>
              <w:right w:w="15" w:type="dxa"/>
            </w:tcMar>
            <w:vAlign w:val="center"/>
          </w:tcPr>
          <w:p w14:paraId="66D8A85A">
            <w:pPr>
              <w:jc w:val="center"/>
              <w:rPr>
                <w:rFonts w:hint="default" w:ascii="仿宋" w:hAnsi="仿宋" w:eastAsia="仿宋" w:cs="宋体"/>
                <w:color w:val="FF0000"/>
                <w:szCs w:val="21"/>
                <w:lang w:val="en-US" w:eastAsia="zh-CN"/>
              </w:rPr>
            </w:pPr>
            <w:r>
              <w:rPr>
                <w:rFonts w:hint="eastAsia" w:ascii="仿宋" w:hAnsi="仿宋" w:eastAsia="仿宋" w:cs="宋体"/>
                <w:color w:val="000000"/>
                <w:szCs w:val="21"/>
                <w:highlight w:val="none"/>
                <w:lang w:val="en-US" w:eastAsia="zh-CN"/>
              </w:rPr>
              <w:t>29.38</w:t>
            </w:r>
          </w:p>
        </w:tc>
        <w:tc>
          <w:tcPr>
            <w:tcW w:w="3408" w:type="dxa"/>
            <w:tcBorders>
              <w:tl2br w:val="nil"/>
              <w:tr2bl w:val="nil"/>
            </w:tcBorders>
            <w:noWrap/>
            <w:tcMar>
              <w:top w:w="15" w:type="dxa"/>
              <w:left w:w="15" w:type="dxa"/>
              <w:right w:w="15" w:type="dxa"/>
            </w:tcMar>
            <w:vAlign w:val="center"/>
          </w:tcPr>
          <w:p w14:paraId="3E2C4F94">
            <w:pPr>
              <w:jc w:val="center"/>
              <w:rPr>
                <w:rFonts w:ascii="仿宋" w:hAnsi="仿宋" w:eastAsia="仿宋" w:cs="宋体"/>
                <w:color w:val="FF0000"/>
                <w:szCs w:val="21"/>
              </w:rPr>
            </w:pPr>
            <w:r>
              <w:rPr>
                <w:rFonts w:hint="eastAsia" w:ascii="仿宋" w:hAnsi="仿宋" w:eastAsia="仿宋" w:cs="宋体"/>
                <w:color w:val="000000"/>
                <w:szCs w:val="21"/>
                <w:highlight w:val="none"/>
                <w:lang w:val="en-US" w:eastAsia="zh-CN"/>
              </w:rPr>
              <w:t>-</w:t>
            </w:r>
          </w:p>
        </w:tc>
      </w:tr>
      <w:tr w14:paraId="042B5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9" w:hRule="atLeast"/>
          <w:jc w:val="center"/>
        </w:trPr>
        <w:tc>
          <w:tcPr>
            <w:tcW w:w="1519" w:type="dxa"/>
            <w:vMerge w:val="continue"/>
            <w:tcBorders>
              <w:tl2br w:val="nil"/>
              <w:tr2bl w:val="nil"/>
            </w:tcBorders>
            <w:noWrap w:val="0"/>
            <w:tcMar>
              <w:top w:w="15" w:type="dxa"/>
              <w:left w:w="15" w:type="dxa"/>
              <w:right w:w="15" w:type="dxa"/>
            </w:tcMar>
            <w:vAlign w:val="center"/>
          </w:tcPr>
          <w:p w14:paraId="2C641AC7">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4442F78F">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3、项目财务内部收益率（税后）（%）</w:t>
            </w:r>
          </w:p>
        </w:tc>
        <w:tc>
          <w:tcPr>
            <w:tcW w:w="1656" w:type="dxa"/>
            <w:tcBorders>
              <w:tl2br w:val="nil"/>
              <w:tr2bl w:val="nil"/>
            </w:tcBorders>
            <w:noWrap w:val="0"/>
            <w:tcMar>
              <w:top w:w="15" w:type="dxa"/>
              <w:left w:w="15" w:type="dxa"/>
              <w:right w:w="15" w:type="dxa"/>
            </w:tcMar>
            <w:vAlign w:val="center"/>
          </w:tcPr>
          <w:p w14:paraId="53029EAA">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7.92</w:t>
            </w:r>
          </w:p>
        </w:tc>
        <w:tc>
          <w:tcPr>
            <w:tcW w:w="1379" w:type="dxa"/>
            <w:tcBorders>
              <w:tl2br w:val="nil"/>
              <w:tr2bl w:val="nil"/>
            </w:tcBorders>
            <w:noWrap/>
            <w:tcMar>
              <w:top w:w="15" w:type="dxa"/>
              <w:left w:w="15" w:type="dxa"/>
              <w:right w:w="15" w:type="dxa"/>
            </w:tcMar>
            <w:vAlign w:val="center"/>
          </w:tcPr>
          <w:p w14:paraId="4A5D799B">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7.92</w:t>
            </w:r>
          </w:p>
        </w:tc>
        <w:tc>
          <w:tcPr>
            <w:tcW w:w="3408" w:type="dxa"/>
            <w:tcBorders>
              <w:tl2br w:val="nil"/>
              <w:tr2bl w:val="nil"/>
            </w:tcBorders>
            <w:noWrap/>
            <w:tcMar>
              <w:top w:w="15" w:type="dxa"/>
              <w:left w:w="15" w:type="dxa"/>
              <w:right w:w="15" w:type="dxa"/>
            </w:tcMar>
            <w:vAlign w:val="center"/>
          </w:tcPr>
          <w:p w14:paraId="74448EED">
            <w:pPr>
              <w:jc w:val="center"/>
              <w:rPr>
                <w:rFonts w:hint="default" w:ascii="仿宋" w:hAnsi="仿宋" w:eastAsia="仿宋" w:cs="宋体"/>
                <w:color w:val="000000"/>
                <w:szCs w:val="21"/>
                <w:lang w:val="en-US" w:eastAsia="zh-CN"/>
              </w:rPr>
            </w:pPr>
          </w:p>
        </w:tc>
      </w:tr>
      <w:tr w14:paraId="7367CD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jc w:val="center"/>
        </w:trPr>
        <w:tc>
          <w:tcPr>
            <w:tcW w:w="1519" w:type="dxa"/>
            <w:vMerge w:val="continue"/>
            <w:tcBorders>
              <w:tl2br w:val="nil"/>
              <w:tr2bl w:val="nil"/>
            </w:tcBorders>
            <w:noWrap w:val="0"/>
            <w:tcMar>
              <w:top w:w="15" w:type="dxa"/>
              <w:left w:w="15" w:type="dxa"/>
              <w:right w:w="15" w:type="dxa"/>
            </w:tcMar>
            <w:vAlign w:val="center"/>
          </w:tcPr>
          <w:p w14:paraId="78C030D6">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11B4018D">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4、项目财务净现值（税后）（万元）</w:t>
            </w:r>
          </w:p>
        </w:tc>
        <w:tc>
          <w:tcPr>
            <w:tcW w:w="1656" w:type="dxa"/>
            <w:tcBorders>
              <w:tl2br w:val="nil"/>
              <w:tr2bl w:val="nil"/>
            </w:tcBorders>
            <w:noWrap w:val="0"/>
            <w:tcMar>
              <w:top w:w="15" w:type="dxa"/>
              <w:left w:w="15" w:type="dxa"/>
              <w:right w:w="15" w:type="dxa"/>
            </w:tcMar>
            <w:vAlign w:val="center"/>
          </w:tcPr>
          <w:p w14:paraId="32AAD702">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1402.05</w:t>
            </w:r>
          </w:p>
        </w:tc>
        <w:tc>
          <w:tcPr>
            <w:tcW w:w="1379" w:type="dxa"/>
            <w:tcBorders>
              <w:tl2br w:val="nil"/>
              <w:tr2bl w:val="nil"/>
            </w:tcBorders>
            <w:noWrap/>
            <w:tcMar>
              <w:top w:w="15" w:type="dxa"/>
              <w:left w:w="15" w:type="dxa"/>
              <w:right w:w="15" w:type="dxa"/>
            </w:tcMar>
            <w:vAlign w:val="center"/>
          </w:tcPr>
          <w:p w14:paraId="149E56CD">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1402.05</w:t>
            </w:r>
          </w:p>
        </w:tc>
        <w:tc>
          <w:tcPr>
            <w:tcW w:w="3408" w:type="dxa"/>
            <w:tcBorders>
              <w:tl2br w:val="nil"/>
              <w:tr2bl w:val="nil"/>
            </w:tcBorders>
            <w:noWrap/>
            <w:tcMar>
              <w:top w:w="15" w:type="dxa"/>
              <w:left w:w="15" w:type="dxa"/>
              <w:right w:w="15" w:type="dxa"/>
            </w:tcMar>
            <w:vAlign w:val="center"/>
          </w:tcPr>
          <w:p w14:paraId="002AA06C">
            <w:pPr>
              <w:rPr>
                <w:rFonts w:hint="default" w:ascii="仿宋" w:hAnsi="仿宋" w:eastAsia="仿宋" w:cs="宋体"/>
                <w:color w:val="000000"/>
                <w:szCs w:val="21"/>
                <w:lang w:val="en-US" w:eastAsia="zh-CN"/>
              </w:rPr>
            </w:pPr>
          </w:p>
        </w:tc>
      </w:tr>
      <w:tr w14:paraId="193FB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continue"/>
            <w:tcBorders>
              <w:tl2br w:val="nil"/>
              <w:tr2bl w:val="nil"/>
            </w:tcBorders>
            <w:noWrap w:val="0"/>
            <w:tcMar>
              <w:top w:w="15" w:type="dxa"/>
              <w:left w:w="15" w:type="dxa"/>
              <w:right w:w="15" w:type="dxa"/>
            </w:tcMar>
            <w:vAlign w:val="center"/>
          </w:tcPr>
          <w:p w14:paraId="1A362396">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7997DC45">
            <w:pPr>
              <w:widowControl/>
              <w:ind w:firstLine="315" w:firstLineChars="150"/>
              <w:jc w:val="left"/>
              <w:textAlignment w:val="center"/>
              <w:rPr>
                <w:rFonts w:ascii="仿宋" w:hAnsi="仿宋" w:eastAsia="仿宋" w:cs="宋体"/>
                <w:szCs w:val="21"/>
                <w:highlight w:val="none"/>
              </w:rPr>
            </w:pPr>
            <w:r>
              <w:rPr>
                <w:rFonts w:hint="eastAsia" w:ascii="仿宋" w:hAnsi="仿宋" w:eastAsia="仿宋" w:cs="宋体"/>
                <w:kern w:val="0"/>
                <w:szCs w:val="21"/>
                <w:highlight w:val="none"/>
                <w:lang w:bidi="ar"/>
              </w:rPr>
              <w:t>其中：折现率（%）</w:t>
            </w:r>
          </w:p>
        </w:tc>
        <w:tc>
          <w:tcPr>
            <w:tcW w:w="1656" w:type="dxa"/>
            <w:tcBorders>
              <w:tl2br w:val="nil"/>
              <w:tr2bl w:val="nil"/>
            </w:tcBorders>
            <w:noWrap w:val="0"/>
            <w:tcMar>
              <w:top w:w="15" w:type="dxa"/>
              <w:left w:w="15" w:type="dxa"/>
              <w:right w:w="15" w:type="dxa"/>
            </w:tcMar>
            <w:vAlign w:val="center"/>
          </w:tcPr>
          <w:p w14:paraId="61D22D81">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4.2</w:t>
            </w:r>
          </w:p>
        </w:tc>
        <w:tc>
          <w:tcPr>
            <w:tcW w:w="1379" w:type="dxa"/>
            <w:tcBorders>
              <w:tl2br w:val="nil"/>
              <w:tr2bl w:val="nil"/>
            </w:tcBorders>
            <w:noWrap/>
            <w:tcMar>
              <w:top w:w="15" w:type="dxa"/>
              <w:left w:w="15" w:type="dxa"/>
              <w:right w:w="15" w:type="dxa"/>
            </w:tcMar>
            <w:vAlign w:val="center"/>
          </w:tcPr>
          <w:p w14:paraId="10FA2611">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4.2</w:t>
            </w:r>
          </w:p>
        </w:tc>
        <w:tc>
          <w:tcPr>
            <w:tcW w:w="3408" w:type="dxa"/>
            <w:tcBorders>
              <w:tl2br w:val="nil"/>
              <w:tr2bl w:val="nil"/>
            </w:tcBorders>
            <w:noWrap/>
            <w:tcMar>
              <w:top w:w="15" w:type="dxa"/>
              <w:left w:w="15" w:type="dxa"/>
              <w:right w:w="15" w:type="dxa"/>
            </w:tcMar>
            <w:vAlign w:val="center"/>
          </w:tcPr>
          <w:p w14:paraId="52D570D5">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14:paraId="0D5DF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continue"/>
            <w:tcBorders>
              <w:tl2br w:val="nil"/>
              <w:tr2bl w:val="nil"/>
            </w:tcBorders>
            <w:noWrap w:val="0"/>
            <w:tcMar>
              <w:top w:w="15" w:type="dxa"/>
              <w:left w:w="15" w:type="dxa"/>
              <w:right w:w="15" w:type="dxa"/>
            </w:tcMar>
            <w:vAlign w:val="center"/>
          </w:tcPr>
          <w:p w14:paraId="0BC2CDC8">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4521D379">
            <w:pPr>
              <w:widowControl/>
              <w:jc w:val="left"/>
              <w:textAlignment w:val="center"/>
              <w:rPr>
                <w:rFonts w:ascii="仿宋" w:hAnsi="仿宋" w:eastAsia="仿宋" w:cs="宋体"/>
                <w:kern w:val="0"/>
                <w:szCs w:val="21"/>
                <w:lang w:bidi="ar"/>
              </w:rPr>
            </w:pPr>
            <w:r>
              <w:rPr>
                <w:rFonts w:hint="eastAsia" w:ascii="仿宋" w:hAnsi="仿宋" w:eastAsia="仿宋" w:cs="宋体"/>
                <w:kern w:val="0"/>
                <w:szCs w:val="21"/>
                <w:lang w:bidi="ar"/>
              </w:rPr>
              <w:t>5、项目静态投资回收期（年或月）</w:t>
            </w:r>
          </w:p>
        </w:tc>
        <w:tc>
          <w:tcPr>
            <w:tcW w:w="1656" w:type="dxa"/>
            <w:tcBorders>
              <w:tl2br w:val="nil"/>
              <w:tr2bl w:val="nil"/>
            </w:tcBorders>
            <w:noWrap w:val="0"/>
            <w:tcMar>
              <w:top w:w="15" w:type="dxa"/>
              <w:left w:w="15" w:type="dxa"/>
              <w:right w:w="15" w:type="dxa"/>
            </w:tcMar>
            <w:vAlign w:val="center"/>
          </w:tcPr>
          <w:p w14:paraId="4505EEA7">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11.27</w:t>
            </w:r>
          </w:p>
        </w:tc>
        <w:tc>
          <w:tcPr>
            <w:tcW w:w="1379" w:type="dxa"/>
            <w:tcBorders>
              <w:tl2br w:val="nil"/>
              <w:tr2bl w:val="nil"/>
            </w:tcBorders>
            <w:noWrap/>
            <w:tcMar>
              <w:top w:w="15" w:type="dxa"/>
              <w:left w:w="15" w:type="dxa"/>
              <w:right w:w="15" w:type="dxa"/>
            </w:tcMar>
            <w:vAlign w:val="center"/>
          </w:tcPr>
          <w:p w14:paraId="19A29A49">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11.27</w:t>
            </w:r>
          </w:p>
        </w:tc>
        <w:tc>
          <w:tcPr>
            <w:tcW w:w="3408" w:type="dxa"/>
            <w:tcBorders>
              <w:tl2br w:val="nil"/>
              <w:tr2bl w:val="nil"/>
            </w:tcBorders>
            <w:noWrap/>
            <w:tcMar>
              <w:top w:w="15" w:type="dxa"/>
              <w:left w:w="15" w:type="dxa"/>
              <w:right w:w="15" w:type="dxa"/>
            </w:tcMar>
            <w:vAlign w:val="center"/>
          </w:tcPr>
          <w:p w14:paraId="1B8EB5B3">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14:paraId="2C327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continue"/>
            <w:tcBorders>
              <w:tl2br w:val="nil"/>
              <w:tr2bl w:val="nil"/>
            </w:tcBorders>
            <w:noWrap w:val="0"/>
            <w:tcMar>
              <w:top w:w="15" w:type="dxa"/>
              <w:left w:w="15" w:type="dxa"/>
              <w:right w:w="15" w:type="dxa"/>
            </w:tcMar>
            <w:vAlign w:val="center"/>
          </w:tcPr>
          <w:p w14:paraId="6D1B3BD4">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332E665F">
            <w:pPr>
              <w:widowControl/>
              <w:jc w:val="left"/>
              <w:textAlignment w:val="center"/>
              <w:rPr>
                <w:rFonts w:ascii="仿宋" w:hAnsi="仿宋" w:eastAsia="仿宋" w:cs="宋体"/>
                <w:kern w:val="0"/>
                <w:szCs w:val="21"/>
                <w:lang w:bidi="ar"/>
              </w:rPr>
            </w:pPr>
            <w:r>
              <w:rPr>
                <w:rFonts w:ascii="仿宋" w:hAnsi="仿宋" w:eastAsia="仿宋" w:cs="宋体"/>
                <w:kern w:val="0"/>
                <w:szCs w:val="21"/>
                <w:lang w:bidi="ar"/>
              </w:rPr>
              <w:t>6</w:t>
            </w:r>
            <w:r>
              <w:rPr>
                <w:rFonts w:hint="eastAsia" w:ascii="仿宋" w:hAnsi="仿宋" w:eastAsia="仿宋" w:cs="宋体"/>
                <w:kern w:val="0"/>
                <w:szCs w:val="21"/>
                <w:lang w:bidi="ar"/>
              </w:rPr>
              <w:t>、项目动态投资回收期（年或月）</w:t>
            </w:r>
          </w:p>
        </w:tc>
        <w:tc>
          <w:tcPr>
            <w:tcW w:w="1656" w:type="dxa"/>
            <w:tcBorders>
              <w:tl2br w:val="nil"/>
              <w:tr2bl w:val="nil"/>
            </w:tcBorders>
            <w:noWrap w:val="0"/>
            <w:tcMar>
              <w:top w:w="15" w:type="dxa"/>
              <w:left w:w="15" w:type="dxa"/>
              <w:right w:w="15" w:type="dxa"/>
            </w:tcMar>
            <w:vAlign w:val="center"/>
          </w:tcPr>
          <w:p w14:paraId="416DF942">
            <w:pPr>
              <w:jc w:val="center"/>
              <w:rPr>
                <w:rFonts w:hint="default" w:ascii="仿宋" w:hAnsi="仿宋" w:eastAsia="仿宋" w:cs="宋体"/>
                <w:color w:val="000000"/>
                <w:szCs w:val="21"/>
                <w:highlight w:val="yellow"/>
                <w:lang w:val="en-US" w:eastAsia="zh-CN"/>
              </w:rPr>
            </w:pPr>
            <w:r>
              <w:rPr>
                <w:rFonts w:hint="eastAsia" w:ascii="仿宋" w:hAnsi="仿宋" w:eastAsia="仿宋" w:cs="宋体"/>
                <w:color w:val="000000"/>
                <w:szCs w:val="21"/>
                <w:highlight w:val="none"/>
                <w:lang w:val="en-US" w:eastAsia="zh-CN"/>
              </w:rPr>
              <w:t>11.03</w:t>
            </w:r>
          </w:p>
        </w:tc>
        <w:tc>
          <w:tcPr>
            <w:tcW w:w="1379" w:type="dxa"/>
            <w:tcBorders>
              <w:tl2br w:val="nil"/>
              <w:tr2bl w:val="nil"/>
            </w:tcBorders>
            <w:noWrap/>
            <w:tcMar>
              <w:top w:w="15" w:type="dxa"/>
              <w:left w:w="15" w:type="dxa"/>
              <w:right w:w="15" w:type="dxa"/>
            </w:tcMar>
            <w:vAlign w:val="center"/>
          </w:tcPr>
          <w:p w14:paraId="5585DD3D">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11.03</w:t>
            </w:r>
          </w:p>
        </w:tc>
        <w:tc>
          <w:tcPr>
            <w:tcW w:w="3408" w:type="dxa"/>
            <w:tcBorders>
              <w:tl2br w:val="nil"/>
              <w:tr2bl w:val="nil"/>
            </w:tcBorders>
            <w:noWrap/>
            <w:tcMar>
              <w:top w:w="15" w:type="dxa"/>
              <w:left w:w="15" w:type="dxa"/>
              <w:right w:w="15" w:type="dxa"/>
            </w:tcMar>
            <w:vAlign w:val="center"/>
          </w:tcPr>
          <w:p w14:paraId="0DAD613F">
            <w:pPr>
              <w:jc w:val="center"/>
              <w:rPr>
                <w:rFonts w:ascii="仿宋" w:hAnsi="仿宋" w:eastAsia="仿宋" w:cs="宋体"/>
                <w:color w:val="000000"/>
                <w:szCs w:val="21"/>
              </w:rPr>
            </w:pPr>
            <w:r>
              <w:rPr>
                <w:rFonts w:hint="eastAsia" w:ascii="仿宋" w:hAnsi="仿宋" w:eastAsia="仿宋" w:cs="宋体"/>
                <w:color w:val="000000"/>
                <w:szCs w:val="21"/>
                <w:highlight w:val="none"/>
                <w:lang w:val="en-US" w:eastAsia="zh-CN"/>
              </w:rPr>
              <w:t>-</w:t>
            </w:r>
          </w:p>
        </w:tc>
      </w:tr>
      <w:tr w14:paraId="256FE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restart"/>
            <w:tcBorders>
              <w:tl2br w:val="nil"/>
              <w:tr2bl w:val="nil"/>
            </w:tcBorders>
            <w:noWrap w:val="0"/>
            <w:tcMar>
              <w:top w:w="15" w:type="dxa"/>
              <w:left w:w="15" w:type="dxa"/>
              <w:right w:w="15" w:type="dxa"/>
            </w:tcMar>
            <w:vAlign w:val="center"/>
          </w:tcPr>
          <w:p w14:paraId="56C70AF2">
            <w:pPr>
              <w:jc w:val="left"/>
              <w:rPr>
                <w:rFonts w:ascii="仿宋" w:hAnsi="仿宋" w:eastAsia="仿宋" w:cs="宋体"/>
                <w:color w:val="000000"/>
                <w:szCs w:val="21"/>
              </w:rPr>
            </w:pPr>
            <w:r>
              <w:rPr>
                <w:rFonts w:hint="eastAsia" w:ascii="仿宋" w:hAnsi="仿宋" w:eastAsia="仿宋" w:cs="宋体"/>
                <w:color w:val="000000"/>
                <w:szCs w:val="21"/>
              </w:rPr>
              <w:t>评估预测主要参数</w:t>
            </w:r>
          </w:p>
        </w:tc>
        <w:tc>
          <w:tcPr>
            <w:tcW w:w="1780" w:type="dxa"/>
            <w:tcBorders>
              <w:tl2br w:val="nil"/>
              <w:tr2bl w:val="nil"/>
            </w:tcBorders>
            <w:noWrap w:val="0"/>
            <w:tcMar>
              <w:top w:w="15" w:type="dxa"/>
              <w:left w:w="15" w:type="dxa"/>
              <w:right w:w="15" w:type="dxa"/>
            </w:tcMar>
            <w:vAlign w:val="center"/>
          </w:tcPr>
          <w:p w14:paraId="69D8E557">
            <w:pPr>
              <w:widowControl/>
              <w:jc w:val="left"/>
              <w:textAlignment w:val="center"/>
              <w:rPr>
                <w:rFonts w:ascii="仿宋" w:hAnsi="仿宋" w:eastAsia="仿宋" w:cs="宋体"/>
                <w:color w:val="000000"/>
                <w:kern w:val="0"/>
                <w:szCs w:val="21"/>
                <w:highlight w:val="none"/>
                <w:lang w:bidi="ar"/>
              </w:rPr>
            </w:pPr>
            <w:r>
              <w:rPr>
                <w:rFonts w:hint="eastAsia" w:ascii="仿宋" w:hAnsi="仿宋" w:eastAsia="仿宋" w:cs="宋体"/>
                <w:color w:val="000000"/>
                <w:kern w:val="0"/>
                <w:szCs w:val="21"/>
                <w:highlight w:val="none"/>
                <w:lang w:bidi="ar"/>
              </w:rPr>
              <w:t>1、项目计算期</w:t>
            </w:r>
          </w:p>
        </w:tc>
        <w:tc>
          <w:tcPr>
            <w:tcW w:w="1656" w:type="dxa"/>
            <w:tcBorders>
              <w:tl2br w:val="nil"/>
              <w:tr2bl w:val="nil"/>
            </w:tcBorders>
            <w:noWrap w:val="0"/>
            <w:tcMar>
              <w:top w:w="15" w:type="dxa"/>
              <w:left w:w="15" w:type="dxa"/>
              <w:right w:w="15" w:type="dxa"/>
            </w:tcMar>
            <w:vAlign w:val="center"/>
          </w:tcPr>
          <w:p w14:paraId="66062D70">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12</w:t>
            </w:r>
          </w:p>
        </w:tc>
        <w:tc>
          <w:tcPr>
            <w:tcW w:w="1379" w:type="dxa"/>
            <w:tcBorders>
              <w:tl2br w:val="nil"/>
              <w:tr2bl w:val="nil"/>
            </w:tcBorders>
            <w:noWrap/>
            <w:tcMar>
              <w:top w:w="15" w:type="dxa"/>
              <w:left w:w="15" w:type="dxa"/>
              <w:right w:w="15" w:type="dxa"/>
            </w:tcMar>
            <w:vAlign w:val="center"/>
          </w:tcPr>
          <w:p w14:paraId="6ACD161B">
            <w:pPr>
              <w:jc w:val="center"/>
              <w:rPr>
                <w:rFonts w:hint="default" w:ascii="仿宋" w:hAnsi="仿宋" w:eastAsia="仿宋" w:cs="宋体"/>
                <w:color w:val="000000"/>
                <w:szCs w:val="21"/>
                <w:highlight w:val="none"/>
                <w:lang w:val="en-US" w:eastAsia="zh-CN"/>
              </w:rPr>
            </w:pPr>
            <w:r>
              <w:rPr>
                <w:rFonts w:hint="eastAsia" w:ascii="仿宋" w:hAnsi="仿宋" w:eastAsia="仿宋" w:cs="宋体"/>
                <w:color w:val="000000"/>
                <w:szCs w:val="21"/>
                <w:highlight w:val="none"/>
                <w:lang w:val="en-US" w:eastAsia="zh-CN"/>
              </w:rPr>
              <w:t>12</w:t>
            </w:r>
          </w:p>
        </w:tc>
        <w:tc>
          <w:tcPr>
            <w:tcW w:w="3408" w:type="dxa"/>
            <w:tcBorders>
              <w:tl2br w:val="nil"/>
              <w:tr2bl w:val="nil"/>
            </w:tcBorders>
            <w:noWrap/>
            <w:tcMar>
              <w:top w:w="15" w:type="dxa"/>
              <w:left w:w="15" w:type="dxa"/>
              <w:right w:w="15" w:type="dxa"/>
            </w:tcMar>
            <w:vAlign w:val="center"/>
          </w:tcPr>
          <w:p w14:paraId="79ABCC65">
            <w:pPr>
              <w:jc w:val="left"/>
              <w:rPr>
                <w:rFonts w:hint="default" w:ascii="仿宋" w:hAnsi="仿宋" w:eastAsia="仿宋" w:cs="宋体"/>
                <w:color w:val="000000"/>
                <w:szCs w:val="21"/>
                <w:highlight w:val="magenta"/>
                <w:lang w:val="en-US"/>
              </w:rPr>
            </w:pPr>
            <w:r>
              <w:rPr>
                <w:rFonts w:hint="eastAsia" w:ascii="仿宋" w:hAnsi="仿宋" w:eastAsia="仿宋" w:cs="宋体"/>
                <w:color w:val="000000"/>
                <w:szCs w:val="21"/>
                <w:highlight w:val="none"/>
                <w:lang w:val="en-US" w:eastAsia="zh-CN"/>
              </w:rPr>
              <w:t>1.可行性研究报告计算期限为依据银行贷款偿还期制定；2.根据我行《固定资产投资项目评估办法》要求，基础产业、基础设施建设以及学校、医院等公益性项目的计算期可以适当延长，但不宜超过30年。综上，出于审慎考虑，该项目计算期调整为12年。</w:t>
            </w:r>
          </w:p>
        </w:tc>
      </w:tr>
      <w:tr w14:paraId="27C4E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continue"/>
            <w:tcBorders>
              <w:tl2br w:val="nil"/>
              <w:tr2bl w:val="nil"/>
            </w:tcBorders>
            <w:noWrap w:val="0"/>
            <w:tcMar>
              <w:top w:w="15" w:type="dxa"/>
              <w:left w:w="15" w:type="dxa"/>
              <w:right w:w="15" w:type="dxa"/>
            </w:tcMar>
            <w:vAlign w:val="center"/>
          </w:tcPr>
          <w:p w14:paraId="25841E3E">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24340A4E">
            <w:pPr>
              <w:widowControl/>
              <w:jc w:val="left"/>
              <w:textAlignment w:val="center"/>
              <w:rPr>
                <w:rFonts w:hint="default" w:ascii="仿宋" w:hAnsi="仿宋" w:eastAsia="仿宋" w:cs="宋体"/>
                <w:color w:val="000000"/>
                <w:kern w:val="0"/>
                <w:szCs w:val="21"/>
                <w:highlight w:val="none"/>
                <w:lang w:val="en-US" w:eastAsia="zh-CN" w:bidi="ar"/>
              </w:rPr>
            </w:pPr>
            <w:r>
              <w:rPr>
                <w:rFonts w:hint="eastAsia" w:ascii="仿宋" w:hAnsi="仿宋" w:eastAsia="仿宋" w:cs="宋体"/>
                <w:color w:val="000000"/>
                <w:kern w:val="0"/>
                <w:szCs w:val="21"/>
                <w:highlight w:val="none"/>
                <w:lang w:val="en-US" w:eastAsia="zh-CN" w:bidi="ar"/>
              </w:rPr>
              <w:t>2、单位造价</w:t>
            </w:r>
          </w:p>
        </w:tc>
        <w:tc>
          <w:tcPr>
            <w:tcW w:w="1656" w:type="dxa"/>
            <w:tcBorders>
              <w:tl2br w:val="nil"/>
              <w:tr2bl w:val="nil"/>
            </w:tcBorders>
            <w:noWrap w:val="0"/>
            <w:tcMar>
              <w:top w:w="15" w:type="dxa"/>
              <w:left w:w="15" w:type="dxa"/>
              <w:right w:w="15" w:type="dxa"/>
            </w:tcMar>
            <w:vAlign w:val="center"/>
          </w:tcPr>
          <w:p w14:paraId="629C0DCA">
            <w:pPr>
              <w:jc w:val="center"/>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光伏综合建造单价2.87元/瓦；</w:t>
            </w:r>
          </w:p>
          <w:p w14:paraId="530A14DA">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储能综合建造单价1.32元/瓦时；600kw液冷光储充电桩综合建造价110万/个</w:t>
            </w:r>
          </w:p>
        </w:tc>
        <w:tc>
          <w:tcPr>
            <w:tcW w:w="1379" w:type="dxa"/>
            <w:tcBorders>
              <w:tl2br w:val="nil"/>
              <w:tr2bl w:val="nil"/>
            </w:tcBorders>
            <w:noWrap/>
            <w:tcMar>
              <w:top w:w="15" w:type="dxa"/>
              <w:left w:w="15" w:type="dxa"/>
              <w:right w:w="15" w:type="dxa"/>
            </w:tcMar>
            <w:vAlign w:val="center"/>
          </w:tcPr>
          <w:p w14:paraId="6C3ABD62">
            <w:pPr>
              <w:jc w:val="center"/>
              <w:rPr>
                <w:rFonts w:hint="eastAsia" w:ascii="仿宋" w:hAnsi="仿宋" w:eastAsia="仿宋" w:cs="宋体"/>
                <w:color w:val="000000"/>
                <w:szCs w:val="21"/>
                <w:lang w:val="en-US" w:eastAsia="zh-CN"/>
              </w:rPr>
            </w:pPr>
            <w:r>
              <w:rPr>
                <w:rFonts w:hint="eastAsia" w:ascii="仿宋" w:hAnsi="仿宋" w:eastAsia="仿宋" w:cs="宋体"/>
                <w:color w:val="000000"/>
                <w:szCs w:val="21"/>
                <w:lang w:val="en-US" w:eastAsia="zh-CN"/>
              </w:rPr>
              <w:t>光伏综合建造单价2.87元/瓦；</w:t>
            </w:r>
          </w:p>
          <w:p w14:paraId="343D225A">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储能综合建造单价1.32元/瓦时；600kw液冷光储充电桩综合建造价110万/个</w:t>
            </w:r>
          </w:p>
        </w:tc>
        <w:tc>
          <w:tcPr>
            <w:tcW w:w="3408" w:type="dxa"/>
            <w:tcBorders>
              <w:tl2br w:val="nil"/>
              <w:tr2bl w:val="nil"/>
            </w:tcBorders>
            <w:noWrap/>
            <w:tcMar>
              <w:top w:w="15" w:type="dxa"/>
              <w:left w:w="15" w:type="dxa"/>
              <w:right w:w="15" w:type="dxa"/>
            </w:tcMar>
            <w:vAlign w:val="center"/>
          </w:tcPr>
          <w:p w14:paraId="5FCA9BB0">
            <w:pPr>
              <w:jc w:val="center"/>
              <w:rPr>
                <w:rFonts w:hint="default" w:ascii="仿宋" w:hAnsi="仿宋" w:eastAsia="仿宋" w:cs="宋体"/>
                <w:color w:val="000000"/>
                <w:szCs w:val="21"/>
                <w:lang w:val="en-US" w:eastAsia="zh-CN"/>
              </w:rPr>
            </w:pPr>
            <w:r>
              <w:rPr>
                <w:rFonts w:hint="eastAsia" w:ascii="仿宋" w:hAnsi="仿宋" w:eastAsia="仿宋" w:cs="宋体"/>
                <w:color w:val="auto"/>
                <w:sz w:val="22"/>
                <w:szCs w:val="22"/>
              </w:rPr>
              <w:t>据</w:t>
            </w:r>
            <w:r>
              <w:rPr>
                <w:rFonts w:ascii="仿宋" w:hAnsi="仿宋" w:eastAsia="仿宋" w:cs="宋体"/>
                <w:color w:val="auto"/>
                <w:sz w:val="22"/>
                <w:szCs w:val="22"/>
              </w:rPr>
              <w:t>中国光伏行业协会</w:t>
            </w:r>
            <w:r>
              <w:rPr>
                <w:rFonts w:hint="eastAsia" w:ascii="仿宋" w:hAnsi="仿宋" w:eastAsia="仿宋" w:cs="宋体"/>
                <w:color w:val="auto"/>
                <w:sz w:val="22"/>
                <w:szCs w:val="22"/>
              </w:rPr>
              <w:t>测算，</w:t>
            </w:r>
            <w:r>
              <w:rPr>
                <w:rFonts w:ascii="仿宋" w:hAnsi="仿宋" w:eastAsia="仿宋" w:cs="宋体"/>
                <w:color w:val="auto"/>
                <w:sz w:val="22"/>
                <w:szCs w:val="22"/>
              </w:rPr>
              <w:t>2022年工商业分布式电站初始全投资成本为3.74元/W，2023年预计将降至3.42元/W，</w:t>
            </w:r>
            <w:r>
              <w:rPr>
                <w:rFonts w:hint="eastAsia" w:ascii="仿宋" w:hAnsi="仿宋" w:eastAsia="仿宋" w:cs="宋体"/>
                <w:color w:val="auto"/>
                <w:sz w:val="22"/>
                <w:szCs w:val="22"/>
                <w:lang w:val="en-US" w:eastAsia="zh-CN"/>
              </w:rPr>
              <w:t>本</w:t>
            </w:r>
            <w:r>
              <w:rPr>
                <w:rFonts w:hint="eastAsia" w:ascii="仿宋" w:hAnsi="仿宋" w:eastAsia="仿宋" w:cs="宋体"/>
                <w:color w:val="auto"/>
                <w:sz w:val="22"/>
                <w:szCs w:val="22"/>
              </w:rPr>
              <w:t>项目</w:t>
            </w:r>
            <w:r>
              <w:rPr>
                <w:rFonts w:hint="eastAsia" w:ascii="仿宋" w:hAnsi="仿宋" w:eastAsia="仿宋" w:cs="宋体"/>
                <w:color w:val="auto"/>
                <w:sz w:val="22"/>
                <w:szCs w:val="22"/>
                <w:lang w:val="en-US" w:eastAsia="zh-CN"/>
              </w:rPr>
              <w:t>光伏</w:t>
            </w:r>
            <w:r>
              <w:rPr>
                <w:rFonts w:hint="eastAsia" w:ascii="仿宋" w:hAnsi="仿宋" w:eastAsia="仿宋" w:cs="宋体"/>
                <w:color w:val="auto"/>
                <w:sz w:val="22"/>
                <w:szCs w:val="22"/>
              </w:rPr>
              <w:t>单位造价成本</w:t>
            </w:r>
            <w:r>
              <w:rPr>
                <w:rFonts w:hint="eastAsia" w:ascii="仿宋" w:hAnsi="仿宋" w:eastAsia="仿宋" w:cs="宋体"/>
                <w:color w:val="auto"/>
                <w:sz w:val="22"/>
                <w:szCs w:val="22"/>
                <w:lang w:eastAsia="zh-CN"/>
              </w:rPr>
              <w:t>为</w:t>
            </w:r>
            <w:r>
              <w:rPr>
                <w:rFonts w:hint="eastAsia" w:ascii="仿宋" w:hAnsi="仿宋" w:eastAsia="仿宋" w:cs="宋体"/>
                <w:color w:val="auto"/>
                <w:sz w:val="22"/>
                <w:szCs w:val="22"/>
                <w:lang w:val="en-US" w:eastAsia="zh-CN"/>
              </w:rPr>
              <w:t>2.87</w:t>
            </w:r>
            <w:r>
              <w:rPr>
                <w:rFonts w:ascii="仿宋" w:hAnsi="仿宋" w:eastAsia="仿宋" w:cs="宋体"/>
                <w:color w:val="auto"/>
                <w:sz w:val="22"/>
                <w:szCs w:val="22"/>
              </w:rPr>
              <w:t>元/W</w:t>
            </w:r>
            <w:r>
              <w:rPr>
                <w:rFonts w:hint="eastAsia" w:ascii="仿宋" w:hAnsi="仿宋" w:eastAsia="仿宋" w:cs="宋体"/>
                <w:color w:val="auto"/>
                <w:sz w:val="22"/>
                <w:szCs w:val="22"/>
                <w:lang w:eastAsia="zh-CN"/>
              </w:rPr>
              <w:t>，</w:t>
            </w:r>
            <w:r>
              <w:rPr>
                <w:rFonts w:hint="eastAsia" w:ascii="仿宋" w:hAnsi="仿宋" w:eastAsia="仿宋" w:cs="宋体"/>
                <w:color w:val="auto"/>
                <w:sz w:val="22"/>
                <w:szCs w:val="22"/>
                <w:lang w:val="en-US" w:eastAsia="zh-CN"/>
              </w:rPr>
              <w:t>储能单位造价1.32元/Wh，光伏充电桩（600kw液冷）其中包含充电桩单桩价格65万元，单桩光伏车棚及储能模块合计价格约为45万元，合计110万元低于</w:t>
            </w:r>
            <w:r>
              <w:rPr>
                <w:rFonts w:hint="eastAsia" w:ascii="仿宋" w:hAnsi="仿宋" w:eastAsia="仿宋" w:cs="宋体"/>
                <w:color w:val="auto"/>
                <w:sz w:val="22"/>
                <w:szCs w:val="22"/>
              </w:rPr>
              <w:t>行业</w:t>
            </w:r>
            <w:r>
              <w:rPr>
                <w:rFonts w:hint="eastAsia" w:ascii="仿宋" w:hAnsi="仿宋" w:eastAsia="仿宋" w:cs="宋体"/>
                <w:color w:val="auto"/>
                <w:sz w:val="22"/>
                <w:szCs w:val="22"/>
                <w:lang w:eastAsia="zh-CN"/>
              </w:rPr>
              <w:t>平均，</w:t>
            </w:r>
            <w:r>
              <w:rPr>
                <w:rFonts w:hint="eastAsia" w:ascii="仿宋" w:hAnsi="仿宋" w:eastAsia="仿宋" w:cs="宋体"/>
                <w:color w:val="auto"/>
                <w:sz w:val="22"/>
                <w:szCs w:val="22"/>
                <w:lang w:val="en-US" w:eastAsia="zh-CN"/>
              </w:rPr>
              <w:t>比较合理。</w:t>
            </w:r>
          </w:p>
        </w:tc>
      </w:tr>
      <w:tr w14:paraId="34978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continue"/>
            <w:tcBorders>
              <w:tl2br w:val="nil"/>
              <w:tr2bl w:val="nil"/>
            </w:tcBorders>
            <w:noWrap w:val="0"/>
            <w:tcMar>
              <w:top w:w="15" w:type="dxa"/>
              <w:left w:w="15" w:type="dxa"/>
              <w:right w:w="15" w:type="dxa"/>
            </w:tcMar>
            <w:vAlign w:val="center"/>
          </w:tcPr>
          <w:p w14:paraId="1BB9DC96">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2C92A2CD">
            <w:pPr>
              <w:widowControl/>
              <w:jc w:val="left"/>
              <w:textAlignment w:val="center"/>
              <w:rPr>
                <w:rFonts w:hint="default" w:ascii="仿宋" w:hAnsi="仿宋" w:eastAsia="仿宋" w:cs="宋体"/>
                <w:color w:val="000000"/>
                <w:kern w:val="0"/>
                <w:szCs w:val="21"/>
                <w:highlight w:val="none"/>
                <w:lang w:val="en-US" w:eastAsia="zh-CN" w:bidi="ar"/>
              </w:rPr>
            </w:pPr>
            <w:r>
              <w:rPr>
                <w:rFonts w:hint="eastAsia" w:ascii="仿宋" w:hAnsi="仿宋" w:eastAsia="仿宋" w:cs="宋体"/>
                <w:color w:val="000000"/>
                <w:kern w:val="0"/>
                <w:szCs w:val="21"/>
                <w:highlight w:val="none"/>
                <w:lang w:val="en-US" w:eastAsia="zh-CN" w:bidi="ar"/>
              </w:rPr>
              <w:t>3、生产负荷</w:t>
            </w:r>
          </w:p>
        </w:tc>
        <w:tc>
          <w:tcPr>
            <w:tcW w:w="1656" w:type="dxa"/>
            <w:tcBorders>
              <w:tl2br w:val="nil"/>
              <w:tr2bl w:val="nil"/>
            </w:tcBorders>
            <w:noWrap w:val="0"/>
            <w:tcMar>
              <w:top w:w="15" w:type="dxa"/>
              <w:left w:w="15" w:type="dxa"/>
              <w:right w:w="15" w:type="dxa"/>
            </w:tcMar>
            <w:vAlign w:val="center"/>
          </w:tcPr>
          <w:p w14:paraId="7F3ACE96">
            <w:pPr>
              <w:jc w:val="both"/>
              <w:rPr>
                <w:rFonts w:hint="eastAsia" w:ascii="仿宋" w:hAnsi="仿宋" w:eastAsia="仿宋" w:cs="宋体"/>
                <w:b w:val="0"/>
                <w:bCs w:val="0"/>
                <w:sz w:val="22"/>
                <w:szCs w:val="22"/>
              </w:rPr>
            </w:pPr>
            <w:r>
              <w:rPr>
                <w:rFonts w:hint="eastAsia" w:ascii="仿宋" w:hAnsi="仿宋" w:eastAsia="仿宋" w:cs="宋体"/>
                <w:b w:val="0"/>
                <w:bCs w:val="0"/>
                <w:sz w:val="22"/>
                <w:szCs w:val="22"/>
              </w:rPr>
              <w:t>①</w:t>
            </w:r>
            <w:r>
              <w:rPr>
                <w:rFonts w:ascii="仿宋" w:hAnsi="仿宋" w:eastAsia="仿宋" w:cs="宋体"/>
                <w:b w:val="0"/>
                <w:bCs w:val="0"/>
                <w:sz w:val="22"/>
                <w:szCs w:val="22"/>
              </w:rPr>
              <w:t>发电</w:t>
            </w:r>
            <w:r>
              <w:rPr>
                <w:rFonts w:hint="eastAsia" w:ascii="仿宋" w:hAnsi="仿宋" w:eastAsia="仿宋" w:cs="宋体"/>
                <w:b w:val="0"/>
                <w:bCs w:val="0"/>
                <w:sz w:val="22"/>
                <w:szCs w:val="22"/>
                <w:lang w:val="en-US" w:eastAsia="zh-CN"/>
              </w:rPr>
              <w:t>天</w:t>
            </w:r>
            <w:r>
              <w:rPr>
                <w:rFonts w:ascii="仿宋" w:hAnsi="仿宋" w:eastAsia="仿宋" w:cs="宋体"/>
                <w:b w:val="0"/>
                <w:bCs w:val="0"/>
                <w:sz w:val="22"/>
                <w:szCs w:val="22"/>
              </w:rPr>
              <w:t>数</w:t>
            </w:r>
            <w:r>
              <w:rPr>
                <w:rFonts w:hint="eastAsia" w:ascii="仿宋" w:hAnsi="仿宋" w:eastAsia="仿宋" w:cs="宋体"/>
                <w:b w:val="0"/>
                <w:bCs w:val="0"/>
                <w:sz w:val="22"/>
                <w:szCs w:val="22"/>
                <w:lang w:val="en-US" w:eastAsia="zh-CN"/>
              </w:rPr>
              <w:t>按360天</w:t>
            </w:r>
            <w:r>
              <w:rPr>
                <w:rFonts w:hint="eastAsia" w:ascii="仿宋" w:hAnsi="仿宋" w:eastAsia="仿宋" w:cs="宋体"/>
                <w:b w:val="0"/>
                <w:bCs w:val="0"/>
                <w:sz w:val="22"/>
                <w:szCs w:val="22"/>
                <w:lang w:eastAsia="zh-CN"/>
              </w:rPr>
              <w:t>测算</w:t>
            </w:r>
            <w:r>
              <w:rPr>
                <w:rFonts w:hint="eastAsia" w:ascii="仿宋" w:hAnsi="仿宋" w:eastAsia="仿宋" w:cs="宋体"/>
                <w:b w:val="0"/>
                <w:bCs w:val="0"/>
                <w:sz w:val="22"/>
                <w:szCs w:val="22"/>
              </w:rPr>
              <w:t>；</w:t>
            </w:r>
          </w:p>
          <w:p w14:paraId="1DF9EEF8">
            <w:pPr>
              <w:jc w:val="center"/>
              <w:rPr>
                <w:rFonts w:hint="eastAsia" w:ascii="仿宋" w:hAnsi="仿宋" w:eastAsia="仿宋" w:cs="宋体"/>
                <w:sz w:val="22"/>
                <w:szCs w:val="22"/>
              </w:rPr>
            </w:pPr>
            <w:r>
              <w:rPr>
                <w:rFonts w:hint="eastAsia" w:ascii="仿宋" w:hAnsi="仿宋" w:eastAsia="仿宋" w:cs="宋体"/>
                <w:sz w:val="22"/>
                <w:szCs w:val="22"/>
              </w:rPr>
              <w:t>②640Wp单晶N型</w:t>
            </w:r>
            <w:r>
              <w:rPr>
                <w:rFonts w:ascii="仿宋" w:hAnsi="仿宋" w:eastAsia="仿宋" w:cs="宋体"/>
                <w:sz w:val="22"/>
                <w:szCs w:val="22"/>
              </w:rPr>
              <w:t>组件考虑首年</w:t>
            </w:r>
            <w:r>
              <w:rPr>
                <w:rFonts w:hint="eastAsia" w:ascii="仿宋" w:hAnsi="仿宋" w:eastAsia="仿宋" w:cs="宋体"/>
                <w:sz w:val="22"/>
                <w:szCs w:val="22"/>
                <w:lang w:val="en-US" w:eastAsia="zh-CN"/>
              </w:rPr>
              <w:t>1</w:t>
            </w:r>
            <w:r>
              <w:rPr>
                <w:rFonts w:ascii="仿宋" w:hAnsi="仿宋" w:eastAsia="仿宋" w:cs="宋体"/>
                <w:sz w:val="22"/>
                <w:szCs w:val="22"/>
              </w:rPr>
              <w:t>%衰减后续每年0.</w:t>
            </w:r>
            <w:r>
              <w:rPr>
                <w:rFonts w:hint="eastAsia" w:ascii="仿宋" w:hAnsi="仿宋" w:eastAsia="仿宋" w:cs="宋体"/>
                <w:sz w:val="22"/>
                <w:szCs w:val="22"/>
                <w:lang w:val="en-US" w:eastAsia="zh-CN"/>
              </w:rPr>
              <w:t>4</w:t>
            </w:r>
            <w:r>
              <w:rPr>
                <w:rFonts w:ascii="仿宋" w:hAnsi="仿宋" w:eastAsia="仿宋" w:cs="宋体"/>
                <w:sz w:val="22"/>
                <w:szCs w:val="22"/>
              </w:rPr>
              <w:t>%衰减</w:t>
            </w:r>
            <w:r>
              <w:rPr>
                <w:rFonts w:hint="eastAsia" w:ascii="仿宋" w:hAnsi="仿宋" w:eastAsia="仿宋" w:cs="宋体"/>
                <w:sz w:val="22"/>
                <w:szCs w:val="22"/>
              </w:rPr>
              <w:t>；</w:t>
            </w:r>
          </w:p>
          <w:p w14:paraId="3EB67CCB">
            <w:pPr>
              <w:jc w:val="center"/>
              <w:rPr>
                <w:rFonts w:hint="default" w:ascii="仿宋" w:hAnsi="仿宋" w:eastAsia="仿宋" w:cs="宋体"/>
                <w:color w:val="000000"/>
                <w:szCs w:val="21"/>
                <w:lang w:val="en-US" w:eastAsia="zh-CN"/>
              </w:rPr>
            </w:pPr>
            <w:r>
              <w:rPr>
                <w:rFonts w:hint="eastAsia" w:ascii="仿宋" w:hAnsi="仿宋" w:eastAsia="仿宋" w:cs="宋体"/>
                <w:sz w:val="22"/>
                <w:szCs w:val="22"/>
                <w:lang w:val="en-US" w:eastAsia="zh-CN"/>
              </w:rPr>
              <w:t>③储能波谷时段由国网充电，波峰时段放电；</w:t>
            </w:r>
          </w:p>
        </w:tc>
        <w:tc>
          <w:tcPr>
            <w:tcW w:w="1379" w:type="dxa"/>
            <w:tcBorders>
              <w:tl2br w:val="nil"/>
              <w:tr2bl w:val="nil"/>
            </w:tcBorders>
            <w:noWrap/>
            <w:tcMar>
              <w:top w:w="15" w:type="dxa"/>
              <w:left w:w="15" w:type="dxa"/>
              <w:right w:w="15" w:type="dxa"/>
            </w:tcMar>
            <w:vAlign w:val="center"/>
          </w:tcPr>
          <w:p w14:paraId="53E186D1">
            <w:pPr>
              <w:jc w:val="both"/>
              <w:rPr>
                <w:rFonts w:hint="eastAsia" w:ascii="仿宋" w:hAnsi="仿宋" w:eastAsia="仿宋" w:cs="宋体"/>
                <w:b w:val="0"/>
                <w:bCs w:val="0"/>
                <w:sz w:val="22"/>
                <w:szCs w:val="22"/>
              </w:rPr>
            </w:pPr>
            <w:r>
              <w:rPr>
                <w:rFonts w:hint="eastAsia" w:ascii="仿宋" w:hAnsi="仿宋" w:eastAsia="仿宋" w:cs="宋体"/>
                <w:b w:val="0"/>
                <w:bCs w:val="0"/>
                <w:sz w:val="22"/>
                <w:szCs w:val="22"/>
              </w:rPr>
              <w:t>①</w:t>
            </w:r>
            <w:r>
              <w:rPr>
                <w:rFonts w:ascii="仿宋" w:hAnsi="仿宋" w:eastAsia="仿宋" w:cs="宋体"/>
                <w:b w:val="0"/>
                <w:bCs w:val="0"/>
                <w:sz w:val="22"/>
                <w:szCs w:val="22"/>
              </w:rPr>
              <w:t>发电</w:t>
            </w:r>
            <w:r>
              <w:rPr>
                <w:rFonts w:hint="eastAsia" w:ascii="仿宋" w:hAnsi="仿宋" w:eastAsia="仿宋" w:cs="宋体"/>
                <w:b w:val="0"/>
                <w:bCs w:val="0"/>
                <w:sz w:val="22"/>
                <w:szCs w:val="22"/>
                <w:lang w:val="en-US" w:eastAsia="zh-CN"/>
              </w:rPr>
              <w:t>天</w:t>
            </w:r>
            <w:r>
              <w:rPr>
                <w:rFonts w:ascii="仿宋" w:hAnsi="仿宋" w:eastAsia="仿宋" w:cs="宋体"/>
                <w:b w:val="0"/>
                <w:bCs w:val="0"/>
                <w:sz w:val="22"/>
                <w:szCs w:val="22"/>
              </w:rPr>
              <w:t>数</w:t>
            </w:r>
            <w:r>
              <w:rPr>
                <w:rFonts w:hint="eastAsia" w:ascii="仿宋" w:hAnsi="仿宋" w:eastAsia="仿宋" w:cs="宋体"/>
                <w:b w:val="0"/>
                <w:bCs w:val="0"/>
                <w:sz w:val="22"/>
                <w:szCs w:val="22"/>
                <w:lang w:val="en-US" w:eastAsia="zh-CN"/>
              </w:rPr>
              <w:t>按360天</w:t>
            </w:r>
            <w:r>
              <w:rPr>
                <w:rFonts w:hint="eastAsia" w:ascii="仿宋" w:hAnsi="仿宋" w:eastAsia="仿宋" w:cs="宋体"/>
                <w:b w:val="0"/>
                <w:bCs w:val="0"/>
                <w:sz w:val="22"/>
                <w:szCs w:val="22"/>
                <w:lang w:eastAsia="zh-CN"/>
              </w:rPr>
              <w:t>测算</w:t>
            </w:r>
            <w:r>
              <w:rPr>
                <w:rFonts w:hint="eastAsia" w:ascii="仿宋" w:hAnsi="仿宋" w:eastAsia="仿宋" w:cs="宋体"/>
                <w:b w:val="0"/>
                <w:bCs w:val="0"/>
                <w:sz w:val="22"/>
                <w:szCs w:val="22"/>
              </w:rPr>
              <w:t>；</w:t>
            </w:r>
          </w:p>
          <w:p w14:paraId="25EDACD0">
            <w:pPr>
              <w:jc w:val="center"/>
              <w:rPr>
                <w:rFonts w:hint="eastAsia" w:ascii="仿宋" w:hAnsi="仿宋" w:eastAsia="仿宋" w:cs="宋体"/>
                <w:sz w:val="22"/>
                <w:szCs w:val="22"/>
              </w:rPr>
            </w:pPr>
            <w:r>
              <w:rPr>
                <w:rFonts w:hint="eastAsia" w:ascii="仿宋" w:hAnsi="仿宋" w:eastAsia="仿宋" w:cs="宋体"/>
                <w:sz w:val="22"/>
                <w:szCs w:val="22"/>
              </w:rPr>
              <w:t>②640Wp单晶N型</w:t>
            </w:r>
            <w:r>
              <w:rPr>
                <w:rFonts w:ascii="仿宋" w:hAnsi="仿宋" w:eastAsia="仿宋" w:cs="宋体"/>
                <w:sz w:val="22"/>
                <w:szCs w:val="22"/>
              </w:rPr>
              <w:t>组件考虑首年</w:t>
            </w:r>
            <w:r>
              <w:rPr>
                <w:rFonts w:hint="eastAsia" w:ascii="仿宋" w:hAnsi="仿宋" w:eastAsia="仿宋" w:cs="宋体"/>
                <w:sz w:val="22"/>
                <w:szCs w:val="22"/>
                <w:lang w:val="en-US" w:eastAsia="zh-CN"/>
              </w:rPr>
              <w:t>1</w:t>
            </w:r>
            <w:r>
              <w:rPr>
                <w:rFonts w:ascii="仿宋" w:hAnsi="仿宋" w:eastAsia="仿宋" w:cs="宋体"/>
                <w:sz w:val="22"/>
                <w:szCs w:val="22"/>
              </w:rPr>
              <w:t>%衰减后续每年0.</w:t>
            </w:r>
            <w:r>
              <w:rPr>
                <w:rFonts w:hint="eastAsia" w:ascii="仿宋" w:hAnsi="仿宋" w:eastAsia="仿宋" w:cs="宋体"/>
                <w:sz w:val="22"/>
                <w:szCs w:val="22"/>
                <w:lang w:val="en-US" w:eastAsia="zh-CN"/>
              </w:rPr>
              <w:t>4</w:t>
            </w:r>
            <w:r>
              <w:rPr>
                <w:rFonts w:ascii="仿宋" w:hAnsi="仿宋" w:eastAsia="仿宋" w:cs="宋体"/>
                <w:sz w:val="22"/>
                <w:szCs w:val="22"/>
              </w:rPr>
              <w:t>%衰减</w:t>
            </w:r>
            <w:r>
              <w:rPr>
                <w:rFonts w:hint="eastAsia" w:ascii="仿宋" w:hAnsi="仿宋" w:eastAsia="仿宋" w:cs="宋体"/>
                <w:sz w:val="22"/>
                <w:szCs w:val="22"/>
              </w:rPr>
              <w:t>；</w:t>
            </w:r>
          </w:p>
          <w:p w14:paraId="3B6182C4">
            <w:pPr>
              <w:jc w:val="center"/>
              <w:rPr>
                <w:rFonts w:hint="default" w:ascii="仿宋" w:hAnsi="仿宋" w:eastAsia="仿宋" w:cs="宋体"/>
                <w:color w:val="000000"/>
                <w:szCs w:val="21"/>
                <w:lang w:val="en-US" w:eastAsia="zh-CN"/>
              </w:rPr>
            </w:pPr>
            <w:r>
              <w:rPr>
                <w:rFonts w:hint="eastAsia" w:ascii="仿宋" w:hAnsi="仿宋" w:eastAsia="仿宋" w:cs="宋体"/>
                <w:sz w:val="22"/>
                <w:szCs w:val="22"/>
                <w:lang w:val="en-US" w:eastAsia="zh-CN"/>
              </w:rPr>
              <w:t>③储能波谷时段由国网充电，波峰时段放电；</w:t>
            </w:r>
          </w:p>
        </w:tc>
        <w:tc>
          <w:tcPr>
            <w:tcW w:w="3408" w:type="dxa"/>
            <w:tcBorders>
              <w:tl2br w:val="nil"/>
              <w:tr2bl w:val="nil"/>
            </w:tcBorders>
            <w:noWrap/>
            <w:tcMar>
              <w:top w:w="15" w:type="dxa"/>
              <w:left w:w="15" w:type="dxa"/>
              <w:right w:w="15" w:type="dxa"/>
            </w:tcMar>
            <w:vAlign w:val="center"/>
          </w:tcPr>
          <w:p w14:paraId="3C485E1D">
            <w:pPr>
              <w:jc w:val="center"/>
              <w:rPr>
                <w:rFonts w:hint="default" w:ascii="仿宋" w:hAnsi="仿宋" w:eastAsia="仿宋" w:cs="宋体"/>
                <w:color w:val="000000"/>
                <w:szCs w:val="21"/>
                <w:lang w:val="en-US" w:eastAsia="zh-CN"/>
              </w:rPr>
            </w:pPr>
            <w:r>
              <w:rPr>
                <w:rFonts w:hint="eastAsia" w:ascii="仿宋" w:hAnsi="仿宋" w:eastAsia="仿宋" w:cs="仿宋"/>
                <w:lang w:val="en-US" w:eastAsia="zh-CN"/>
              </w:rPr>
              <w:t>①</w:t>
            </w:r>
            <w:r>
              <w:rPr>
                <w:rFonts w:hint="eastAsia" w:ascii="仿宋" w:hAnsi="仿宋" w:eastAsia="仿宋" w:cs="仿宋"/>
              </w:rPr>
              <w:t>根据Global Solar Atlas太阳能资源分析软件进行计算</w:t>
            </w:r>
            <w:r>
              <w:rPr>
                <w:rFonts w:hint="eastAsia" w:ascii="仿宋" w:hAnsi="仿宋" w:eastAsia="仿宋" w:cs="仿宋"/>
                <w:lang w:eastAsia="zh-CN"/>
              </w:rPr>
              <w:t>，</w:t>
            </w:r>
            <w:r>
              <w:rPr>
                <w:rFonts w:hint="eastAsia" w:ascii="仿宋" w:hAnsi="仿宋" w:eastAsia="仿宋" w:cs="仿宋"/>
              </w:rPr>
              <w:t>光伏发电时段在8:00-18:00</w:t>
            </w:r>
            <w:r>
              <w:rPr>
                <w:rFonts w:hint="eastAsia" w:ascii="仿宋" w:hAnsi="仿宋" w:eastAsia="仿宋" w:cs="仿宋"/>
                <w:lang w:eastAsia="zh-CN"/>
              </w:rPr>
              <w:t>。1KW光伏装机容量每日发电量为3.3</w:t>
            </w:r>
            <w:r>
              <w:rPr>
                <w:rFonts w:hint="eastAsia" w:ascii="仿宋" w:hAnsi="仿宋" w:eastAsia="仿宋" w:cs="仿宋"/>
                <w:lang w:val="en-US" w:eastAsia="zh-CN"/>
              </w:rPr>
              <w:t>49</w:t>
            </w:r>
            <w:r>
              <w:rPr>
                <w:rFonts w:hint="eastAsia" w:ascii="仿宋" w:hAnsi="仿宋" w:eastAsia="仿宋" w:cs="仿宋"/>
                <w:lang w:eastAsia="zh-CN"/>
              </w:rPr>
              <w:t>kWh/kWp/天。本项目预计年发电量3.3</w:t>
            </w:r>
            <w:r>
              <w:rPr>
                <w:rFonts w:hint="eastAsia" w:ascii="仿宋" w:hAnsi="仿宋" w:eastAsia="仿宋" w:cs="仿宋"/>
                <w:lang w:val="en-US" w:eastAsia="zh-CN"/>
              </w:rPr>
              <w:t>49</w:t>
            </w:r>
            <w:r>
              <w:rPr>
                <w:rFonts w:hint="eastAsia" w:ascii="仿宋" w:hAnsi="仿宋" w:eastAsia="仿宋" w:cs="仿宋"/>
                <w:lang w:eastAsia="zh-CN"/>
              </w:rPr>
              <w:t>kWh/kWp/天*5</w:t>
            </w:r>
            <w:r>
              <w:rPr>
                <w:rFonts w:hint="eastAsia" w:ascii="仿宋" w:hAnsi="仿宋" w:eastAsia="仿宋" w:cs="仿宋"/>
                <w:lang w:val="en-US" w:eastAsia="zh-CN"/>
              </w:rPr>
              <w:t>956</w:t>
            </w:r>
            <w:r>
              <w:rPr>
                <w:rFonts w:hint="eastAsia" w:ascii="仿宋" w:hAnsi="仿宋" w:eastAsia="仿宋" w:cs="仿宋"/>
                <w:lang w:eastAsia="zh-CN"/>
              </w:rPr>
              <w:t>kwp*360 天=</w:t>
            </w:r>
            <w:r>
              <w:rPr>
                <w:rFonts w:hint="eastAsia" w:ascii="仿宋" w:hAnsi="仿宋" w:eastAsia="仿宋" w:cs="仿宋"/>
                <w:lang w:val="en-US" w:eastAsia="zh-CN"/>
              </w:rPr>
              <w:t>718.07</w:t>
            </w:r>
            <w:r>
              <w:rPr>
                <w:rFonts w:hint="eastAsia" w:ascii="仿宋" w:hAnsi="仿宋" w:eastAsia="仿宋" w:cs="仿宋"/>
                <w:lang w:eastAsia="zh-CN"/>
              </w:rPr>
              <w:t>万kwh。</w:t>
            </w:r>
            <w:r>
              <w:rPr>
                <w:rFonts w:hint="eastAsia" w:ascii="仿宋" w:hAnsi="仿宋" w:eastAsia="仿宋" w:cs="仿宋"/>
                <w:lang w:val="en-US" w:eastAsia="zh-CN"/>
              </w:rPr>
              <w:t>②10</w:t>
            </w:r>
            <w:r>
              <w:rPr>
                <w:rFonts w:hint="eastAsia" w:ascii="仿宋" w:hAnsi="仿宋" w:eastAsia="仿宋" w:cs="仿宋"/>
              </w:rPr>
              <w:t>MW/</w:t>
            </w:r>
            <w:r>
              <w:rPr>
                <w:rFonts w:hint="eastAsia" w:ascii="仿宋" w:hAnsi="仿宋" w:eastAsia="仿宋" w:cs="仿宋"/>
                <w:lang w:val="en-US" w:eastAsia="zh-CN"/>
              </w:rPr>
              <w:t>20</w:t>
            </w:r>
            <w:r>
              <w:rPr>
                <w:rFonts w:hint="eastAsia" w:ascii="仿宋" w:hAnsi="仿宋" w:eastAsia="仿宋" w:cs="仿宋"/>
              </w:rPr>
              <w:t>MWh</w:t>
            </w:r>
            <w:r>
              <w:rPr>
                <w:rFonts w:hint="eastAsia" w:ascii="仿宋" w:hAnsi="仿宋" w:eastAsia="仿宋" w:cs="仿宋"/>
                <w:lang w:val="en-US" w:eastAsia="zh-CN"/>
              </w:rPr>
              <w:t>的储能电站每天放电约为18400kwh*360天=662.40万kwh</w:t>
            </w:r>
            <w:r>
              <w:rPr>
                <w:rFonts w:hint="eastAsia" w:ascii="仿宋" w:hAnsi="仿宋" w:eastAsia="仿宋" w:cs="仿宋"/>
                <w:color w:val="000000"/>
                <w:szCs w:val="21"/>
                <w:highlight w:val="none"/>
                <w:lang w:val="en-US" w:eastAsia="zh-CN"/>
              </w:rPr>
              <w:t>。</w:t>
            </w:r>
          </w:p>
        </w:tc>
      </w:tr>
      <w:tr w14:paraId="569F37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continue"/>
            <w:tcBorders>
              <w:tl2br w:val="nil"/>
              <w:tr2bl w:val="nil"/>
            </w:tcBorders>
            <w:noWrap w:val="0"/>
            <w:tcMar>
              <w:top w:w="15" w:type="dxa"/>
              <w:left w:w="15" w:type="dxa"/>
              <w:right w:w="15" w:type="dxa"/>
            </w:tcMar>
            <w:vAlign w:val="center"/>
          </w:tcPr>
          <w:p w14:paraId="1D8FDAB5">
            <w:pPr>
              <w:jc w:val="left"/>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0C4C5376">
            <w:pPr>
              <w:widowControl/>
              <w:jc w:val="left"/>
              <w:textAlignment w:val="center"/>
              <w:rPr>
                <w:rFonts w:hint="default" w:ascii="仿宋" w:hAnsi="仿宋" w:eastAsia="仿宋" w:cs="宋体"/>
                <w:color w:val="auto"/>
                <w:kern w:val="0"/>
                <w:szCs w:val="21"/>
                <w:highlight w:val="none"/>
                <w:lang w:val="en-US" w:eastAsia="zh-CN" w:bidi="ar"/>
              </w:rPr>
            </w:pPr>
            <w:r>
              <w:rPr>
                <w:rFonts w:hint="eastAsia" w:ascii="仿宋" w:hAnsi="仿宋" w:eastAsia="仿宋" w:cs="宋体"/>
                <w:color w:val="auto"/>
                <w:kern w:val="0"/>
                <w:szCs w:val="21"/>
                <w:highlight w:val="none"/>
                <w:lang w:val="en-US" w:eastAsia="zh-CN" w:bidi="ar"/>
              </w:rPr>
              <w:t>4、销售单价</w:t>
            </w:r>
          </w:p>
        </w:tc>
        <w:tc>
          <w:tcPr>
            <w:tcW w:w="1656" w:type="dxa"/>
            <w:tcBorders>
              <w:tl2br w:val="nil"/>
              <w:tr2bl w:val="nil"/>
            </w:tcBorders>
            <w:noWrap w:val="0"/>
            <w:tcMar>
              <w:top w:w="15" w:type="dxa"/>
              <w:left w:w="15" w:type="dxa"/>
              <w:right w:w="15" w:type="dxa"/>
            </w:tcMar>
            <w:vAlign w:val="center"/>
          </w:tcPr>
          <w:p w14:paraId="7FDF50FC">
            <w:pPr>
              <w:rPr>
                <w:rFonts w:ascii="仿宋" w:hAnsi="仿宋" w:eastAsia="仿宋" w:cs="宋体"/>
                <w:sz w:val="22"/>
                <w:szCs w:val="22"/>
              </w:rPr>
            </w:pPr>
            <w:r>
              <w:rPr>
                <w:rFonts w:hint="eastAsia" w:ascii="仿宋" w:hAnsi="仿宋" w:eastAsia="仿宋" w:cs="宋体"/>
                <w:sz w:val="22"/>
                <w:szCs w:val="22"/>
              </w:rPr>
              <w:t>①</w:t>
            </w:r>
            <w:r>
              <w:rPr>
                <w:rFonts w:hint="eastAsia" w:ascii="仿宋" w:hAnsi="仿宋" w:eastAsia="仿宋" w:cs="宋体"/>
                <w:sz w:val="22"/>
                <w:szCs w:val="22"/>
                <w:lang w:val="en-US" w:eastAsia="zh-CN"/>
              </w:rPr>
              <w:t>光伏售电价格</w:t>
            </w:r>
            <w:r>
              <w:rPr>
                <w:rFonts w:hint="eastAsia" w:ascii="仿宋" w:hAnsi="仿宋" w:eastAsia="仿宋" w:cs="宋体"/>
                <w:sz w:val="22"/>
                <w:szCs w:val="22"/>
              </w:rPr>
              <w:t>按照</w:t>
            </w:r>
            <w:r>
              <w:rPr>
                <w:rFonts w:hint="eastAsia" w:ascii="仿宋" w:hAnsi="仿宋" w:eastAsia="仿宋" w:cs="宋体"/>
                <w:sz w:val="22"/>
                <w:szCs w:val="22"/>
                <w:highlight w:val="none"/>
                <w:lang w:val="en-US" w:eastAsia="zh-CN"/>
              </w:rPr>
              <w:t>0.57</w:t>
            </w:r>
            <w:r>
              <w:rPr>
                <w:rFonts w:hint="eastAsia" w:ascii="仿宋" w:hAnsi="仿宋" w:eastAsia="仿宋" w:cs="宋体"/>
                <w:sz w:val="22"/>
                <w:szCs w:val="22"/>
              </w:rPr>
              <w:t>元/kwh。</w:t>
            </w:r>
          </w:p>
          <w:p w14:paraId="7AEEB6CF">
            <w:pPr>
              <w:jc w:val="both"/>
              <w:rPr>
                <w:rFonts w:hint="default" w:ascii="仿宋" w:hAnsi="仿宋" w:eastAsia="仿宋" w:cs="宋体"/>
                <w:color w:val="auto"/>
                <w:szCs w:val="21"/>
                <w:lang w:val="en-US" w:eastAsia="zh-CN"/>
              </w:rPr>
            </w:pPr>
            <w:r>
              <w:rPr>
                <w:rFonts w:hint="eastAsia" w:ascii="仿宋" w:hAnsi="仿宋" w:eastAsia="仿宋" w:cs="宋体"/>
                <w:sz w:val="22"/>
                <w:szCs w:val="22"/>
              </w:rPr>
              <w:t>②</w:t>
            </w:r>
            <w:r>
              <w:rPr>
                <w:rFonts w:hint="eastAsia" w:ascii="仿宋" w:hAnsi="仿宋" w:eastAsia="仿宋" w:cs="宋体"/>
                <w:sz w:val="22"/>
                <w:szCs w:val="22"/>
                <w:lang w:val="en-US" w:eastAsia="zh-CN"/>
              </w:rPr>
              <w:t>储能峰谷差价按0.61</w:t>
            </w:r>
            <w:r>
              <w:rPr>
                <w:rFonts w:hint="eastAsia" w:ascii="仿宋" w:hAnsi="仿宋" w:eastAsia="仿宋" w:cs="宋体"/>
                <w:sz w:val="22"/>
                <w:szCs w:val="22"/>
              </w:rPr>
              <w:t>元/kwh；</w:t>
            </w:r>
            <w:r>
              <w:rPr>
                <w:rFonts w:ascii="仿宋" w:hAnsi="仿宋" w:eastAsia="仿宋" w:cs="仿宋"/>
                <w:i w:val="0"/>
                <w:strike w:val="0"/>
                <w:color w:val="1C1C1C"/>
                <w:spacing w:val="0"/>
                <w:sz w:val="21"/>
                <w:u w:val="none"/>
                <w:shd w:val="clear" w:color="auto" w:fill="FFFFFF"/>
              </w:rPr>
              <w:t>③600kw液冷充电桩</w:t>
            </w:r>
            <w:r>
              <w:rPr>
                <w:rFonts w:hint="eastAsia" w:ascii="仿宋" w:hAnsi="仿宋" w:eastAsia="仿宋" w:cs="仿宋"/>
                <w:i w:val="0"/>
                <w:strike w:val="0"/>
                <w:color w:val="1C1C1C"/>
                <w:spacing w:val="0"/>
                <w:sz w:val="21"/>
                <w:u w:val="none"/>
                <w:shd w:val="clear" w:color="auto" w:fill="FFFFFF"/>
                <w:lang w:val="en-US" w:eastAsia="zh-CN"/>
              </w:rPr>
              <w:t>服务费</w:t>
            </w:r>
            <w:r>
              <w:rPr>
                <w:rFonts w:ascii="仿宋" w:hAnsi="仿宋" w:eastAsia="仿宋" w:cs="仿宋"/>
                <w:i w:val="0"/>
                <w:strike w:val="0"/>
                <w:color w:val="1C1C1C"/>
                <w:spacing w:val="0"/>
                <w:sz w:val="21"/>
                <w:u w:val="none"/>
                <w:shd w:val="clear" w:color="auto" w:fill="FFFFFF"/>
              </w:rPr>
              <w:t>用按照0.</w:t>
            </w:r>
            <w:r>
              <w:rPr>
                <w:rFonts w:hint="eastAsia" w:ascii="仿宋" w:hAnsi="仿宋" w:eastAsia="仿宋" w:cs="仿宋"/>
                <w:i w:val="0"/>
                <w:strike w:val="0"/>
                <w:color w:val="1C1C1C"/>
                <w:spacing w:val="0"/>
                <w:sz w:val="21"/>
                <w:u w:val="none"/>
                <w:shd w:val="clear" w:color="auto" w:fill="FFFFFF"/>
                <w:lang w:val="en-US" w:eastAsia="zh-CN"/>
              </w:rPr>
              <w:t>5</w:t>
            </w:r>
            <w:r>
              <w:rPr>
                <w:rFonts w:ascii="仿宋" w:hAnsi="仿宋" w:eastAsia="仿宋" w:cs="仿宋"/>
                <w:i w:val="0"/>
                <w:strike w:val="0"/>
                <w:color w:val="1C1C1C"/>
                <w:spacing w:val="0"/>
                <w:sz w:val="21"/>
                <w:u w:val="none"/>
                <w:shd w:val="clear" w:color="auto" w:fill="FFFFFF"/>
              </w:rPr>
              <w:t>5元/度</w:t>
            </w:r>
          </w:p>
        </w:tc>
        <w:tc>
          <w:tcPr>
            <w:tcW w:w="1379" w:type="dxa"/>
            <w:tcBorders>
              <w:tl2br w:val="nil"/>
              <w:tr2bl w:val="nil"/>
            </w:tcBorders>
            <w:noWrap/>
            <w:tcMar>
              <w:top w:w="15" w:type="dxa"/>
              <w:left w:w="15" w:type="dxa"/>
              <w:right w:w="15" w:type="dxa"/>
            </w:tcMar>
            <w:vAlign w:val="center"/>
          </w:tcPr>
          <w:p w14:paraId="58B1EC99">
            <w:pPr>
              <w:rPr>
                <w:rFonts w:ascii="仿宋" w:hAnsi="仿宋" w:eastAsia="仿宋" w:cs="宋体"/>
                <w:sz w:val="22"/>
                <w:szCs w:val="22"/>
              </w:rPr>
            </w:pPr>
            <w:r>
              <w:rPr>
                <w:rFonts w:hint="eastAsia" w:ascii="仿宋" w:hAnsi="仿宋" w:eastAsia="仿宋" w:cs="宋体"/>
                <w:sz w:val="22"/>
                <w:szCs w:val="22"/>
              </w:rPr>
              <w:t>①</w:t>
            </w:r>
            <w:r>
              <w:rPr>
                <w:rFonts w:hint="eastAsia" w:ascii="仿宋" w:hAnsi="仿宋" w:eastAsia="仿宋" w:cs="宋体"/>
                <w:sz w:val="22"/>
                <w:szCs w:val="22"/>
                <w:lang w:val="en-US" w:eastAsia="zh-CN"/>
              </w:rPr>
              <w:t>光伏售电价格</w:t>
            </w:r>
            <w:r>
              <w:rPr>
                <w:rFonts w:hint="eastAsia" w:ascii="仿宋" w:hAnsi="仿宋" w:eastAsia="仿宋" w:cs="宋体"/>
                <w:sz w:val="22"/>
                <w:szCs w:val="22"/>
              </w:rPr>
              <w:t>按照</w:t>
            </w:r>
            <w:r>
              <w:rPr>
                <w:rFonts w:hint="eastAsia" w:ascii="仿宋" w:hAnsi="仿宋" w:eastAsia="仿宋" w:cs="宋体"/>
                <w:sz w:val="22"/>
                <w:szCs w:val="22"/>
                <w:highlight w:val="none"/>
                <w:lang w:val="en-US" w:eastAsia="zh-CN"/>
              </w:rPr>
              <w:t>0.57</w:t>
            </w:r>
            <w:r>
              <w:rPr>
                <w:rFonts w:hint="eastAsia" w:ascii="仿宋" w:hAnsi="仿宋" w:eastAsia="仿宋" w:cs="宋体"/>
                <w:sz w:val="22"/>
                <w:szCs w:val="22"/>
              </w:rPr>
              <w:t>元/kwh。</w:t>
            </w:r>
          </w:p>
          <w:p w14:paraId="16FF0A6F">
            <w:pPr>
              <w:jc w:val="center"/>
              <w:rPr>
                <w:rFonts w:hint="default" w:ascii="仿宋" w:hAnsi="仿宋" w:eastAsia="仿宋" w:cs="宋体"/>
                <w:color w:val="auto"/>
                <w:szCs w:val="21"/>
                <w:lang w:val="en-US" w:eastAsia="zh-CN"/>
              </w:rPr>
            </w:pPr>
            <w:r>
              <w:rPr>
                <w:rFonts w:hint="eastAsia" w:ascii="仿宋" w:hAnsi="仿宋" w:eastAsia="仿宋" w:cs="宋体"/>
                <w:sz w:val="22"/>
                <w:szCs w:val="22"/>
              </w:rPr>
              <w:t>②</w:t>
            </w:r>
            <w:r>
              <w:rPr>
                <w:rFonts w:hint="eastAsia" w:ascii="仿宋" w:hAnsi="仿宋" w:eastAsia="仿宋" w:cs="宋体"/>
                <w:sz w:val="22"/>
                <w:szCs w:val="22"/>
                <w:lang w:val="en-US" w:eastAsia="zh-CN"/>
              </w:rPr>
              <w:t>储能峰谷差价按0.61</w:t>
            </w:r>
            <w:r>
              <w:rPr>
                <w:rFonts w:hint="eastAsia" w:ascii="仿宋" w:hAnsi="仿宋" w:eastAsia="仿宋" w:cs="宋体"/>
                <w:sz w:val="22"/>
                <w:szCs w:val="22"/>
              </w:rPr>
              <w:t>元/kwh；</w:t>
            </w:r>
            <w:r>
              <w:rPr>
                <w:rFonts w:ascii="仿宋" w:hAnsi="仿宋" w:eastAsia="仿宋" w:cs="仿宋"/>
                <w:i w:val="0"/>
                <w:strike w:val="0"/>
                <w:color w:val="1C1C1C"/>
                <w:spacing w:val="0"/>
                <w:sz w:val="21"/>
                <w:u w:val="none"/>
                <w:shd w:val="clear" w:color="auto" w:fill="FFFFFF"/>
              </w:rPr>
              <w:t>③600kw液冷充电桩</w:t>
            </w:r>
            <w:r>
              <w:rPr>
                <w:rFonts w:hint="eastAsia" w:ascii="仿宋" w:hAnsi="仿宋" w:eastAsia="仿宋" w:cs="仿宋"/>
                <w:i w:val="0"/>
                <w:strike w:val="0"/>
                <w:color w:val="1C1C1C"/>
                <w:spacing w:val="0"/>
                <w:sz w:val="21"/>
                <w:u w:val="none"/>
                <w:shd w:val="clear" w:color="auto" w:fill="FFFFFF"/>
                <w:lang w:val="en-US" w:eastAsia="zh-CN"/>
              </w:rPr>
              <w:t>服务</w:t>
            </w:r>
            <w:r>
              <w:rPr>
                <w:rFonts w:ascii="仿宋" w:hAnsi="仿宋" w:eastAsia="仿宋" w:cs="仿宋"/>
                <w:i w:val="0"/>
                <w:strike w:val="0"/>
                <w:color w:val="1C1C1C"/>
                <w:spacing w:val="0"/>
                <w:sz w:val="21"/>
                <w:u w:val="none"/>
                <w:shd w:val="clear" w:color="auto" w:fill="FFFFFF"/>
              </w:rPr>
              <w:t>费用按照0.</w:t>
            </w:r>
            <w:r>
              <w:rPr>
                <w:rFonts w:hint="eastAsia" w:ascii="仿宋" w:hAnsi="仿宋" w:eastAsia="仿宋" w:cs="仿宋"/>
                <w:i w:val="0"/>
                <w:strike w:val="0"/>
                <w:color w:val="1C1C1C"/>
                <w:spacing w:val="0"/>
                <w:sz w:val="21"/>
                <w:u w:val="none"/>
                <w:shd w:val="clear" w:color="auto" w:fill="FFFFFF"/>
                <w:lang w:val="en-US" w:eastAsia="zh-CN"/>
              </w:rPr>
              <w:t>5</w:t>
            </w:r>
            <w:r>
              <w:rPr>
                <w:rFonts w:ascii="仿宋" w:hAnsi="仿宋" w:eastAsia="仿宋" w:cs="仿宋"/>
                <w:i w:val="0"/>
                <w:strike w:val="0"/>
                <w:color w:val="1C1C1C"/>
                <w:spacing w:val="0"/>
                <w:sz w:val="21"/>
                <w:u w:val="none"/>
                <w:shd w:val="clear" w:color="auto" w:fill="FFFFFF"/>
              </w:rPr>
              <w:t>5元/度</w:t>
            </w:r>
          </w:p>
        </w:tc>
        <w:tc>
          <w:tcPr>
            <w:tcW w:w="3408" w:type="dxa"/>
            <w:tcBorders>
              <w:tl2br w:val="nil"/>
              <w:tr2bl w:val="nil"/>
            </w:tcBorders>
            <w:noWrap/>
            <w:tcMar>
              <w:top w:w="15" w:type="dxa"/>
              <w:left w:w="15" w:type="dxa"/>
              <w:right w:w="15" w:type="dxa"/>
            </w:tcMar>
            <w:vAlign w:val="center"/>
          </w:tcPr>
          <w:p w14:paraId="16A9E7D2">
            <w:pPr>
              <w:pStyle w:val="56"/>
              <w:numPr>
                <w:ilvl w:val="0"/>
                <w:numId w:val="0"/>
              </w:numPr>
              <w:jc w:val="left"/>
              <w:rPr>
                <w:rFonts w:hint="default" w:ascii="仿宋" w:hAnsi="仿宋" w:eastAsia="仿宋" w:cs="宋体"/>
                <w:color w:val="auto"/>
                <w:sz w:val="22"/>
                <w:szCs w:val="22"/>
                <w:highlight w:val="none"/>
                <w:lang w:val="en-US"/>
              </w:rPr>
            </w:pPr>
            <w:r>
              <w:rPr>
                <w:rFonts w:hint="eastAsia" w:ascii="仿宋" w:hAnsi="仿宋" w:eastAsia="仿宋" w:cs="宋体"/>
                <w:color w:val="auto"/>
                <w:sz w:val="22"/>
                <w:szCs w:val="22"/>
                <w:highlight w:val="none"/>
              </w:rPr>
              <w:t>①本项目采用“源网荷储模式”，结合企业河南大成包装材料有限公司年用电量</w:t>
            </w:r>
            <w:r>
              <w:rPr>
                <w:rFonts w:hint="eastAsia" w:ascii="仿宋" w:hAnsi="仿宋" w:eastAsia="仿宋" w:cs="宋体"/>
                <w:color w:val="auto"/>
                <w:sz w:val="22"/>
                <w:szCs w:val="22"/>
                <w:highlight w:val="none"/>
                <w:lang w:val="en-US" w:eastAsia="zh-CN"/>
              </w:rPr>
              <w:t>6889.68</w:t>
            </w:r>
            <w:r>
              <w:rPr>
                <w:rFonts w:hint="eastAsia" w:ascii="仿宋" w:hAnsi="仿宋" w:eastAsia="仿宋" w:cs="宋体"/>
                <w:color w:val="auto"/>
                <w:sz w:val="22"/>
                <w:szCs w:val="22"/>
                <w:highlight w:val="none"/>
              </w:rPr>
              <w:t>万kWh，即年平均用电负荷</w:t>
            </w:r>
            <w:r>
              <w:rPr>
                <w:rFonts w:hint="eastAsia" w:ascii="仿宋" w:hAnsi="仿宋" w:eastAsia="仿宋" w:cs="宋体"/>
                <w:color w:val="auto"/>
                <w:sz w:val="22"/>
                <w:szCs w:val="22"/>
                <w:highlight w:val="none"/>
                <w:lang w:val="en-US" w:eastAsia="zh-CN"/>
              </w:rPr>
              <w:t>约</w:t>
            </w:r>
            <w:r>
              <w:rPr>
                <w:rFonts w:hint="eastAsia" w:ascii="仿宋" w:hAnsi="仿宋" w:eastAsia="仿宋" w:cs="宋体"/>
                <w:color w:val="auto"/>
                <w:sz w:val="22"/>
                <w:szCs w:val="22"/>
                <w:highlight w:val="none"/>
              </w:rPr>
              <w:t>为</w:t>
            </w:r>
            <w:r>
              <w:rPr>
                <w:rFonts w:hint="eastAsia" w:ascii="仿宋" w:hAnsi="仿宋" w:eastAsia="仿宋" w:cs="宋体"/>
                <w:color w:val="auto"/>
                <w:sz w:val="22"/>
                <w:szCs w:val="22"/>
                <w:highlight w:val="none"/>
                <w:lang w:val="en-US" w:eastAsia="zh-CN"/>
              </w:rPr>
              <w:t>55</w:t>
            </w:r>
            <w:r>
              <w:rPr>
                <w:rFonts w:hint="eastAsia" w:ascii="仿宋" w:hAnsi="仿宋" w:eastAsia="仿宋" w:cs="宋体"/>
                <w:color w:val="auto"/>
                <w:sz w:val="22"/>
                <w:szCs w:val="22"/>
                <w:highlight w:val="none"/>
              </w:rPr>
              <w:t>MW左右,该企业距本项目光伏电站2公里左右（小于20公），根据测算，光伏电站每年发电量为718.07万kWh（3.349kWh/kWp/天*5956kWp*360天），考虑到该企业是24小时生产，白天平谷时段用电</w:t>
            </w:r>
            <w:r>
              <w:rPr>
                <w:rFonts w:hint="eastAsia" w:ascii="仿宋" w:hAnsi="仿宋" w:eastAsia="仿宋" w:cs="宋体"/>
                <w:color w:val="auto"/>
                <w:sz w:val="22"/>
                <w:szCs w:val="22"/>
                <w:highlight w:val="none"/>
                <w:lang w:val="en-US" w:eastAsia="zh-CN"/>
              </w:rPr>
              <w:t>1976.64</w:t>
            </w:r>
            <w:r>
              <w:rPr>
                <w:rFonts w:hint="eastAsia" w:ascii="仿宋" w:hAnsi="仿宋" w:eastAsia="仿宋" w:cs="宋体"/>
                <w:color w:val="auto"/>
                <w:sz w:val="22"/>
                <w:szCs w:val="22"/>
                <w:highlight w:val="none"/>
              </w:rPr>
              <w:t>万kWh，本项目光伏发电将直接由该企业100%消纳</w:t>
            </w:r>
            <w:r>
              <w:rPr>
                <w:rFonts w:hint="eastAsia" w:ascii="仿宋" w:hAnsi="仿宋" w:eastAsia="仿宋" w:cs="宋体"/>
                <w:color w:val="auto"/>
                <w:sz w:val="22"/>
                <w:szCs w:val="22"/>
                <w:highlight w:val="none"/>
                <w:lang w:val="en-US" w:eastAsia="zh-CN"/>
              </w:rPr>
              <w:t>，缺口较大。</w:t>
            </w:r>
          </w:p>
          <w:p w14:paraId="67A34049">
            <w:pPr>
              <w:rPr>
                <w:rFonts w:hint="eastAsia" w:ascii="仿宋" w:hAnsi="仿宋" w:eastAsia="仿宋" w:cs="宋体"/>
                <w:color w:val="auto"/>
                <w:sz w:val="22"/>
                <w:szCs w:val="22"/>
                <w:highlight w:val="none"/>
                <w:lang w:val="en-US" w:eastAsia="zh-CN"/>
              </w:rPr>
            </w:pPr>
            <w:r>
              <w:rPr>
                <w:rFonts w:hint="eastAsia" w:ascii="仿宋" w:hAnsi="仿宋" w:eastAsia="仿宋" w:cs="宋体"/>
                <w:color w:val="auto"/>
                <w:sz w:val="22"/>
                <w:szCs w:val="22"/>
                <w:highlight w:val="none"/>
              </w:rPr>
              <w:t>②根据国网河南省电力公司代理购电工商业用户电价表，本项目电压等级为1-10千伏区间，根据河南省发展改革委发布了《关于调整工商业分时电价有关事项的通知》规定：高峰段为16--24时，低谷时段为0时-次日7时，其余时段为平段，根据生产规律，</w:t>
            </w:r>
            <w:r>
              <w:rPr>
                <w:rFonts w:hint="eastAsia" w:ascii="仿宋" w:hAnsi="仿宋" w:eastAsia="仿宋" w:cs="宋体"/>
                <w:color w:val="auto"/>
                <w:sz w:val="22"/>
                <w:szCs w:val="22"/>
                <w:highlight w:val="none"/>
                <w:lang w:val="en-US" w:eastAsia="zh-CN"/>
              </w:rPr>
              <w:t>高峰用电占比9.8%，高峰用电量约是675.19</w:t>
            </w:r>
            <w:r>
              <w:rPr>
                <w:rFonts w:hint="eastAsia" w:ascii="仿宋" w:hAnsi="仿宋" w:eastAsia="仿宋" w:cs="宋体"/>
                <w:color w:val="auto"/>
                <w:sz w:val="22"/>
                <w:szCs w:val="22"/>
                <w:highlight w:val="none"/>
              </w:rPr>
              <w:t>万kWh</w:t>
            </w:r>
            <w:r>
              <w:rPr>
                <w:rFonts w:hint="eastAsia" w:ascii="仿宋" w:hAnsi="仿宋" w:eastAsia="仿宋" w:cs="宋体"/>
                <w:color w:val="auto"/>
                <w:sz w:val="22"/>
                <w:szCs w:val="22"/>
                <w:highlight w:val="none"/>
                <w:lang w:val="en-US" w:eastAsia="zh-CN"/>
              </w:rPr>
              <w:t>，平时段用电占比28.69%，平段用电量1976.64</w:t>
            </w:r>
            <w:r>
              <w:rPr>
                <w:rFonts w:hint="eastAsia" w:ascii="仿宋" w:hAnsi="仿宋" w:eastAsia="仿宋" w:cs="宋体"/>
                <w:color w:val="auto"/>
                <w:sz w:val="22"/>
                <w:szCs w:val="22"/>
                <w:highlight w:val="none"/>
              </w:rPr>
              <w:t>kWh</w:t>
            </w:r>
            <w:r>
              <w:rPr>
                <w:rFonts w:hint="eastAsia" w:ascii="仿宋" w:hAnsi="仿宋" w:eastAsia="仿宋" w:cs="宋体"/>
                <w:color w:val="auto"/>
                <w:sz w:val="22"/>
                <w:szCs w:val="22"/>
                <w:highlight w:val="none"/>
                <w:lang w:val="en-US" w:eastAsia="zh-CN"/>
              </w:rPr>
              <w:t>，其余为低谷时段</w:t>
            </w:r>
            <w:r>
              <w:rPr>
                <w:rFonts w:hint="eastAsia" w:ascii="仿宋" w:hAnsi="仿宋" w:eastAsia="仿宋" w:cs="宋体"/>
                <w:color w:val="auto"/>
                <w:sz w:val="22"/>
                <w:szCs w:val="22"/>
                <w:highlight w:val="none"/>
              </w:rPr>
              <w:t>，光伏发电主要集中在早上8-17点，工商业用电平均电价为0.6</w:t>
            </w:r>
            <w:r>
              <w:rPr>
                <w:rFonts w:hint="eastAsia" w:ascii="仿宋" w:hAnsi="仿宋" w:eastAsia="仿宋" w:cs="宋体"/>
                <w:color w:val="auto"/>
                <w:sz w:val="22"/>
                <w:szCs w:val="22"/>
                <w:highlight w:val="none"/>
                <w:lang w:val="en-US" w:eastAsia="zh-CN"/>
              </w:rPr>
              <w:t>9</w:t>
            </w:r>
            <w:r>
              <w:rPr>
                <w:rFonts w:hint="eastAsia" w:ascii="仿宋" w:hAnsi="仿宋" w:eastAsia="仿宋" w:cs="宋体"/>
                <w:color w:val="auto"/>
                <w:sz w:val="22"/>
                <w:szCs w:val="22"/>
                <w:highlight w:val="none"/>
              </w:rPr>
              <w:t>元/kWh左右（每月电价有一定浮动），出于谨慎性原则，光伏发电用电电价为0.57元/kWh，暂不考虑电价调幅</w:t>
            </w:r>
            <w:r>
              <w:rPr>
                <w:rFonts w:hint="eastAsia" w:ascii="仿宋" w:hAnsi="仿宋" w:eastAsia="仿宋" w:cs="宋体"/>
                <w:color w:val="auto"/>
                <w:sz w:val="22"/>
                <w:szCs w:val="22"/>
                <w:highlight w:val="none"/>
                <w:lang w:val="en-US" w:eastAsia="zh-CN"/>
              </w:rPr>
              <w:t>及尖峰电价，有较强的竞争优势。</w:t>
            </w:r>
          </w:p>
          <w:p w14:paraId="71A153A7">
            <w:pPr>
              <w:jc w:val="center"/>
              <w:rPr>
                <w:rFonts w:hint="eastAsia" w:ascii="仿宋" w:hAnsi="仿宋" w:eastAsia="仿宋" w:cs="宋体"/>
                <w:color w:val="000000"/>
                <w:sz w:val="22"/>
                <w:szCs w:val="21"/>
                <w:lang w:val="en-US" w:eastAsia="zh-CN"/>
              </w:rPr>
            </w:pPr>
            <w:r>
              <w:rPr>
                <w:rFonts w:hint="eastAsia" w:ascii="仿宋" w:hAnsi="仿宋" w:eastAsia="仿宋" w:cs="宋体"/>
                <w:color w:val="auto"/>
                <w:sz w:val="22"/>
                <w:szCs w:val="22"/>
                <w:highlight w:val="none"/>
                <w:lang w:val="en-US" w:eastAsia="zh-CN"/>
              </w:rPr>
              <w:t>③本项目储能根据结合近2025年7月电力公司代理购电工商业用户电价表推算，峰值价差约为0.73元/kwh（未考虑尖峰电价），出于谨慎性原则，项目暂按差价0.61元/kWh测算</w:t>
            </w:r>
            <w:r>
              <w:rPr>
                <w:rFonts w:hint="eastAsia" w:ascii="仿宋" w:hAnsi="仿宋" w:eastAsia="仿宋" w:cs="宋体"/>
                <w:color w:val="auto"/>
                <w:sz w:val="22"/>
                <w:szCs w:val="22"/>
                <w:lang w:eastAsia="zh-CN"/>
              </w:rPr>
              <w:t>。</w:t>
            </w:r>
            <w:r>
              <w:rPr>
                <w:rFonts w:ascii="仿宋" w:hAnsi="仿宋" w:eastAsia="仿宋" w:cs="仿宋"/>
                <w:i w:val="0"/>
                <w:strike w:val="0"/>
                <w:color w:val="333333"/>
                <w:spacing w:val="0"/>
                <w:sz w:val="22"/>
                <w:u w:val="none"/>
                <w:shd w:val="clear" w:color="auto" w:fill="FFFFFF"/>
              </w:rPr>
              <w:t>④项目设置600kw液冷充电桩5个。项目充电桩所使用电力全部由光伏及储能模块提供，考虑到本项目的服务群体和区位，定价不宜过高，本次充电</w:t>
            </w:r>
            <w:r>
              <w:rPr>
                <w:rFonts w:hint="eastAsia" w:ascii="仿宋" w:hAnsi="仿宋" w:eastAsia="仿宋" w:cs="仿宋"/>
                <w:i w:val="0"/>
                <w:strike w:val="0"/>
                <w:color w:val="333333"/>
                <w:spacing w:val="0"/>
                <w:sz w:val="22"/>
                <w:u w:val="none"/>
                <w:shd w:val="clear" w:color="auto" w:fill="FFFFFF"/>
                <w:lang w:val="en-US" w:eastAsia="zh-CN"/>
              </w:rPr>
              <w:t>桩收费</w:t>
            </w:r>
            <w:r>
              <w:rPr>
                <w:rFonts w:ascii="仿宋" w:hAnsi="仿宋" w:eastAsia="仿宋" w:cs="仿宋"/>
                <w:i w:val="0"/>
                <w:strike w:val="0"/>
                <w:color w:val="333333"/>
                <w:spacing w:val="0"/>
                <w:sz w:val="22"/>
                <w:u w:val="none"/>
                <w:shd w:val="clear" w:color="auto" w:fill="FFFFFF"/>
              </w:rPr>
              <w:t>将按照0.</w:t>
            </w:r>
            <w:r>
              <w:rPr>
                <w:rFonts w:hint="eastAsia" w:ascii="仿宋" w:hAnsi="仿宋" w:eastAsia="仿宋" w:cs="仿宋"/>
                <w:i w:val="0"/>
                <w:strike w:val="0"/>
                <w:color w:val="333333"/>
                <w:spacing w:val="0"/>
                <w:sz w:val="22"/>
                <w:u w:val="none"/>
                <w:shd w:val="clear" w:color="auto" w:fill="FFFFFF"/>
                <w:lang w:val="en-US" w:eastAsia="zh-CN"/>
              </w:rPr>
              <w:t>55</w:t>
            </w:r>
            <w:r>
              <w:rPr>
                <w:rFonts w:ascii="仿宋" w:hAnsi="仿宋" w:eastAsia="仿宋" w:cs="仿宋"/>
                <w:i w:val="0"/>
                <w:strike w:val="0"/>
                <w:color w:val="333333"/>
                <w:spacing w:val="0"/>
                <w:sz w:val="22"/>
                <w:u w:val="none"/>
                <w:shd w:val="clear" w:color="auto" w:fill="FFFFFF"/>
              </w:rPr>
              <w:t>元/度充电服务费时计算</w:t>
            </w:r>
            <w:r>
              <w:rPr>
                <w:rFonts w:hint="eastAsia" w:ascii="仿宋" w:hAnsi="仿宋" w:eastAsia="仿宋" w:cs="仿宋"/>
                <w:i w:val="0"/>
                <w:strike w:val="0"/>
                <w:color w:val="333333"/>
                <w:spacing w:val="0"/>
                <w:sz w:val="22"/>
                <w:u w:val="none"/>
                <w:shd w:val="clear" w:color="auto" w:fill="FFFFFF"/>
                <w:lang w:eastAsia="zh-CN"/>
              </w:rPr>
              <w:t>。</w:t>
            </w:r>
          </w:p>
        </w:tc>
      </w:tr>
      <w:tr w14:paraId="0631C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restart"/>
            <w:tcBorders>
              <w:tl2br w:val="nil"/>
              <w:tr2bl w:val="nil"/>
            </w:tcBorders>
            <w:noWrap w:val="0"/>
            <w:tcMar>
              <w:top w:w="15" w:type="dxa"/>
              <w:left w:w="15" w:type="dxa"/>
              <w:right w:w="15" w:type="dxa"/>
            </w:tcMar>
            <w:vAlign w:val="center"/>
          </w:tcPr>
          <w:p w14:paraId="171570C6">
            <w:pPr>
              <w:widowControl/>
              <w:jc w:val="left"/>
              <w:textAlignment w:val="center"/>
              <w:rPr>
                <w:rFonts w:ascii="仿宋" w:hAnsi="仿宋" w:eastAsia="仿宋" w:cs="宋体"/>
                <w:color w:val="000000"/>
                <w:szCs w:val="21"/>
              </w:rPr>
            </w:pPr>
            <w:r>
              <w:rPr>
                <w:rFonts w:hint="eastAsia" w:ascii="仿宋" w:hAnsi="仿宋" w:eastAsia="仿宋" w:cs="宋体"/>
                <w:color w:val="000000"/>
                <w:kern w:val="0"/>
                <w:szCs w:val="21"/>
                <w:lang w:bidi="ar"/>
              </w:rPr>
              <w:t>贷款偿还能力</w:t>
            </w:r>
          </w:p>
        </w:tc>
        <w:tc>
          <w:tcPr>
            <w:tcW w:w="1780" w:type="dxa"/>
            <w:tcBorders>
              <w:tl2br w:val="nil"/>
              <w:tr2bl w:val="nil"/>
            </w:tcBorders>
            <w:noWrap w:val="0"/>
            <w:tcMar>
              <w:top w:w="15" w:type="dxa"/>
              <w:left w:w="15" w:type="dxa"/>
              <w:right w:w="15" w:type="dxa"/>
            </w:tcMar>
            <w:vAlign w:val="center"/>
          </w:tcPr>
          <w:p w14:paraId="6FFDF7AE">
            <w:pPr>
              <w:widowControl/>
              <w:jc w:val="left"/>
              <w:textAlignment w:val="center"/>
              <w:rPr>
                <w:rFonts w:hint="default" w:ascii="仿宋" w:hAnsi="仿宋" w:eastAsia="仿宋" w:cs="宋体"/>
                <w:color w:val="000000"/>
                <w:kern w:val="0"/>
                <w:szCs w:val="21"/>
                <w:highlight w:val="none"/>
                <w:lang w:val="en-US" w:eastAsia="zh-CN" w:bidi="ar"/>
              </w:rPr>
            </w:pPr>
            <w:r>
              <w:rPr>
                <w:rFonts w:hint="eastAsia" w:ascii="仿宋" w:hAnsi="仿宋" w:eastAsia="仿宋" w:cs="宋体"/>
                <w:color w:val="000000"/>
                <w:kern w:val="0"/>
                <w:szCs w:val="21"/>
                <w:lang w:bidi="ar"/>
              </w:rPr>
              <w:t>项目贷款偿还期（年或月）</w:t>
            </w:r>
          </w:p>
        </w:tc>
        <w:tc>
          <w:tcPr>
            <w:tcW w:w="1656" w:type="dxa"/>
            <w:tcBorders>
              <w:tl2br w:val="nil"/>
              <w:tr2bl w:val="nil"/>
            </w:tcBorders>
            <w:noWrap w:val="0"/>
            <w:tcMar>
              <w:top w:w="15" w:type="dxa"/>
              <w:left w:w="15" w:type="dxa"/>
              <w:right w:w="15" w:type="dxa"/>
            </w:tcMar>
            <w:vAlign w:val="center"/>
          </w:tcPr>
          <w:p w14:paraId="2AB47F45">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12</w:t>
            </w:r>
          </w:p>
        </w:tc>
        <w:tc>
          <w:tcPr>
            <w:tcW w:w="1379" w:type="dxa"/>
            <w:tcBorders>
              <w:tl2br w:val="nil"/>
              <w:tr2bl w:val="nil"/>
            </w:tcBorders>
            <w:noWrap/>
            <w:tcMar>
              <w:top w:w="15" w:type="dxa"/>
              <w:left w:w="15" w:type="dxa"/>
              <w:right w:w="15" w:type="dxa"/>
            </w:tcMar>
            <w:vAlign w:val="center"/>
          </w:tcPr>
          <w:p w14:paraId="1E9572B7">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12</w:t>
            </w:r>
          </w:p>
        </w:tc>
        <w:tc>
          <w:tcPr>
            <w:tcW w:w="3408" w:type="dxa"/>
            <w:tcBorders>
              <w:tl2br w:val="nil"/>
              <w:tr2bl w:val="nil"/>
            </w:tcBorders>
            <w:noWrap/>
            <w:tcMar>
              <w:top w:w="15" w:type="dxa"/>
              <w:left w:w="15" w:type="dxa"/>
              <w:right w:w="15" w:type="dxa"/>
            </w:tcMar>
            <w:vAlign w:val="center"/>
          </w:tcPr>
          <w:p w14:paraId="24A83BE2">
            <w:pPr>
              <w:jc w:val="center"/>
              <w:rPr>
                <w:rFonts w:hint="default" w:ascii="仿宋" w:hAnsi="仿宋" w:eastAsia="仿宋" w:cs="宋体"/>
                <w:color w:val="000000"/>
                <w:szCs w:val="21"/>
                <w:lang w:val="en-US" w:eastAsia="zh-CN"/>
              </w:rPr>
            </w:pPr>
          </w:p>
        </w:tc>
      </w:tr>
      <w:tr w14:paraId="6A44F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6" w:hRule="atLeast"/>
          <w:jc w:val="center"/>
        </w:trPr>
        <w:tc>
          <w:tcPr>
            <w:tcW w:w="1519" w:type="dxa"/>
            <w:vMerge w:val="continue"/>
            <w:tcBorders>
              <w:tl2br w:val="nil"/>
              <w:tr2bl w:val="nil"/>
            </w:tcBorders>
            <w:noWrap w:val="0"/>
            <w:tcMar>
              <w:top w:w="15" w:type="dxa"/>
              <w:left w:w="15" w:type="dxa"/>
              <w:right w:w="15" w:type="dxa"/>
            </w:tcMar>
            <w:vAlign w:val="center"/>
          </w:tcPr>
          <w:p w14:paraId="47527882">
            <w:pPr>
              <w:widowControl/>
              <w:jc w:val="left"/>
              <w:textAlignment w:val="center"/>
              <w:rPr>
                <w:rFonts w:ascii="仿宋" w:hAnsi="仿宋" w:eastAsia="仿宋" w:cs="宋体"/>
                <w:color w:val="000000"/>
                <w:szCs w:val="21"/>
              </w:rPr>
            </w:pPr>
          </w:p>
        </w:tc>
        <w:tc>
          <w:tcPr>
            <w:tcW w:w="1780" w:type="dxa"/>
            <w:tcBorders>
              <w:tl2br w:val="nil"/>
              <w:tr2bl w:val="nil"/>
            </w:tcBorders>
            <w:noWrap w:val="0"/>
            <w:tcMar>
              <w:top w:w="15" w:type="dxa"/>
              <w:left w:w="15" w:type="dxa"/>
              <w:right w:w="15" w:type="dxa"/>
            </w:tcMar>
            <w:vAlign w:val="center"/>
          </w:tcPr>
          <w:p w14:paraId="75F1D34C">
            <w:pPr>
              <w:widowControl/>
              <w:jc w:val="left"/>
              <w:textAlignment w:val="center"/>
              <w:rPr>
                <w:rFonts w:hint="default" w:ascii="仿宋" w:hAnsi="仿宋" w:eastAsia="仿宋" w:cs="宋体"/>
                <w:color w:val="000000"/>
                <w:kern w:val="0"/>
                <w:szCs w:val="21"/>
                <w:highlight w:val="none"/>
                <w:lang w:val="en-US" w:eastAsia="zh-CN" w:bidi="ar"/>
              </w:rPr>
            </w:pPr>
            <w:r>
              <w:rPr>
                <w:rFonts w:hint="eastAsia" w:ascii="仿宋" w:hAnsi="仿宋" w:eastAsia="仿宋" w:cs="宋体"/>
                <w:color w:val="000000"/>
                <w:kern w:val="0"/>
                <w:szCs w:val="21"/>
                <w:lang w:bidi="ar"/>
              </w:rPr>
              <w:t>平均偿债备付率</w:t>
            </w:r>
          </w:p>
        </w:tc>
        <w:tc>
          <w:tcPr>
            <w:tcW w:w="1656" w:type="dxa"/>
            <w:tcBorders>
              <w:tl2br w:val="nil"/>
              <w:tr2bl w:val="nil"/>
            </w:tcBorders>
            <w:noWrap w:val="0"/>
            <w:tcMar>
              <w:top w:w="15" w:type="dxa"/>
              <w:left w:w="15" w:type="dxa"/>
              <w:right w:w="15" w:type="dxa"/>
            </w:tcMar>
            <w:vAlign w:val="center"/>
          </w:tcPr>
          <w:p w14:paraId="3F0415DB">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1.18</w:t>
            </w:r>
          </w:p>
        </w:tc>
        <w:tc>
          <w:tcPr>
            <w:tcW w:w="1379" w:type="dxa"/>
            <w:tcBorders>
              <w:tl2br w:val="nil"/>
              <w:tr2bl w:val="nil"/>
            </w:tcBorders>
            <w:noWrap/>
            <w:tcMar>
              <w:top w:w="15" w:type="dxa"/>
              <w:left w:w="15" w:type="dxa"/>
              <w:right w:w="15" w:type="dxa"/>
            </w:tcMar>
            <w:vAlign w:val="center"/>
          </w:tcPr>
          <w:p w14:paraId="49D76E95">
            <w:pPr>
              <w:jc w:val="center"/>
              <w:rPr>
                <w:rFonts w:hint="default" w:ascii="仿宋" w:hAnsi="仿宋" w:eastAsia="仿宋" w:cs="宋体"/>
                <w:color w:val="000000"/>
                <w:szCs w:val="21"/>
                <w:lang w:val="en-US" w:eastAsia="zh-CN"/>
              </w:rPr>
            </w:pPr>
            <w:r>
              <w:rPr>
                <w:rFonts w:hint="eastAsia" w:ascii="仿宋" w:hAnsi="仿宋" w:eastAsia="仿宋" w:cs="宋体"/>
                <w:color w:val="000000"/>
                <w:szCs w:val="21"/>
                <w:highlight w:val="none"/>
                <w:lang w:val="en-US" w:eastAsia="zh-CN"/>
              </w:rPr>
              <w:t>1.18</w:t>
            </w:r>
          </w:p>
        </w:tc>
        <w:tc>
          <w:tcPr>
            <w:tcW w:w="3408" w:type="dxa"/>
            <w:tcBorders>
              <w:tl2br w:val="nil"/>
              <w:tr2bl w:val="nil"/>
            </w:tcBorders>
            <w:noWrap/>
            <w:tcMar>
              <w:top w:w="15" w:type="dxa"/>
              <w:left w:w="15" w:type="dxa"/>
              <w:right w:w="15" w:type="dxa"/>
            </w:tcMar>
            <w:vAlign w:val="center"/>
          </w:tcPr>
          <w:p w14:paraId="45DDBA87">
            <w:pPr>
              <w:jc w:val="center"/>
              <w:rPr>
                <w:rFonts w:hint="default" w:ascii="仿宋" w:hAnsi="仿宋" w:eastAsia="仿宋" w:cs="宋体"/>
                <w:color w:val="000000"/>
                <w:szCs w:val="21"/>
                <w:lang w:val="en-US" w:eastAsia="zh-CN"/>
              </w:rPr>
            </w:pPr>
          </w:p>
        </w:tc>
      </w:tr>
    </w:tbl>
    <w:p w14:paraId="6A271CF9">
      <w:pPr>
        <w:autoSpaceDE w:val="0"/>
        <w:spacing w:line="360" w:lineRule="auto"/>
        <w:ind w:firstLine="562" w:firstLineChars="200"/>
        <w:rPr>
          <w:rFonts w:ascii="仿宋" w:hAnsi="仿宋" w:eastAsia="仿宋" w:cstheme="minorEastAsia"/>
          <w:b/>
          <w:bCs/>
          <w:sz w:val="28"/>
          <w:szCs w:val="28"/>
        </w:rPr>
      </w:pPr>
      <w:r>
        <w:rPr>
          <w:rFonts w:hint="eastAsia" w:ascii="仿宋" w:hAnsi="仿宋" w:eastAsia="仿宋" w:cstheme="minorEastAsia"/>
          <w:b/>
          <w:bCs/>
          <w:sz w:val="28"/>
          <w:szCs w:val="28"/>
        </w:rPr>
        <w:t>二、项目评估结论</w:t>
      </w:r>
    </w:p>
    <w:p w14:paraId="589C2CFF">
      <w:pPr>
        <w:spacing w:line="360" w:lineRule="auto"/>
        <w:ind w:firstLine="562" w:firstLineChars="200"/>
        <w:rPr>
          <w:rFonts w:ascii="仿宋" w:hAnsi="仿宋" w:eastAsia="仿宋" w:cstheme="minorEastAsia"/>
          <w:b/>
          <w:bCs/>
          <w:sz w:val="28"/>
          <w:szCs w:val="28"/>
        </w:rPr>
      </w:pPr>
      <w:r>
        <w:rPr>
          <w:rFonts w:hint="eastAsia" w:ascii="仿宋" w:hAnsi="仿宋" w:eastAsia="仿宋" w:cstheme="minorEastAsia"/>
          <w:b/>
          <w:bCs/>
          <w:sz w:val="28"/>
          <w:szCs w:val="28"/>
        </w:rPr>
        <w:t>（一）总评价</w:t>
      </w:r>
    </w:p>
    <w:p w14:paraId="1A48D00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宋体"/>
          <w:b w:val="0"/>
          <w:bCs w:val="0"/>
          <w:color w:val="000000"/>
          <w:sz w:val="24"/>
          <w:szCs w:val="24"/>
          <w:lang w:val="en-US" w:eastAsia="zh-CN"/>
        </w:rPr>
      </w:pPr>
      <w:r>
        <w:rPr>
          <w:rFonts w:hint="eastAsia" w:ascii="仿宋" w:hAnsi="仿宋" w:eastAsia="仿宋" w:cs="宋体"/>
          <w:b w:val="0"/>
          <w:bCs w:val="0"/>
          <w:sz w:val="24"/>
          <w:szCs w:val="24"/>
          <w:lang w:val="en-US" w:eastAsia="zh-CN"/>
        </w:rPr>
        <w:t>该项目为河南大成包装材料有限公司源网荷储一体化项，位于新乡市获嘉县先进制造业开发区梧桐路与安王公路交叉口东南角获嘉县产业集聚区创业孵化园区内，项目在园区内部厂房屋顶及闲置空地上安装分布式光伏发电装置，容量为5956KW，</w:t>
      </w:r>
      <w:r>
        <w:rPr>
          <w:rFonts w:hint="eastAsia" w:ascii="仿宋" w:hAnsi="仿宋" w:eastAsia="仿宋" w:cs="宋体"/>
          <w:b w:val="0"/>
          <w:bCs w:val="0"/>
          <w:color w:val="000000"/>
          <w:sz w:val="24"/>
          <w:szCs w:val="24"/>
          <w:lang w:val="en-US" w:eastAsia="zh-CN"/>
        </w:rPr>
        <w:t>建设用户侧储能设备，总规模达到10MW/20MWh（其中包含3MW储能换电模块），此外，项目规划安装5个600kw液冷光储充电桩和其他等量充电桩，并同步实施园区其他相关配套工程，通过源网荷储一体化方案，项目所产出的新能源电力将直供给大成包装企业使用。</w:t>
      </w:r>
    </w:p>
    <w:p w14:paraId="279DB75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 w:val="0"/>
          <w:bCs w:val="0"/>
          <w:sz w:val="24"/>
          <w:szCs w:val="24"/>
          <w:highlight w:val="none"/>
          <w:lang w:val="en-US" w:eastAsia="zh-CN"/>
        </w:rPr>
      </w:pPr>
      <w:r>
        <w:rPr>
          <w:rFonts w:hint="eastAsia" w:ascii="仿宋" w:hAnsi="仿宋" w:eastAsia="仿宋" w:cs="宋体"/>
          <w:b w:val="0"/>
          <w:bCs w:val="0"/>
          <w:sz w:val="24"/>
          <w:szCs w:val="24"/>
          <w:highlight w:val="none"/>
          <w:lang w:val="en-US" w:eastAsia="zh-CN"/>
        </w:rPr>
        <w:t>项目投产运营后主要收入为光伏售电收入、储能峰谷套利收入、及光储充电桩收入。本项目所产出绿色电能利用“源网荷储”模式全部出售给距离项目2公里的河南大成包装材料有限公司使用，同时配合储能进行调峰。项目所出售电力价格远低于商业及工业使用电网价格，优势较大，项目投资回报稳定。</w:t>
      </w:r>
    </w:p>
    <w:p w14:paraId="3077279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 w:val="0"/>
          <w:bCs w:val="0"/>
          <w:sz w:val="24"/>
          <w:szCs w:val="24"/>
          <w:highlight w:val="none"/>
          <w:lang w:val="en-US" w:eastAsia="zh-CN"/>
        </w:rPr>
      </w:pPr>
      <w:r>
        <w:rPr>
          <w:rFonts w:hint="eastAsia" w:ascii="仿宋" w:hAnsi="仿宋" w:eastAsia="仿宋" w:cs="宋体"/>
          <w:b w:val="0"/>
          <w:bCs w:val="0"/>
          <w:sz w:val="24"/>
          <w:szCs w:val="24"/>
          <w:highlight w:val="none"/>
          <w:lang w:val="en-US" w:eastAsia="zh-CN"/>
        </w:rPr>
        <w:t>项目总投资5816.94万元，资金来源包括项目资本金1216.94万元，申请银行贷款4600.00万元，项目资本金比例20.92%，符合项目贷款最低管理要求。根据可研本项目共涉及9栋厂房屋顶及部分闲置空地均为获嘉县产业集聚区创业孵化园有限公司名下。因河南中原智慧冷链物流园管理运营有限公司与获嘉县产业集聚区创业孵化园有限公司同为获嘉县产业集聚区运营发展服务有限公司的全资子公司，项目所使用工业厂房屋顶及闲置空地已签订屋顶租赁使用协议。项目所涉及屋顶情况如下：</w:t>
      </w:r>
    </w:p>
    <w:p w14:paraId="334FD838">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宋体"/>
          <w:b w:val="0"/>
          <w:bCs w:val="0"/>
          <w:sz w:val="24"/>
          <w:szCs w:val="24"/>
          <w:highlight w:val="none"/>
          <w:lang w:val="en-US" w:eastAsia="zh-CN"/>
        </w:rPr>
      </w:pPr>
      <w:r>
        <w:rPr>
          <w:rFonts w:hint="eastAsia" w:ascii="仿宋" w:hAnsi="仿宋" w:eastAsia="仿宋" w:cs="宋体"/>
          <w:b w:val="0"/>
          <w:bCs w:val="0"/>
          <w:sz w:val="24"/>
          <w:szCs w:val="24"/>
          <w:highlight w:val="none"/>
          <w:lang w:val="en-US" w:eastAsia="zh-CN"/>
        </w:rPr>
        <w:t>占用屋顶及空地情况</w:t>
      </w: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68"/>
        <w:gridCol w:w="1801"/>
        <w:gridCol w:w="2828"/>
        <w:gridCol w:w="2799"/>
      </w:tblGrid>
      <w:tr w14:paraId="05A9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4"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12E563A2">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bCs/>
                <w:i w:val="0"/>
                <w:iCs w:val="0"/>
                <w:color w:val="000000"/>
                <w:spacing w:val="0"/>
                <w:sz w:val="18"/>
                <w:szCs w:val="18"/>
                <w:vertAlign w:val="baseline"/>
              </w:rPr>
              <w:t>序号</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0EC62372">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bCs/>
                <w:i w:val="0"/>
                <w:iCs w:val="0"/>
                <w:color w:val="000000"/>
                <w:spacing w:val="0"/>
                <w:sz w:val="18"/>
                <w:szCs w:val="18"/>
                <w:vertAlign w:val="baseline"/>
              </w:rPr>
              <w:t>名称</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4C508548">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bCs/>
                <w:i w:val="0"/>
                <w:iCs w:val="0"/>
                <w:color w:val="000000"/>
                <w:spacing w:val="0"/>
                <w:sz w:val="18"/>
                <w:szCs w:val="18"/>
                <w:vertAlign w:val="baseline"/>
              </w:rPr>
              <w:t>基底面积(m²)</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1FAEA079">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bCs/>
                <w:i w:val="0"/>
                <w:iCs w:val="0"/>
                <w:color w:val="000000"/>
                <w:spacing w:val="0"/>
                <w:sz w:val="18"/>
                <w:szCs w:val="18"/>
                <w:vertAlign w:val="baseline"/>
              </w:rPr>
              <w:t>总建筑面积(²)</w:t>
            </w:r>
          </w:p>
        </w:tc>
      </w:tr>
      <w:tr w14:paraId="795B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207704E7">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1</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35315681">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1#厂房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17D4267D">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2616.38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43EDE1CE">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5232.76</w:t>
            </w:r>
          </w:p>
        </w:tc>
      </w:tr>
      <w:tr w14:paraId="4D4A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1"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2E8DDCDA">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2</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0A303E27">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2#厂房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51EBE6FB">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3879.37</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2FB77D26">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7758.74</w:t>
            </w:r>
          </w:p>
        </w:tc>
      </w:tr>
      <w:tr w14:paraId="3CE9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77CFD0CB">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3</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5351BEC7">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5#厂房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665B658B">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2890.38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3A80DF77">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5780.76</w:t>
            </w:r>
          </w:p>
        </w:tc>
      </w:tr>
      <w:tr w14:paraId="5B9A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0E769A47">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4</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585EC270">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6#厂房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53586336">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3399.42</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44AF9CC2">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6798.84</w:t>
            </w:r>
          </w:p>
        </w:tc>
      </w:tr>
      <w:tr w14:paraId="5F99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0289E794">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5</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1A205CF0">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8#厂房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21C56562">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2890.38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7A8153AB">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5780.76</w:t>
            </w:r>
          </w:p>
        </w:tc>
      </w:tr>
      <w:tr w14:paraId="3515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191C5A5C">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6</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6F3A4377">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9#厂房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55C768D3">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2890.38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29BCB031">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5780.76</w:t>
            </w:r>
          </w:p>
        </w:tc>
      </w:tr>
      <w:tr w14:paraId="2114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331C8D22">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7</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1E96B3AE">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10#厂房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3C317C93">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4321.26</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7364499E">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4321.26</w:t>
            </w:r>
          </w:p>
        </w:tc>
      </w:tr>
      <w:tr w14:paraId="5157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1"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7DEFB954">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8</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4BDEF3E8">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11#厂房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44ADF4E6">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4321.26</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092A05AF">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4321.26</w:t>
            </w:r>
          </w:p>
        </w:tc>
      </w:tr>
      <w:tr w14:paraId="37E5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1"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7336A18E">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9</w:t>
            </w:r>
          </w:p>
        </w:tc>
        <w:tc>
          <w:tcPr>
            <w:tcW w:w="1801"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79917E26">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12#厂房</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6674726A">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4321.26</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773B6130">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4321.26</w:t>
            </w:r>
          </w:p>
        </w:tc>
      </w:tr>
      <w:tr w14:paraId="6854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 w:hRule="atLeast"/>
          <w:jc w:val="center"/>
        </w:trPr>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02FBE942">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合计</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3A0BF5C4">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31530.09</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1565B02D">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50096.4</w:t>
            </w:r>
          </w:p>
        </w:tc>
      </w:tr>
      <w:tr w14:paraId="59D9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4" w:hRule="atLeast"/>
          <w:jc w:val="center"/>
        </w:trPr>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66DAECFD">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可使用空闲区域占用面积</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6FC83241">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12267.68</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2CF9FC88">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lang w:val="en-US"/>
              </w:rPr>
              <w:t> </w:t>
            </w:r>
          </w:p>
        </w:tc>
      </w:tr>
      <w:tr w14:paraId="7084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5" w:hRule="atLeast"/>
          <w:jc w:val="center"/>
        </w:trPr>
        <w:tc>
          <w:tcPr>
            <w:tcW w:w="276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62A62F8D">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共合计</w:t>
            </w:r>
          </w:p>
        </w:tc>
        <w:tc>
          <w:tcPr>
            <w:tcW w:w="2828"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33E2208D">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rPr>
              <w:t>42807.95</w:t>
            </w:r>
          </w:p>
        </w:tc>
        <w:tc>
          <w:tcPr>
            <w:tcW w:w="2799" w:type="dxa"/>
            <w:tcBorders>
              <w:top w:val="single" w:color="000000" w:sz="4" w:space="0"/>
              <w:left w:val="single" w:color="000000" w:sz="4" w:space="0"/>
              <w:bottom w:val="single" w:color="000000" w:sz="4" w:space="0"/>
              <w:right w:val="single" w:color="000000" w:sz="4" w:space="0"/>
            </w:tcBorders>
            <w:shd w:val="clear" w:color="auto" w:fill="auto"/>
            <w:tcMar>
              <w:top w:w="0" w:type="dxa"/>
              <w:left w:w="69" w:type="dxa"/>
              <w:bottom w:w="0" w:type="dxa"/>
              <w:right w:w="69" w:type="dxa"/>
            </w:tcMar>
            <w:vAlign w:val="center"/>
          </w:tcPr>
          <w:p w14:paraId="22557DE2">
            <w:pPr>
              <w:pStyle w:val="18"/>
              <w:keepNext w:val="0"/>
              <w:keepLines w:val="0"/>
              <w:widowControl/>
              <w:suppressLineNumbers w:val="0"/>
              <w:spacing w:before="0" w:beforeAutospacing="0" w:after="0" w:afterAutospacing="0"/>
              <w:ind w:left="0" w:right="0"/>
              <w:jc w:val="center"/>
              <w:rPr>
                <w:rFonts w:hint="eastAsia" w:ascii="仿宋" w:hAnsi="仿宋" w:eastAsia="仿宋" w:cs="仿宋"/>
                <w:sz w:val="18"/>
                <w:szCs w:val="18"/>
              </w:rPr>
            </w:pPr>
            <w:r>
              <w:rPr>
                <w:rFonts w:hint="eastAsia" w:ascii="仿宋" w:hAnsi="仿宋" w:eastAsia="仿宋" w:cs="仿宋"/>
                <w:b w:val="0"/>
                <w:bCs w:val="0"/>
                <w:i w:val="0"/>
                <w:iCs w:val="0"/>
                <w:color w:val="000000"/>
                <w:spacing w:val="0"/>
                <w:sz w:val="18"/>
                <w:szCs w:val="18"/>
                <w:vertAlign w:val="baseline"/>
                <w:lang w:val="en-US"/>
              </w:rPr>
              <w:t> </w:t>
            </w:r>
          </w:p>
        </w:tc>
      </w:tr>
    </w:tbl>
    <w:p w14:paraId="0E873B72">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snapToGrid w:val="0"/>
          <w:kern w:val="0"/>
          <w:sz w:val="24"/>
          <w:lang w:val="en-US" w:eastAsia="zh-CN"/>
        </w:rPr>
      </w:pPr>
      <w:r>
        <w:rPr>
          <w:rFonts w:hint="eastAsia" w:ascii="仿宋" w:hAnsi="仿宋" w:eastAsia="仿宋" w:cs="宋体"/>
          <w:b w:val="0"/>
          <w:bCs w:val="0"/>
          <w:sz w:val="24"/>
          <w:szCs w:val="24"/>
          <w:highlight w:val="none"/>
          <w:lang w:val="en-US" w:eastAsia="zh-CN"/>
        </w:rPr>
        <w:t>项目总投5816.94万元，其中银行融资4600.00万元，资本金比例20.92%，经测算在计算期内（12年），</w:t>
      </w:r>
      <w:r>
        <w:rPr>
          <w:rFonts w:hint="eastAsia" w:ascii="仿宋" w:hAnsi="仿宋" w:eastAsia="仿宋" w:cs="Times New Roman"/>
          <w:snapToGrid w:val="0"/>
          <w:kern w:val="0"/>
          <w:sz w:val="24"/>
          <w:highlight w:val="none"/>
          <w:lang w:val="en-US" w:eastAsia="zh-CN"/>
        </w:rPr>
        <w:t>项目销售利润率为29.38%，投资利润率为47.96%，项目经济效益较好；项目财务内部收益率（税后）7.92</w:t>
      </w:r>
      <w:r>
        <w:rPr>
          <w:rFonts w:hint="default" w:ascii="仿宋" w:hAnsi="仿宋" w:eastAsia="仿宋" w:cs="Times New Roman"/>
          <w:snapToGrid w:val="0"/>
          <w:kern w:val="0"/>
          <w:sz w:val="24"/>
          <w:highlight w:val="none"/>
          <w:lang w:val="en-US" w:eastAsia="zh-CN"/>
        </w:rPr>
        <w:t>%</w:t>
      </w:r>
      <w:r>
        <w:rPr>
          <w:rFonts w:hint="eastAsia" w:ascii="仿宋" w:hAnsi="仿宋" w:eastAsia="仿宋" w:cs="Times New Roman"/>
          <w:snapToGrid w:val="0"/>
          <w:kern w:val="0"/>
          <w:sz w:val="24"/>
          <w:highlight w:val="none"/>
          <w:lang w:val="en-US" w:eastAsia="zh-CN"/>
        </w:rPr>
        <w:t>（大于折现率4.2%），项目财务收益净现值（税后）1402.05万元，项目经济效益可行；资金成本5%，低于项目财务内部收益率（税后）7.92%，项目融资可行；</w:t>
      </w:r>
      <w:r>
        <w:rPr>
          <w:rFonts w:hint="eastAsia" w:ascii="仿宋" w:hAnsi="仿宋" w:eastAsia="仿宋" w:cs="Times New Roman"/>
          <w:snapToGrid w:val="0"/>
          <w:kern w:val="0"/>
          <w:sz w:val="24"/>
          <w:lang w:val="en-US" w:eastAsia="zh-CN"/>
        </w:rPr>
        <w:t>我行贷款偿还期12年，平均偿债备付率1.18，</w:t>
      </w:r>
      <w:r>
        <w:rPr>
          <w:rFonts w:hint="eastAsia" w:ascii="仿宋" w:hAnsi="仿宋" w:eastAsia="仿宋" w:cs="Times New Roman"/>
          <w:snapToGrid w:val="0"/>
          <w:kern w:val="0"/>
          <w:sz w:val="24"/>
          <w:highlight w:val="none"/>
          <w:lang w:val="en-US" w:eastAsia="zh-CN"/>
        </w:rPr>
        <w:t>项目盈亏平衡点50.93%，具备一定抗风险能力。</w:t>
      </w:r>
    </w:p>
    <w:p w14:paraId="74097AB2">
      <w:pPr>
        <w:spacing w:line="360" w:lineRule="auto"/>
        <w:ind w:firstLine="562" w:firstLineChars="200"/>
        <w:rPr>
          <w:rFonts w:hint="eastAsia" w:ascii="仿宋" w:hAnsi="仿宋" w:eastAsia="仿宋" w:cs="Times New Roman"/>
          <w:snapToGrid w:val="0"/>
          <w:kern w:val="0"/>
          <w:sz w:val="24"/>
          <w:szCs w:val="24"/>
          <w:highlight w:val="yellow"/>
          <w:lang w:val="en-US" w:eastAsia="zh-CN" w:bidi="ar-SA"/>
        </w:rPr>
      </w:pPr>
      <w:r>
        <w:rPr>
          <w:rFonts w:hint="eastAsia" w:ascii="仿宋" w:hAnsi="仿宋" w:eastAsia="仿宋" w:cstheme="minorEastAsia"/>
          <w:b/>
          <w:bCs/>
          <w:sz w:val="28"/>
          <w:szCs w:val="28"/>
        </w:rPr>
        <w:t>（二）项目参与人评价结论</w:t>
      </w:r>
    </w:p>
    <w:p w14:paraId="0BBAA962">
      <w:pPr>
        <w:overflowPunct w:val="0"/>
        <w:snapToGrid w:val="0"/>
        <w:spacing w:line="360" w:lineRule="auto"/>
        <w:ind w:firstLine="480" w:firstLineChars="200"/>
        <w:textAlignment w:val="bottom"/>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项目建设主体为河南中原智慧冷链物流园管理运营有限公司，该公司成立于2021年12月02日成立，法定代表人马金全，注册资金100万元整。经营范围：一般项目：园区管理服务；商业综合体管理服务；供应链管理服务；税务服务；信息咨询服务（不含许可类信息咨询服务）；社会经济咨询服务；环保咨询服务；安全咨询服务；会议及展览服务；企业管理咨询；劳务服务（不含劳务派遣）；融资咨询服务；食品销售（仅销售预包装食品）；农产品的生产、销售、加工、运输、贮藏及其他相关服务；初级农产品收购；普通货物仓储服务（不含危险化学品等需许可审批的项目）；低温仓储（不含危险化学品等需许可审批的项目）；国内货物运输代理；林业产品销售；木材销售；礼品花卉销售；建筑材料销售；金属材料销售（除依法须经批准的项目外，凭营业执照依法自主开展经营活动）。</w:t>
      </w:r>
    </w:p>
    <w:p w14:paraId="2471EBD7">
      <w:pPr>
        <w:overflowPunct w:val="0"/>
        <w:snapToGrid w:val="0"/>
        <w:spacing w:line="360" w:lineRule="auto"/>
        <w:ind w:firstLine="480" w:firstLineChars="200"/>
        <w:textAlignment w:val="bottom"/>
        <w:rPr>
          <w:rFonts w:hint="eastAsia" w:ascii="仿宋" w:hAnsi="仿宋" w:eastAsia="仿宋" w:cstheme="minorEastAsia"/>
          <w:b/>
          <w:bCs/>
          <w:sz w:val="28"/>
          <w:szCs w:val="28"/>
        </w:rPr>
      </w:pPr>
      <w:r>
        <w:rPr>
          <w:rFonts w:hint="eastAsia" w:ascii="仿宋" w:hAnsi="仿宋" w:eastAsia="仿宋"/>
          <w:kern w:val="0"/>
          <w:sz w:val="24"/>
          <w:szCs w:val="24"/>
          <w:lang w:val="en-US" w:eastAsia="zh-CN"/>
        </w:rPr>
        <w:t>河南中原智慧冷链物流园管理运营有限公司为获嘉县产业集聚区运营发展服务有限公司全资子公司</w:t>
      </w:r>
      <w:r>
        <w:rPr>
          <w:rFonts w:hint="eastAsia" w:ascii="仿宋" w:hAnsi="仿宋" w:eastAsia="仿宋"/>
          <w:kern w:val="0"/>
          <w:sz w:val="24"/>
          <w:szCs w:val="24"/>
          <w:highlight w:val="none"/>
          <w:lang w:val="en-US" w:eastAsia="zh-CN"/>
        </w:rPr>
        <w:t>，实际控制人为获嘉县国有资产事务中心，对本项目具备一定的出资能力。</w:t>
      </w:r>
    </w:p>
    <w:p w14:paraId="709DD8B5">
      <w:pPr>
        <w:spacing w:line="360" w:lineRule="auto"/>
        <w:ind w:firstLine="562" w:firstLineChars="200"/>
        <w:rPr>
          <w:rFonts w:ascii="仿宋" w:hAnsi="仿宋" w:eastAsia="仿宋" w:cstheme="minorEastAsia"/>
          <w:b/>
          <w:bCs/>
          <w:sz w:val="28"/>
          <w:szCs w:val="28"/>
        </w:rPr>
      </w:pPr>
      <w:r>
        <w:rPr>
          <w:rFonts w:hint="eastAsia" w:ascii="仿宋" w:hAnsi="仿宋" w:eastAsia="仿宋" w:cstheme="minorEastAsia"/>
          <w:b/>
          <w:bCs/>
          <w:sz w:val="28"/>
          <w:szCs w:val="28"/>
        </w:rPr>
        <w:t>（三）项目概况与回报模式评估结论</w:t>
      </w:r>
    </w:p>
    <w:p w14:paraId="6E806197">
      <w:pPr>
        <w:spacing w:line="360" w:lineRule="auto"/>
        <w:ind w:firstLine="480" w:firstLineChars="200"/>
        <w:rPr>
          <w:rFonts w:ascii="仿宋" w:hAnsi="仿宋" w:eastAsia="仿宋" w:cstheme="minorEastAsia"/>
          <w:b/>
          <w:bCs/>
          <w:sz w:val="28"/>
          <w:szCs w:val="28"/>
        </w:rPr>
      </w:pPr>
      <w:r>
        <w:rPr>
          <w:rFonts w:hint="eastAsia" w:ascii="仿宋" w:hAnsi="仿宋" w:eastAsia="仿宋" w:cs="宋体"/>
          <w:b w:val="0"/>
          <w:bCs w:val="0"/>
          <w:kern w:val="2"/>
          <w:sz w:val="24"/>
          <w:szCs w:val="24"/>
          <w:highlight w:val="none"/>
          <w:lang w:val="en-US" w:eastAsia="zh-CN" w:bidi="ar-SA"/>
        </w:rPr>
        <w:t>本项目已经取得获嘉县发改委备案、无需环评登记说明、取得获嘉县住建局无需办理施工许可证的情况说明和获嘉县自然资源局无需办理建设用地规划许可证及建设工程规划许可证的情况说明。本项目采用“源网荷储模式”，结合企业河南大成包装材料有限公司年用电量6889.68万kWh，即年平均用电负荷为55MW左右,该企业距本项目光伏电站2公里左右（小于20公），根据测算，光伏电站每年发电量为718.07万kWh（3.349kWh/kWp/天*5956kWp*360天），考虑到该企业是24小时生产，白天平谷时段用电1976.64万kWh；最大储能量为每天4*5000=20000kWh。为谨慎考虑，日出能量按照92%计算为18400kWh，年储能供电量是18400kWh*360=662.4万kWh，企业峰值用电675.19万kWh。本项目光伏发电将直接由该企业100%消纳，用电缺口较大，项目产出电能能够自我消纳无需上网售电。该项目收入来源稳定，回报模式清晰；目前我国光伏技术成熟，光伏相关设备由龙头企业供应，项目投产运营能够得到保障。</w:t>
      </w:r>
    </w:p>
    <w:p w14:paraId="23FC45C3">
      <w:pPr>
        <w:autoSpaceDE w:val="0"/>
        <w:spacing w:line="360" w:lineRule="auto"/>
        <w:ind w:firstLine="562" w:firstLineChars="200"/>
        <w:rPr>
          <w:rFonts w:hint="eastAsia" w:ascii="仿宋" w:hAnsi="仿宋" w:eastAsia="仿宋" w:cstheme="minorEastAsia"/>
          <w:b/>
          <w:bCs/>
          <w:sz w:val="28"/>
          <w:szCs w:val="28"/>
        </w:rPr>
      </w:pPr>
      <w:r>
        <w:rPr>
          <w:rFonts w:hint="eastAsia" w:ascii="仿宋" w:hAnsi="仿宋" w:eastAsia="仿宋" w:cstheme="minorEastAsia"/>
          <w:b/>
          <w:bCs/>
          <w:sz w:val="28"/>
          <w:szCs w:val="28"/>
        </w:rPr>
        <w:t>（四）项目市场评估结论</w:t>
      </w:r>
    </w:p>
    <w:p w14:paraId="0747D9B2">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1.本项目采用“源网荷储模式”，结合企业河南大成包装材料有限公司年用电量6889.68万kWh，即年平均用电负荷为55MW左右，,该企业距本项目光伏电站2公里左右（小于20公），根据测算，光伏电站每年发电量为718.07万kWh（3.349kWh/kWp/天*5956kWp*360天），考虑到该企业是24小时生产，白天平谷时段用电1976.64万kWh；最大储能量为每天4*5000=20000kWh。为谨慎考虑，日出能量按照92%计算为18400kWh，年储能供电量是18400kWh*360=662.4万kWh，峰值用电675.19万kWh。本项目所产出绿色电力能源不足以满足使用，目标市场环境较好，容量缺口较大。</w:t>
      </w:r>
    </w:p>
    <w:p w14:paraId="4E89E788">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stheme="minorEastAsia"/>
          <w:b/>
          <w:bCs/>
          <w:sz w:val="28"/>
          <w:szCs w:val="28"/>
        </w:rPr>
      </w:pPr>
      <w:r>
        <w:rPr>
          <w:rFonts w:hint="eastAsia" w:ascii="仿宋" w:hAnsi="仿宋" w:eastAsia="仿宋" w:cs="宋体"/>
          <w:b w:val="0"/>
          <w:bCs w:val="0"/>
          <w:kern w:val="2"/>
          <w:sz w:val="24"/>
          <w:szCs w:val="24"/>
          <w:highlight w:val="none"/>
          <w:lang w:val="en-US" w:eastAsia="zh-CN" w:bidi="ar-SA"/>
        </w:rPr>
        <w:t>2.企业通过使用绿色能源供电相较于使用传统供电，可以获得更低的电价，从而在节省企业运营成本方面具有显著的优势。本项目新能源供电采取光伏发电储能调峰，其生产过程无需消耗有限资源，且不产生温室气体排放，因此在价格上往往更为优惠。其次，政府针对可再生能源的政策支持，如补贴和税收优惠，降低了绿色电力的购买成本。这些政策措施进一步降低了企业的用电成本，帮助企业节省运营费用，也能够为获嘉县推动“双碳”政策起到促进作用。本项目符合政策规划导向，具有充沛的现金流可行性较强。</w:t>
      </w:r>
    </w:p>
    <w:p w14:paraId="7FD273B6">
      <w:pPr>
        <w:autoSpaceDE w:val="0"/>
        <w:spacing w:line="360" w:lineRule="auto"/>
        <w:ind w:firstLine="562" w:firstLineChars="200"/>
        <w:rPr>
          <w:rFonts w:hint="eastAsia" w:ascii="仿宋" w:hAnsi="仿宋" w:eastAsia="仿宋" w:cstheme="minorEastAsia"/>
          <w:b/>
          <w:bCs/>
          <w:sz w:val="28"/>
          <w:szCs w:val="28"/>
        </w:rPr>
      </w:pPr>
      <w:r>
        <w:rPr>
          <w:rFonts w:hint="eastAsia" w:ascii="仿宋" w:hAnsi="仿宋" w:eastAsia="仿宋" w:cstheme="minorEastAsia"/>
          <w:b/>
          <w:bCs/>
          <w:sz w:val="28"/>
          <w:szCs w:val="28"/>
        </w:rPr>
        <w:t>（五）投资估算与筹资方案评估结论</w:t>
      </w:r>
    </w:p>
    <w:p w14:paraId="26CC24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theme="minorEastAsia"/>
          <w:b/>
          <w:bCs/>
          <w:sz w:val="28"/>
          <w:szCs w:val="28"/>
        </w:rPr>
      </w:pPr>
      <w:r>
        <w:rPr>
          <w:rFonts w:hint="eastAsia" w:ascii="仿宋" w:hAnsi="仿宋" w:eastAsia="仿宋" w:cs="Times New Roman"/>
          <w:snapToGrid w:val="0"/>
          <w:kern w:val="0"/>
          <w:sz w:val="24"/>
          <w:szCs w:val="24"/>
          <w:lang w:val="en-US" w:eastAsia="zh-CN" w:bidi="ar-SA"/>
        </w:rPr>
        <w:t>项目总投资5816.94万元，资金来源包括项目资本金1216.94万元，申请银行贷款4600.00万元，项目资本金比例20.92%，符合项目贷款最低管理要求。项目资本金投入符合我行固定资产管理办法，但经营单位需持续关注申请人对项目资本金的出资能力，保证项目无资金缺口。</w:t>
      </w:r>
    </w:p>
    <w:p w14:paraId="742EA24C">
      <w:pPr>
        <w:autoSpaceDE w:val="0"/>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（六）财务效益与偿债能力评估结论</w:t>
      </w:r>
    </w:p>
    <w:p w14:paraId="6503F1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仿宋" w:hAnsi="仿宋" w:eastAsia="仿宋" w:cstheme="minorEastAsia"/>
          <w:b/>
          <w:bCs/>
          <w:sz w:val="28"/>
          <w:szCs w:val="28"/>
        </w:rPr>
      </w:pPr>
      <w:r>
        <w:rPr>
          <w:rFonts w:hint="eastAsia" w:ascii="仿宋" w:hAnsi="仿宋" w:eastAsia="仿宋" w:cs="Times New Roman"/>
          <w:snapToGrid w:val="0"/>
          <w:kern w:val="0"/>
          <w:sz w:val="24"/>
          <w:szCs w:val="24"/>
          <w:lang w:val="en-US" w:eastAsia="zh-CN" w:bidi="ar-SA"/>
        </w:rPr>
        <w:t>经评估，</w:t>
      </w:r>
      <w:r>
        <w:rPr>
          <w:rFonts w:hint="eastAsia" w:ascii="仿宋" w:hAnsi="仿宋" w:eastAsia="仿宋" w:cs="Times New Roman"/>
          <w:snapToGrid w:val="0"/>
          <w:kern w:val="0"/>
          <w:sz w:val="24"/>
          <w:szCs w:val="24"/>
          <w:highlight w:val="none"/>
          <w:lang w:val="en-US" w:eastAsia="zh-CN" w:bidi="ar-SA"/>
        </w:rPr>
        <w:t>项目计算期内（12年），</w:t>
      </w:r>
      <w:r>
        <w:rPr>
          <w:rFonts w:hint="eastAsia" w:ascii="仿宋" w:hAnsi="仿宋" w:eastAsia="仿宋" w:cs="宋体"/>
          <w:bCs/>
          <w:sz w:val="24"/>
          <w:highlight w:val="none"/>
          <w:lang w:val="en-US" w:eastAsia="zh-CN"/>
        </w:rPr>
        <w:t>项目销售利润率29.38%，具备一定盈利能力；投资利润率47.96%，项目财务内部收益率（税后）7.92高于折现率4.2%，经济效益一般，平均偿债备付率为1.18、债务期内的</w:t>
      </w:r>
      <w:r>
        <w:rPr>
          <w:rFonts w:ascii="仿宋" w:hAnsi="仿宋" w:eastAsia="仿宋" w:cs="仿宋"/>
          <w:i w:val="0"/>
          <w:strike w:val="0"/>
          <w:spacing w:val="0"/>
          <w:sz w:val="24"/>
          <w:u w:val="none"/>
        </w:rPr>
        <w:t>利息备付率</w:t>
      </w:r>
      <w:r>
        <w:rPr>
          <w:rFonts w:hint="eastAsia" w:ascii="仿宋" w:hAnsi="仿宋" w:eastAsia="仿宋" w:cs="宋体"/>
          <w:bCs/>
          <w:sz w:val="24"/>
          <w:highlight w:val="none"/>
          <w:lang w:val="en-US" w:eastAsia="zh-CN"/>
        </w:rPr>
        <w:t>比率5.16，盈亏平衡点为50.93%，运营期间偿债能力较强</w:t>
      </w:r>
      <w:r>
        <w:rPr>
          <w:rFonts w:hint="eastAsia" w:ascii="仿宋" w:hAnsi="仿宋" w:eastAsia="仿宋" w:cs="宋体"/>
          <w:bCs/>
          <w:sz w:val="24"/>
          <w:highlight w:val="none"/>
        </w:rPr>
        <w:t>。</w:t>
      </w:r>
    </w:p>
    <w:p w14:paraId="367633DF">
      <w:pPr>
        <w:autoSpaceDE w:val="0"/>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（七）不确定性分析</w:t>
      </w:r>
    </w:p>
    <w:p w14:paraId="066F97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经评估，项目计算期内，盈亏平衡点50.93</w:t>
      </w:r>
      <w:r>
        <w:rPr>
          <w:rFonts w:hint="eastAsia" w:ascii="仿宋" w:hAnsi="仿宋" w:eastAsia="仿宋" w:cs="宋体"/>
          <w:bCs/>
          <w:sz w:val="24"/>
          <w:highlight w:val="none"/>
        </w:rPr>
        <w:t>%</w:t>
      </w:r>
      <w:r>
        <w:rPr>
          <w:rFonts w:hint="eastAsia" w:ascii="仿宋" w:hAnsi="仿宋" w:eastAsia="仿宋" w:cs="宋体"/>
          <w:bCs/>
          <w:sz w:val="24"/>
          <w:highlight w:val="none"/>
          <w:lang w:eastAsia="zh-CN"/>
        </w:rPr>
        <w:t>，</w:t>
      </w:r>
      <w:r>
        <w:rPr>
          <w:rFonts w:hint="eastAsia" w:ascii="仿宋" w:hAnsi="仿宋" w:eastAsia="仿宋" w:cs="宋体"/>
          <w:bCs/>
          <w:sz w:val="24"/>
          <w:highlight w:val="none"/>
          <w:lang w:val="en-US" w:eastAsia="zh-CN"/>
        </w:rPr>
        <w:t>具备一定抗风险能力、</w:t>
      </w:r>
      <w:r>
        <w:rPr>
          <w:rFonts w:hint="eastAsia" w:ascii="仿宋" w:hAnsi="仿宋" w:eastAsia="仿宋" w:cs="仿宋"/>
          <w:kern w:val="2"/>
          <w:sz w:val="24"/>
          <w:szCs w:val="24"/>
          <w:highlight w:val="none"/>
          <w:u w:val="none"/>
          <w:lang w:val="en-US" w:eastAsia="zh-CN" w:bidi="ar-SA"/>
        </w:rPr>
        <w:t>盈利能力，受总投资、收入变化影响较大。项目已经与园区企业签订用电意向协议。</w:t>
      </w:r>
    </w:p>
    <w:p w14:paraId="76E5D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根据敏感性分析来看，建设总投资上涨5%、出售价格或产能利用率下降5%，都不会导致所得税后内部收益率小于项目折现率，项目经济上可行。</w:t>
      </w:r>
    </w:p>
    <w:p w14:paraId="27B69F1B">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敏感性分析表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095"/>
        <w:gridCol w:w="990"/>
        <w:gridCol w:w="975"/>
        <w:gridCol w:w="990"/>
        <w:gridCol w:w="975"/>
        <w:gridCol w:w="990"/>
        <w:gridCol w:w="1110"/>
      </w:tblGrid>
      <w:tr w14:paraId="3E77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2A26CAB">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变动幅度</w:t>
            </w:r>
          </w:p>
        </w:tc>
        <w:tc>
          <w:tcPr>
            <w:tcW w:w="10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6369C1F">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-15%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F1702D">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-10%</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6601A9F">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3B1A2B9">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0%</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DF33593">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D160D30">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10%</w:t>
            </w:r>
          </w:p>
        </w:tc>
        <w:tc>
          <w:tcPr>
            <w:tcW w:w="111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ECB2CF9">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15%</w:t>
            </w:r>
          </w:p>
        </w:tc>
      </w:tr>
      <w:tr w14:paraId="2F29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D872E4">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销售收入</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CFC2C4">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5.47</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C723FD">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6.29</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8354EB7">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7.10</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BAEE45">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7.92</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8343ED4">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8.73</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7078EC2">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9.55</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0DD257A">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10.36</w:t>
            </w:r>
          </w:p>
        </w:tc>
      </w:tr>
      <w:tr w14:paraId="4284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6D19F4A">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经营成本</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90060FD">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8.25</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B88C63">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8.14</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BDF9C96">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8.03</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24442F7">
            <w:pPr>
              <w:widowControl w:val="0"/>
              <w:pBdr>
                <w:bottom w:val="none" w:color="auto" w:sz="0" w:space="0"/>
              </w:pBdr>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7.92</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1F0CAD0">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7.81</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9FDBECC">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7.70</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87045E0">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7.59</w:t>
            </w:r>
          </w:p>
        </w:tc>
      </w:tr>
      <w:tr w14:paraId="5220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977E1C8">
            <w:pPr>
              <w:widowControl w:val="0"/>
              <w:snapToGrid/>
              <w:spacing w:before="0" w:after="0" w:line="240" w:lineRule="auto"/>
              <w:jc w:val="center"/>
              <w:rPr>
                <w:rFonts w:hint="eastAsia" w:ascii="仿宋" w:hAnsi="仿宋" w:eastAsia="仿宋" w:cs="仿宋"/>
                <w:color w:val="auto"/>
              </w:rPr>
            </w:pPr>
            <w:r>
              <w:rPr>
                <w:rFonts w:hint="eastAsia" w:ascii="仿宋" w:hAnsi="仿宋" w:eastAsia="仿宋" w:cs="仿宋"/>
                <w:i w:val="0"/>
                <w:strike w:val="0"/>
                <w:color w:val="auto"/>
                <w:spacing w:val="0"/>
                <w:sz w:val="21"/>
                <w:u w:val="none"/>
              </w:rPr>
              <w:t>建安投资</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8167CD0">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10.27</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61CDF62">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9.40</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692ABDE">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8.62</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B33A629">
            <w:pPr>
              <w:widowControl w:val="0"/>
              <w:pBdr>
                <w:bottom w:val="none" w:color="auto" w:sz="0" w:space="0"/>
              </w:pBdr>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7.92</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E2867C5">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7.29</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E262874">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6.71</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0A879E7">
            <w:pPr>
              <w:widowControl w:val="0"/>
              <w:snapToGrid/>
              <w:spacing w:before="0" w:after="0" w:line="240" w:lineRule="auto"/>
              <w:jc w:val="center"/>
              <w:rPr>
                <w:rFonts w:hint="eastAsia" w:ascii="仿宋" w:hAnsi="仿宋" w:eastAsia="仿宋" w:cs="仿宋"/>
                <w:i w:val="0"/>
                <w:strike w:val="0"/>
                <w:color w:val="auto"/>
                <w:spacing w:val="0"/>
                <w:sz w:val="21"/>
                <w:u w:val="none"/>
              </w:rPr>
            </w:pPr>
            <w:r>
              <w:rPr>
                <w:rFonts w:hint="eastAsia" w:ascii="仿宋" w:hAnsi="仿宋" w:eastAsia="仿宋" w:cs="仿宋"/>
                <w:i w:val="0"/>
                <w:strike w:val="0"/>
                <w:color w:val="auto"/>
                <w:spacing w:val="0"/>
                <w:sz w:val="21"/>
                <w:u w:val="none"/>
              </w:rPr>
              <w:t>6.18</w:t>
            </w:r>
          </w:p>
        </w:tc>
      </w:tr>
    </w:tbl>
    <w:p w14:paraId="14DAF966">
      <w:pPr>
        <w:pStyle w:val="55"/>
        <w:numPr>
          <w:ilvl w:val="0"/>
          <w:numId w:val="0"/>
        </w:numPr>
        <w:autoSpaceDE w:val="0"/>
        <w:spacing w:line="360" w:lineRule="auto"/>
        <w:jc w:val="both"/>
        <w:rPr>
          <w:rFonts w:hint="eastAsia" w:ascii="仿宋" w:hAnsi="仿宋" w:eastAsia="仿宋" w:cstheme="minorEastAsia"/>
          <w:kern w:val="2"/>
          <w:sz w:val="28"/>
          <w:szCs w:val="28"/>
        </w:rPr>
      </w:pPr>
      <w:r>
        <w:rPr>
          <w:rFonts w:hint="eastAsia" w:ascii="仿宋" w:hAnsi="仿宋" w:eastAsia="仿宋" w:cstheme="minorEastAsia"/>
          <w:kern w:val="2"/>
          <w:sz w:val="28"/>
          <w:szCs w:val="28"/>
          <w:lang w:val="en-US" w:eastAsia="zh-CN"/>
        </w:rPr>
        <w:t>三、</w:t>
      </w:r>
      <w:r>
        <w:rPr>
          <w:rFonts w:hint="eastAsia" w:ascii="仿宋" w:hAnsi="仿宋" w:eastAsia="仿宋" w:cstheme="minorEastAsia"/>
          <w:kern w:val="2"/>
          <w:sz w:val="28"/>
          <w:szCs w:val="28"/>
        </w:rPr>
        <w:t>项目应关注的主要风险点及风控建议</w:t>
      </w:r>
    </w:p>
    <w:p w14:paraId="16C92624">
      <w:pPr>
        <w:pStyle w:val="55"/>
        <w:numPr>
          <w:ilvl w:val="0"/>
          <w:numId w:val="0"/>
        </w:numPr>
        <w:autoSpaceDE w:val="0"/>
        <w:spacing w:line="360" w:lineRule="auto"/>
        <w:ind w:firstLine="562" w:firstLineChars="200"/>
        <w:jc w:val="both"/>
        <w:rPr>
          <w:rFonts w:ascii="仿宋" w:hAnsi="仿宋" w:eastAsia="仿宋" w:cstheme="minorEastAsia"/>
          <w:kern w:val="2"/>
          <w:sz w:val="28"/>
          <w:szCs w:val="28"/>
        </w:rPr>
      </w:pPr>
      <w:r>
        <w:rPr>
          <w:rFonts w:hint="eastAsia" w:ascii="仿宋" w:hAnsi="仿宋" w:eastAsia="仿宋" w:cstheme="minorEastAsia"/>
          <w:kern w:val="2"/>
          <w:sz w:val="28"/>
          <w:szCs w:val="28"/>
        </w:rPr>
        <w:t>（一）主要风险点</w:t>
      </w:r>
    </w:p>
    <w:p w14:paraId="234816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1.项目政策风险</w:t>
      </w:r>
    </w:p>
    <w:p w14:paraId="547C0A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本项目政策性风险总体可控但需关注动态调整。国家及河南省对源网荷储一体化项目有明确政策支持，如《河南省加快推进源网荷储一体化实施方案》《河南省工业企业源网荷储一体化项目实施细则（暂行）》等文件明确了项目建设模式、消纳要求及支持措施，且新乡市 2027 年前需建成 70 个源网荷储项目，政策导向积极。但政策具有时效性，可能面临补贴退坡、电价机制调整或环保标准提升等风险。例如，若未来可再生能源补贴政策退出或分时电价机制变动，可能影响项目收益；环保要求提高可能增加储能系统运维成本。需持续跟踪政策动态，加强与地方政府及能源部门沟通，确保项目合规运营并及时调整策略应对政策变化。</w:t>
      </w:r>
    </w:p>
    <w:p w14:paraId="5F046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2.项目资本金风险</w:t>
      </w:r>
    </w:p>
    <w:p w14:paraId="001679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该项目建设主体为河南中原智慧冷链物流园管理运营有限公司为本项目的项目公司，注册资本100万元、</w:t>
      </w:r>
      <w:r>
        <w:rPr>
          <w:rFonts w:hint="eastAsia" w:ascii="仿宋" w:hAnsi="仿宋" w:eastAsia="仿宋" w:cs="仿宋"/>
          <w:color w:val="000000"/>
          <w:kern w:val="2"/>
          <w:sz w:val="24"/>
          <w:szCs w:val="24"/>
          <w:highlight w:val="none"/>
          <w:u w:val="none"/>
          <w:lang w:val="en-US" w:eastAsia="zh-CN" w:bidi="ar-SA"/>
        </w:rPr>
        <w:t>实收资本0万元。</w:t>
      </w:r>
      <w:r>
        <w:rPr>
          <w:rFonts w:hint="eastAsia" w:ascii="仿宋" w:hAnsi="仿宋" w:eastAsia="仿宋" w:cs="仿宋"/>
          <w:kern w:val="2"/>
          <w:sz w:val="24"/>
          <w:szCs w:val="24"/>
          <w:highlight w:val="none"/>
          <w:u w:val="none"/>
          <w:lang w:val="en-US" w:eastAsia="zh-CN" w:bidi="ar-SA"/>
        </w:rPr>
        <w:t>目前规划资本金来源为股东投资，资金来源如果不能按期到位，会影响项目进度，且造成项目投产期滞后，增加项目建设期成本。</w:t>
      </w:r>
    </w:p>
    <w:p w14:paraId="600023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河南中原智慧冷链物流园管理运营有限公司为获嘉县产业集聚区运营发展服务有限公司的全资子公司，实际控制人为获嘉县国有资产事务中心。该项目不存在资本金不到位风险。</w:t>
      </w:r>
    </w:p>
    <w:p w14:paraId="29A73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3.项目运营风险</w:t>
      </w:r>
    </w:p>
    <w:p w14:paraId="09825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该项目规划周期为12年，贷款回收周期为12年，主要建设地点为获嘉县产业集聚区创业孵化园区内部分厂房屋顶及闲置空地。项目所使用厂房屋顶及闲置空地为获嘉县产业集聚区创业孵化园有限公司名下房产，项目公司已与获嘉县产业集聚区创业孵化园有限公司签订屋顶及闲置空地租赁使用协议。项目所产出新能源电力将直接长期出售给大成包装企业使用，并与企业签订用电合同，该项目不存在运营风险。</w:t>
      </w:r>
    </w:p>
    <w:p w14:paraId="61C87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4.还款来源风险</w:t>
      </w:r>
    </w:p>
    <w:p w14:paraId="0EB90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FF0000"/>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本项目第一还款来源为光伏售电收入、储能峰谷套利收入及光储充电桩收入三部分组成。本项目在运营期内总收入约为9495.14</w:t>
      </w:r>
      <w:r>
        <w:rPr>
          <w:rFonts w:hint="eastAsia" w:ascii="仿宋" w:hAnsi="仿宋" w:eastAsia="仿宋" w:cs="仿宋"/>
          <w:color w:val="auto"/>
          <w:kern w:val="2"/>
          <w:sz w:val="24"/>
          <w:szCs w:val="24"/>
          <w:highlight w:val="none"/>
          <w:u w:val="none"/>
          <w:lang w:val="en-US" w:eastAsia="zh-CN" w:bidi="ar-SA"/>
        </w:rPr>
        <w:t>万元，</w:t>
      </w:r>
      <w:r>
        <w:rPr>
          <w:rFonts w:hint="eastAsia" w:ascii="仿宋" w:hAnsi="仿宋" w:eastAsia="仿宋" w:cs="仿宋"/>
          <w:kern w:val="2"/>
          <w:sz w:val="24"/>
          <w:szCs w:val="24"/>
          <w:highlight w:val="none"/>
          <w:u w:val="none"/>
          <w:lang w:val="en-US" w:eastAsia="zh-CN" w:bidi="ar-SA"/>
        </w:rPr>
        <w:t>利息备付率5.16%，偿债备付率1.17%。税后内部收益率7.92%，税后投资回收期11.27年。</w:t>
      </w:r>
      <w:r>
        <w:rPr>
          <w:rFonts w:hint="eastAsia" w:ascii="仿宋" w:hAnsi="仿宋" w:eastAsia="仿宋" w:cs="仿宋"/>
          <w:color w:val="FF0000"/>
          <w:kern w:val="2"/>
          <w:sz w:val="24"/>
          <w:szCs w:val="24"/>
          <w:highlight w:val="none"/>
          <w:u w:val="none"/>
          <w:lang w:val="en-US" w:eastAsia="zh-CN" w:bidi="ar-SA"/>
        </w:rPr>
        <w:t>第二还款来源为***********有限公司为本项目进行连带担保。</w:t>
      </w:r>
    </w:p>
    <w:p w14:paraId="746B03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5.资金挪用风险</w:t>
      </w:r>
    </w:p>
    <w:p w14:paraId="7E7DC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河南中原智慧冷链物流园管理运营有限公司的资金来源与投资主体的经营情况紧密相关，存在将其作为其融资渠道，把信贷资金挪作他用的风险。申请主体为新设立公司，主营发展方向易发生变化，易存在其投资主体产业之间占用项目资金或项目资金使用范围使用资金的风险。</w:t>
      </w:r>
    </w:p>
    <w:p w14:paraId="6771E8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2"/>
          <w:sz w:val="24"/>
          <w:szCs w:val="24"/>
          <w:highlight w:val="none"/>
          <w:u w:val="none"/>
          <w:lang w:val="en-US" w:eastAsia="zh-CN" w:bidi="ar-SA"/>
        </w:rPr>
      </w:pPr>
      <w:r>
        <w:rPr>
          <w:rFonts w:hint="eastAsia" w:ascii="仿宋" w:hAnsi="仿宋" w:eastAsia="仿宋" w:cs="仿宋"/>
          <w:kern w:val="2"/>
          <w:sz w:val="24"/>
          <w:szCs w:val="24"/>
          <w:highlight w:val="none"/>
          <w:u w:val="none"/>
          <w:lang w:val="en-US" w:eastAsia="zh-CN" w:bidi="ar-SA"/>
        </w:rPr>
        <w:t>一是项目建设资金若被挪用，会导致建设资金不足，形成完工风险，应加强贷款资金用途监管；二是项目所有收入应封闭管理，若收入被挪用，则会影响到我行还款资金来源。</w:t>
      </w:r>
    </w:p>
    <w:p w14:paraId="500B9849">
      <w:pPr>
        <w:pStyle w:val="55"/>
        <w:autoSpaceDE w:val="0"/>
        <w:spacing w:line="360" w:lineRule="auto"/>
        <w:ind w:firstLine="562" w:firstLineChars="200"/>
        <w:jc w:val="both"/>
        <w:rPr>
          <w:rFonts w:ascii="仿宋" w:hAnsi="仿宋" w:eastAsia="仿宋" w:cstheme="minorEastAsia"/>
          <w:kern w:val="2"/>
          <w:sz w:val="28"/>
          <w:szCs w:val="28"/>
        </w:rPr>
      </w:pPr>
      <w:r>
        <w:rPr>
          <w:rFonts w:hint="eastAsia" w:ascii="仿宋" w:hAnsi="仿宋" w:eastAsia="仿宋" w:cstheme="minorEastAsia"/>
          <w:kern w:val="2"/>
          <w:sz w:val="28"/>
          <w:szCs w:val="28"/>
        </w:rPr>
        <w:t>（二）风控及融资方案建议</w:t>
      </w:r>
    </w:p>
    <w:p w14:paraId="5AD467FC">
      <w:pPr>
        <w:autoSpaceDE w:val="0"/>
        <w:spacing w:line="360" w:lineRule="auto"/>
        <w:ind w:firstLine="482" w:firstLineChars="200"/>
        <w:jc w:val="left"/>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lang w:val="en-US" w:eastAsia="zh-CN"/>
        </w:rPr>
        <w:t>1.经营机构上报方案</w:t>
      </w:r>
    </w:p>
    <w:p w14:paraId="39165459">
      <w:pPr>
        <w:autoSpaceDE w:val="0"/>
        <w:spacing w:line="360" w:lineRule="auto"/>
        <w:ind w:firstLine="480" w:firstLineChars="200"/>
        <w:jc w:val="left"/>
        <w:rPr>
          <w:rFonts w:hint="eastAsia" w:ascii="仿宋" w:hAnsi="仿宋" w:eastAsia="仿宋" w:cs="宋体"/>
          <w:b w:val="0"/>
          <w:bCs w:val="0"/>
          <w:sz w:val="24"/>
          <w:szCs w:val="24"/>
          <w:highlight w:val="none"/>
          <w:lang w:val="en-US" w:eastAsia="zh-CN"/>
        </w:rPr>
      </w:pPr>
      <w:r>
        <w:rPr>
          <w:rFonts w:hint="eastAsia" w:ascii="仿宋" w:hAnsi="仿宋" w:eastAsia="仿宋" w:cs="宋体"/>
          <w:b w:val="0"/>
          <w:bCs w:val="0"/>
          <w:sz w:val="24"/>
          <w:szCs w:val="24"/>
          <w:highlight w:val="none"/>
          <w:lang w:val="en-US" w:eastAsia="zh-CN"/>
        </w:rPr>
        <w:t>获嘉县支行申请给予河南中原智慧冷链物流园管理运营有限公司贷款4600.00万元，期限12年，专项用于河南大成包装材料有限公司源网荷储一体化项目建设，</w:t>
      </w:r>
      <w:r>
        <w:rPr>
          <w:rFonts w:hint="eastAsia" w:ascii="仿宋" w:hAnsi="仿宋" w:eastAsia="仿宋" w:cs="宋体"/>
          <w:b w:val="0"/>
          <w:bCs w:val="0"/>
          <w:color w:val="FF0000"/>
          <w:sz w:val="24"/>
          <w:szCs w:val="24"/>
          <w:highlight w:val="none"/>
          <w:lang w:val="en-US" w:eastAsia="zh-CN"/>
        </w:rPr>
        <w:t>担保方式为***********有限公司提供连带责任保证担保</w:t>
      </w:r>
      <w:r>
        <w:rPr>
          <w:rFonts w:hint="eastAsia" w:ascii="仿宋" w:hAnsi="仿宋" w:eastAsia="仿宋" w:cs="宋体"/>
          <w:b w:val="0"/>
          <w:bCs w:val="0"/>
          <w:sz w:val="24"/>
          <w:szCs w:val="24"/>
          <w:highlight w:val="none"/>
          <w:lang w:val="en-US" w:eastAsia="zh-CN"/>
        </w:rPr>
        <w:t>。按季还息，建设期第前0.5年不还本只付息，从后0.5年开始第按季分期还本付息，运营期0.5年合计归还贷款本金不低于150万元、第二年合计归还贷款本金不低于320万元、第三年合计归还本金不低于340万元、第四年合计归还本金不低于350万元、第五年每年归还本金不低于380万元、第六年合计归还本金不低于380万元、第七年合计归还本金不低于400万元、第八年合计归还本金不低于420万元、第九年合计归还本金不低于430万元、第十年合计归还本金不低于450万元、第十一年合计归还本金不低于480万元、第十二年合计归还本金不低于500万元。</w:t>
      </w:r>
    </w:p>
    <w:p w14:paraId="6AC39342">
      <w:pPr>
        <w:autoSpaceDE w:val="0"/>
        <w:spacing w:line="360" w:lineRule="auto"/>
        <w:ind w:firstLine="480" w:firstLineChars="200"/>
        <w:jc w:val="left"/>
        <w:rPr>
          <w:rFonts w:hint="eastAsia" w:ascii="仿宋" w:hAnsi="仿宋" w:eastAsia="仿宋" w:cs="宋体"/>
          <w:b w:val="0"/>
          <w:bCs w:val="0"/>
          <w:sz w:val="24"/>
          <w:szCs w:val="24"/>
          <w:highlight w:val="none"/>
          <w:lang w:val="en-US" w:eastAsia="zh-CN"/>
        </w:rPr>
      </w:pPr>
      <w:r>
        <w:rPr>
          <w:rFonts w:hint="eastAsia" w:ascii="仿宋" w:hAnsi="仿宋" w:eastAsia="仿宋" w:cs="宋体"/>
          <w:b w:val="0"/>
          <w:bCs w:val="0"/>
          <w:sz w:val="24"/>
          <w:szCs w:val="24"/>
          <w:highlight w:val="none"/>
          <w:lang w:val="en-US" w:eastAsia="zh-CN"/>
        </w:rPr>
        <w:t>（1）自有资金先于我行贷款到位，自有资金不低于1216.94万元。</w:t>
      </w:r>
    </w:p>
    <w:p w14:paraId="78D041E0">
      <w:pPr>
        <w:autoSpaceDE w:val="0"/>
        <w:spacing w:line="360" w:lineRule="auto"/>
        <w:ind w:firstLine="480" w:firstLineChars="200"/>
        <w:jc w:val="left"/>
        <w:rPr>
          <w:rFonts w:hint="eastAsia" w:ascii="仿宋" w:hAnsi="仿宋" w:eastAsia="仿宋" w:cs="宋体"/>
          <w:b w:val="0"/>
          <w:bCs w:val="0"/>
          <w:sz w:val="24"/>
          <w:szCs w:val="24"/>
          <w:highlight w:val="none"/>
          <w:lang w:val="en-US" w:eastAsia="zh-CN"/>
        </w:rPr>
      </w:pPr>
      <w:r>
        <w:rPr>
          <w:rFonts w:hint="eastAsia" w:ascii="仿宋" w:hAnsi="仿宋" w:eastAsia="仿宋" w:cs="宋体"/>
          <w:b w:val="0"/>
          <w:bCs w:val="0"/>
          <w:sz w:val="24"/>
          <w:szCs w:val="24"/>
          <w:highlight w:val="none"/>
          <w:lang w:val="en-US" w:eastAsia="zh-CN"/>
        </w:rPr>
        <w:t>（2）根据本项目建设进度情况分次提款，项目贷款受托支付，用于项目建设，严禁挪用。</w:t>
      </w:r>
    </w:p>
    <w:p w14:paraId="6884F402">
      <w:pPr>
        <w:autoSpaceDE w:val="0"/>
        <w:spacing w:line="360" w:lineRule="auto"/>
        <w:ind w:firstLine="480" w:firstLineChars="200"/>
        <w:jc w:val="left"/>
        <w:rPr>
          <w:rFonts w:hint="eastAsia" w:ascii="仿宋" w:hAnsi="仿宋" w:eastAsia="仿宋" w:cs="宋体"/>
          <w:b w:val="0"/>
          <w:bCs w:val="0"/>
          <w:sz w:val="24"/>
          <w:szCs w:val="24"/>
          <w:highlight w:val="none"/>
          <w:lang w:val="en-US" w:eastAsia="zh-CN"/>
        </w:rPr>
      </w:pPr>
      <w:r>
        <w:rPr>
          <w:rFonts w:hint="eastAsia" w:ascii="仿宋" w:hAnsi="仿宋" w:eastAsia="仿宋" w:cs="宋体"/>
          <w:b w:val="0"/>
          <w:bCs w:val="0"/>
          <w:sz w:val="24"/>
          <w:szCs w:val="24"/>
          <w:highlight w:val="none"/>
          <w:lang w:val="en-US" w:eastAsia="zh-CN"/>
        </w:rPr>
        <w:t>（3）放款前要求项目手续齐全，证件合法有效。</w:t>
      </w:r>
    </w:p>
    <w:p w14:paraId="6048E1F8">
      <w:pPr>
        <w:pStyle w:val="55"/>
        <w:autoSpaceDE w:val="0"/>
        <w:spacing w:line="360" w:lineRule="auto"/>
        <w:ind w:firstLine="482" w:firstLineChars="200"/>
        <w:jc w:val="both"/>
        <w:rPr>
          <w:rFonts w:hint="default" w:ascii="仿宋" w:hAnsi="仿宋" w:eastAsia="仿宋" w:cs="宋体"/>
          <w:b/>
          <w:bCs/>
          <w:kern w:val="2"/>
          <w:sz w:val="24"/>
          <w:szCs w:val="24"/>
          <w:highlight w:val="none"/>
          <w:lang w:val="en-US" w:eastAsia="zh-CN" w:bidi="ar-SA"/>
        </w:rPr>
      </w:pPr>
      <w:r>
        <w:rPr>
          <w:rFonts w:hint="eastAsia" w:ascii="仿宋" w:hAnsi="仿宋" w:eastAsia="仿宋" w:cs="宋体"/>
          <w:b/>
          <w:bCs/>
          <w:kern w:val="2"/>
          <w:sz w:val="24"/>
          <w:szCs w:val="24"/>
          <w:highlight w:val="none"/>
          <w:lang w:val="en-US" w:eastAsia="zh-CN" w:bidi="ar-SA"/>
        </w:rPr>
        <w:t>2.本次风控及融资方案建议</w:t>
      </w:r>
    </w:p>
    <w:p w14:paraId="2B99C365">
      <w:pPr>
        <w:pStyle w:val="55"/>
        <w:autoSpaceDE w:val="0"/>
        <w:spacing w:line="360" w:lineRule="auto"/>
        <w:ind w:firstLine="480" w:firstLineChars="200"/>
        <w:jc w:val="both"/>
        <w:rPr>
          <w:rFonts w:hint="eastAsia"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（1）项目资本金先于我行资金到位，金额不低于1216.94万元，且不低于项目总投的20.92%，已投入资金需提供相关支付凭证等证明材料，证明来源合法合规；</w:t>
      </w:r>
    </w:p>
    <w:p w14:paraId="3180F43E">
      <w:pPr>
        <w:pStyle w:val="55"/>
        <w:autoSpaceDE w:val="0"/>
        <w:spacing w:line="360" w:lineRule="auto"/>
        <w:ind w:firstLine="480" w:firstLineChars="200"/>
        <w:jc w:val="both"/>
        <w:rPr>
          <w:rFonts w:hint="eastAsia"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（2）全部贷款资金受托支付，需提供真实有效凭证；</w:t>
      </w:r>
    </w:p>
    <w:p w14:paraId="38E0FAB7">
      <w:pPr>
        <w:pStyle w:val="55"/>
        <w:autoSpaceDE w:val="0"/>
        <w:spacing w:line="360" w:lineRule="auto"/>
        <w:ind w:firstLine="480" w:firstLineChars="200"/>
        <w:jc w:val="both"/>
        <w:rPr>
          <w:rFonts w:hint="default"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（3）项目运营全部收入需进入我行监管账户，对外支出需经我行审批，按照还款计划偿还我行贷款，经评估还款计划如下，若未全额提款参照下述还款比例重新制定还款计划，可提前还款。</w:t>
      </w:r>
    </w:p>
    <w:tbl>
      <w:tblPr>
        <w:tblStyle w:val="23"/>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95"/>
        <w:gridCol w:w="1030"/>
        <w:gridCol w:w="1073"/>
        <w:gridCol w:w="965"/>
        <w:gridCol w:w="1028"/>
        <w:gridCol w:w="868"/>
        <w:gridCol w:w="1008"/>
        <w:gridCol w:w="948"/>
      </w:tblGrid>
      <w:tr w14:paraId="0191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70480144">
            <w:pPr>
              <w:pStyle w:val="55"/>
              <w:autoSpaceDE w:val="0"/>
              <w:spacing w:line="360" w:lineRule="auto"/>
              <w:jc w:val="both"/>
              <w:rPr>
                <w:rFonts w:hint="default"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运营期</w:t>
            </w:r>
          </w:p>
        </w:tc>
        <w:tc>
          <w:tcPr>
            <w:tcW w:w="1295" w:type="dxa"/>
          </w:tcPr>
          <w:p w14:paraId="6AC81C4D">
            <w:pPr>
              <w:pStyle w:val="55"/>
              <w:autoSpaceDE w:val="0"/>
              <w:spacing w:line="360" w:lineRule="auto"/>
              <w:jc w:val="both"/>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建设期第0.5年</w:t>
            </w:r>
          </w:p>
        </w:tc>
        <w:tc>
          <w:tcPr>
            <w:tcW w:w="1030" w:type="dxa"/>
          </w:tcPr>
          <w:p w14:paraId="08BBF406">
            <w:pPr>
              <w:pStyle w:val="55"/>
              <w:autoSpaceDE w:val="0"/>
              <w:spacing w:line="360" w:lineRule="auto"/>
              <w:jc w:val="both"/>
              <w:rPr>
                <w:rFonts w:hint="default"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第0.5年</w:t>
            </w:r>
          </w:p>
        </w:tc>
        <w:tc>
          <w:tcPr>
            <w:tcW w:w="1073" w:type="dxa"/>
          </w:tcPr>
          <w:p w14:paraId="673D63B0">
            <w:pPr>
              <w:pStyle w:val="55"/>
              <w:autoSpaceDE w:val="0"/>
              <w:spacing w:line="360" w:lineRule="auto"/>
              <w:jc w:val="both"/>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第2年</w:t>
            </w:r>
          </w:p>
        </w:tc>
        <w:tc>
          <w:tcPr>
            <w:tcW w:w="965" w:type="dxa"/>
          </w:tcPr>
          <w:p w14:paraId="4CD24FE8">
            <w:pPr>
              <w:pStyle w:val="55"/>
              <w:autoSpaceDE w:val="0"/>
              <w:spacing w:line="360" w:lineRule="auto"/>
              <w:jc w:val="both"/>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第3年</w:t>
            </w:r>
          </w:p>
        </w:tc>
        <w:tc>
          <w:tcPr>
            <w:tcW w:w="1028" w:type="dxa"/>
            <w:vAlign w:val="top"/>
          </w:tcPr>
          <w:p w14:paraId="7AC573B5">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第4年</w:t>
            </w:r>
          </w:p>
        </w:tc>
        <w:tc>
          <w:tcPr>
            <w:tcW w:w="868" w:type="dxa"/>
            <w:vAlign w:val="top"/>
          </w:tcPr>
          <w:p w14:paraId="36F630E5">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第5年</w:t>
            </w:r>
          </w:p>
        </w:tc>
        <w:tc>
          <w:tcPr>
            <w:tcW w:w="1008" w:type="dxa"/>
            <w:vAlign w:val="top"/>
          </w:tcPr>
          <w:p w14:paraId="30754CF7">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第6年</w:t>
            </w:r>
          </w:p>
        </w:tc>
        <w:tc>
          <w:tcPr>
            <w:tcW w:w="948" w:type="dxa"/>
            <w:vAlign w:val="top"/>
          </w:tcPr>
          <w:p w14:paraId="78C33E36">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第7年</w:t>
            </w:r>
          </w:p>
        </w:tc>
      </w:tr>
      <w:tr w14:paraId="0C2D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tcPr>
          <w:p w14:paraId="37E52EBE">
            <w:pPr>
              <w:pStyle w:val="55"/>
              <w:autoSpaceDE w:val="0"/>
              <w:spacing w:line="360" w:lineRule="auto"/>
              <w:jc w:val="both"/>
              <w:rPr>
                <w:rFonts w:hint="default"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还本金额（不低于）</w:t>
            </w:r>
          </w:p>
        </w:tc>
        <w:tc>
          <w:tcPr>
            <w:tcW w:w="1295" w:type="dxa"/>
            <w:vAlign w:val="center"/>
          </w:tcPr>
          <w:p w14:paraId="61D4C3A5">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w:t>
            </w:r>
          </w:p>
        </w:tc>
        <w:tc>
          <w:tcPr>
            <w:tcW w:w="1030" w:type="dxa"/>
            <w:vAlign w:val="center"/>
          </w:tcPr>
          <w:p w14:paraId="1F9A9DD0">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150</w:t>
            </w:r>
          </w:p>
        </w:tc>
        <w:tc>
          <w:tcPr>
            <w:tcW w:w="1073" w:type="dxa"/>
            <w:vAlign w:val="center"/>
          </w:tcPr>
          <w:p w14:paraId="3D52DF5A">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320</w:t>
            </w:r>
          </w:p>
        </w:tc>
        <w:tc>
          <w:tcPr>
            <w:tcW w:w="965" w:type="dxa"/>
            <w:vAlign w:val="center"/>
          </w:tcPr>
          <w:p w14:paraId="2D5E1D5E">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340</w:t>
            </w:r>
          </w:p>
        </w:tc>
        <w:tc>
          <w:tcPr>
            <w:tcW w:w="1028" w:type="dxa"/>
            <w:vAlign w:val="center"/>
          </w:tcPr>
          <w:p w14:paraId="0126AF61">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350</w:t>
            </w:r>
          </w:p>
        </w:tc>
        <w:tc>
          <w:tcPr>
            <w:tcW w:w="868" w:type="dxa"/>
            <w:vAlign w:val="center"/>
          </w:tcPr>
          <w:p w14:paraId="37A4323B">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380</w:t>
            </w:r>
          </w:p>
        </w:tc>
        <w:tc>
          <w:tcPr>
            <w:tcW w:w="1008" w:type="dxa"/>
            <w:vAlign w:val="center"/>
          </w:tcPr>
          <w:p w14:paraId="365DAB81">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380</w:t>
            </w:r>
          </w:p>
        </w:tc>
        <w:tc>
          <w:tcPr>
            <w:tcW w:w="948" w:type="dxa"/>
            <w:vAlign w:val="center"/>
          </w:tcPr>
          <w:p w14:paraId="179274FC">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400</w:t>
            </w:r>
          </w:p>
        </w:tc>
      </w:tr>
      <w:tr w14:paraId="5CB9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vAlign w:val="top"/>
          </w:tcPr>
          <w:p w14:paraId="4D04173E">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运营期</w:t>
            </w:r>
          </w:p>
        </w:tc>
        <w:tc>
          <w:tcPr>
            <w:tcW w:w="1295" w:type="dxa"/>
            <w:vAlign w:val="top"/>
          </w:tcPr>
          <w:p w14:paraId="5A8E58D8">
            <w:pPr>
              <w:pStyle w:val="55"/>
              <w:autoSpaceDE w:val="0"/>
              <w:spacing w:line="360" w:lineRule="auto"/>
              <w:jc w:val="center"/>
              <w:rPr>
                <w:rFonts w:hint="eastAsia"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第8年</w:t>
            </w:r>
          </w:p>
        </w:tc>
        <w:tc>
          <w:tcPr>
            <w:tcW w:w="1030" w:type="dxa"/>
            <w:vAlign w:val="top"/>
          </w:tcPr>
          <w:p w14:paraId="35FCC055">
            <w:pPr>
              <w:pStyle w:val="55"/>
              <w:autoSpaceDE w:val="0"/>
              <w:spacing w:line="360" w:lineRule="auto"/>
              <w:jc w:val="both"/>
              <w:rPr>
                <w:rFonts w:hint="eastAsia"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第9年</w:t>
            </w:r>
          </w:p>
        </w:tc>
        <w:tc>
          <w:tcPr>
            <w:tcW w:w="1073" w:type="dxa"/>
            <w:vAlign w:val="top"/>
          </w:tcPr>
          <w:p w14:paraId="50231E60">
            <w:pPr>
              <w:pStyle w:val="55"/>
              <w:autoSpaceDE w:val="0"/>
              <w:spacing w:line="360" w:lineRule="auto"/>
              <w:jc w:val="both"/>
              <w:rPr>
                <w:rFonts w:hint="eastAsia"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第10年</w:t>
            </w:r>
          </w:p>
        </w:tc>
        <w:tc>
          <w:tcPr>
            <w:tcW w:w="965" w:type="dxa"/>
            <w:vAlign w:val="top"/>
          </w:tcPr>
          <w:p w14:paraId="061B6783">
            <w:pPr>
              <w:pStyle w:val="55"/>
              <w:autoSpaceDE w:val="0"/>
              <w:spacing w:line="360" w:lineRule="auto"/>
              <w:jc w:val="both"/>
              <w:rPr>
                <w:rFonts w:hint="eastAsia"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第11年</w:t>
            </w:r>
          </w:p>
        </w:tc>
        <w:tc>
          <w:tcPr>
            <w:tcW w:w="1028" w:type="dxa"/>
            <w:vAlign w:val="top"/>
          </w:tcPr>
          <w:p w14:paraId="3BC40C00">
            <w:pPr>
              <w:pStyle w:val="55"/>
              <w:autoSpaceDE w:val="0"/>
              <w:spacing w:line="360" w:lineRule="auto"/>
              <w:jc w:val="both"/>
              <w:rPr>
                <w:rFonts w:hint="eastAsia"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第12年</w:t>
            </w:r>
          </w:p>
        </w:tc>
        <w:tc>
          <w:tcPr>
            <w:tcW w:w="868" w:type="dxa"/>
            <w:vAlign w:val="top"/>
          </w:tcPr>
          <w:p w14:paraId="43A9BA7E">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p>
        </w:tc>
        <w:tc>
          <w:tcPr>
            <w:tcW w:w="1008" w:type="dxa"/>
            <w:vAlign w:val="top"/>
          </w:tcPr>
          <w:p w14:paraId="304EE6FC">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p>
        </w:tc>
        <w:tc>
          <w:tcPr>
            <w:tcW w:w="948" w:type="dxa"/>
            <w:vAlign w:val="top"/>
          </w:tcPr>
          <w:p w14:paraId="1707E126">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p>
        </w:tc>
      </w:tr>
      <w:tr w14:paraId="6DBF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03" w:type="dxa"/>
            <w:vAlign w:val="top"/>
          </w:tcPr>
          <w:p w14:paraId="362325F3">
            <w:pPr>
              <w:pStyle w:val="55"/>
              <w:autoSpaceDE w:val="0"/>
              <w:spacing w:line="360" w:lineRule="auto"/>
              <w:jc w:val="both"/>
              <w:rPr>
                <w:rFonts w:hint="eastAsia" w:ascii="仿宋" w:hAnsi="仿宋" w:eastAsia="仿宋" w:cs="宋体"/>
                <w:b/>
                <w:bCs/>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还本金额（不低于）</w:t>
            </w:r>
          </w:p>
        </w:tc>
        <w:tc>
          <w:tcPr>
            <w:tcW w:w="1295" w:type="dxa"/>
            <w:vAlign w:val="center"/>
          </w:tcPr>
          <w:p w14:paraId="7F0C7A11">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420</w:t>
            </w:r>
          </w:p>
        </w:tc>
        <w:tc>
          <w:tcPr>
            <w:tcW w:w="1030" w:type="dxa"/>
            <w:vAlign w:val="center"/>
          </w:tcPr>
          <w:p w14:paraId="48A4EDF4">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430</w:t>
            </w:r>
          </w:p>
        </w:tc>
        <w:tc>
          <w:tcPr>
            <w:tcW w:w="1073" w:type="dxa"/>
            <w:vAlign w:val="center"/>
          </w:tcPr>
          <w:p w14:paraId="2E1D430E">
            <w:pPr>
              <w:pStyle w:val="55"/>
              <w:autoSpaceDE w:val="0"/>
              <w:spacing w:line="360" w:lineRule="auto"/>
              <w:jc w:val="center"/>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450</w:t>
            </w:r>
          </w:p>
        </w:tc>
        <w:tc>
          <w:tcPr>
            <w:tcW w:w="965" w:type="dxa"/>
          </w:tcPr>
          <w:p w14:paraId="24AAA8A8">
            <w:pPr>
              <w:pStyle w:val="55"/>
              <w:keepNext w:val="0"/>
              <w:keepLines w:val="0"/>
              <w:pageBreakBefore w:val="0"/>
              <w:widowControl/>
              <w:kinsoku/>
              <w:wordWrap/>
              <w:overflowPunct/>
              <w:topLinePunct w:val="0"/>
              <w:autoSpaceDE w:val="0"/>
              <w:autoSpaceDN/>
              <w:bidi w:val="0"/>
              <w:adjustRightInd/>
              <w:snapToGrid/>
              <w:spacing w:before="219" w:beforeLines="70" w:after="219" w:afterLines="70" w:line="360" w:lineRule="auto"/>
              <w:jc w:val="center"/>
              <w:textAlignment w:val="auto"/>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480</w:t>
            </w:r>
          </w:p>
        </w:tc>
        <w:tc>
          <w:tcPr>
            <w:tcW w:w="1028" w:type="dxa"/>
          </w:tcPr>
          <w:p w14:paraId="2F402A1C">
            <w:pPr>
              <w:pStyle w:val="55"/>
              <w:keepNext w:val="0"/>
              <w:keepLines w:val="0"/>
              <w:pageBreakBefore w:val="0"/>
              <w:widowControl/>
              <w:kinsoku/>
              <w:wordWrap/>
              <w:overflowPunct/>
              <w:topLinePunct w:val="0"/>
              <w:autoSpaceDE w:val="0"/>
              <w:autoSpaceDN/>
              <w:bidi w:val="0"/>
              <w:adjustRightInd/>
              <w:snapToGrid/>
              <w:spacing w:before="219" w:beforeLines="70" w:after="219" w:afterLines="70" w:line="360" w:lineRule="auto"/>
              <w:jc w:val="center"/>
              <w:textAlignment w:val="auto"/>
              <w:rPr>
                <w:rFonts w:hint="default" w:ascii="仿宋" w:hAnsi="仿宋" w:eastAsia="仿宋" w:cs="宋体"/>
                <w:b w:val="0"/>
                <w:bCs w:val="0"/>
                <w:kern w:val="2"/>
                <w:sz w:val="21"/>
                <w:szCs w:val="21"/>
                <w:highlight w:val="none"/>
                <w:vertAlign w:val="baseline"/>
                <w:lang w:val="en-US" w:eastAsia="zh-CN" w:bidi="ar-SA"/>
              </w:rPr>
            </w:pPr>
            <w:r>
              <w:rPr>
                <w:rFonts w:hint="eastAsia" w:ascii="仿宋" w:hAnsi="仿宋" w:eastAsia="仿宋" w:cs="宋体"/>
                <w:b w:val="0"/>
                <w:bCs w:val="0"/>
                <w:kern w:val="2"/>
                <w:sz w:val="21"/>
                <w:szCs w:val="21"/>
                <w:highlight w:val="none"/>
                <w:vertAlign w:val="baseline"/>
                <w:lang w:val="en-US" w:eastAsia="zh-CN" w:bidi="ar-SA"/>
              </w:rPr>
              <w:t>500</w:t>
            </w:r>
          </w:p>
        </w:tc>
        <w:tc>
          <w:tcPr>
            <w:tcW w:w="868" w:type="dxa"/>
          </w:tcPr>
          <w:p w14:paraId="1101535E">
            <w:pPr>
              <w:pStyle w:val="55"/>
              <w:keepNext w:val="0"/>
              <w:keepLines w:val="0"/>
              <w:pageBreakBefore w:val="0"/>
              <w:widowControl/>
              <w:kinsoku/>
              <w:wordWrap/>
              <w:overflowPunct/>
              <w:topLinePunct w:val="0"/>
              <w:autoSpaceDE w:val="0"/>
              <w:autoSpaceDN/>
              <w:bidi w:val="0"/>
              <w:adjustRightInd/>
              <w:snapToGrid/>
              <w:spacing w:before="219" w:beforeLines="70" w:after="219" w:afterLines="70" w:line="360" w:lineRule="auto"/>
              <w:jc w:val="center"/>
              <w:textAlignment w:val="auto"/>
              <w:rPr>
                <w:rFonts w:hint="default" w:ascii="仿宋" w:hAnsi="仿宋" w:eastAsia="仿宋" w:cs="宋体"/>
                <w:b w:val="0"/>
                <w:bCs w:val="0"/>
                <w:kern w:val="2"/>
                <w:sz w:val="21"/>
                <w:szCs w:val="21"/>
                <w:highlight w:val="none"/>
                <w:vertAlign w:val="baseline"/>
                <w:lang w:val="en-US" w:eastAsia="zh-CN" w:bidi="ar-SA"/>
              </w:rPr>
            </w:pPr>
          </w:p>
        </w:tc>
        <w:tc>
          <w:tcPr>
            <w:tcW w:w="1008" w:type="dxa"/>
          </w:tcPr>
          <w:p w14:paraId="45E0C4AD">
            <w:pPr>
              <w:pStyle w:val="55"/>
              <w:keepNext w:val="0"/>
              <w:keepLines w:val="0"/>
              <w:pageBreakBefore w:val="0"/>
              <w:widowControl/>
              <w:kinsoku/>
              <w:wordWrap/>
              <w:overflowPunct/>
              <w:topLinePunct w:val="0"/>
              <w:autoSpaceDE w:val="0"/>
              <w:autoSpaceDN/>
              <w:bidi w:val="0"/>
              <w:adjustRightInd/>
              <w:snapToGrid/>
              <w:spacing w:before="219" w:beforeLines="70" w:after="219" w:afterLines="70" w:line="360" w:lineRule="auto"/>
              <w:jc w:val="center"/>
              <w:textAlignment w:val="auto"/>
              <w:rPr>
                <w:rFonts w:hint="default" w:ascii="仿宋" w:hAnsi="仿宋" w:eastAsia="仿宋" w:cs="宋体"/>
                <w:b w:val="0"/>
                <w:bCs w:val="0"/>
                <w:kern w:val="2"/>
                <w:sz w:val="21"/>
                <w:szCs w:val="21"/>
                <w:highlight w:val="none"/>
                <w:vertAlign w:val="baseline"/>
                <w:lang w:val="en-US" w:eastAsia="zh-CN" w:bidi="ar-SA"/>
              </w:rPr>
            </w:pPr>
          </w:p>
        </w:tc>
        <w:tc>
          <w:tcPr>
            <w:tcW w:w="948" w:type="dxa"/>
          </w:tcPr>
          <w:p w14:paraId="03C888DB">
            <w:pPr>
              <w:pStyle w:val="55"/>
              <w:keepNext w:val="0"/>
              <w:keepLines w:val="0"/>
              <w:pageBreakBefore w:val="0"/>
              <w:widowControl/>
              <w:kinsoku/>
              <w:wordWrap/>
              <w:overflowPunct/>
              <w:topLinePunct w:val="0"/>
              <w:autoSpaceDE w:val="0"/>
              <w:autoSpaceDN/>
              <w:bidi w:val="0"/>
              <w:adjustRightInd/>
              <w:snapToGrid/>
              <w:spacing w:before="219" w:beforeLines="70" w:after="219" w:afterLines="70" w:line="360" w:lineRule="auto"/>
              <w:jc w:val="center"/>
              <w:textAlignment w:val="auto"/>
              <w:rPr>
                <w:rFonts w:hint="default" w:ascii="仿宋" w:hAnsi="仿宋" w:eastAsia="仿宋" w:cs="宋体"/>
                <w:b w:val="0"/>
                <w:bCs w:val="0"/>
                <w:kern w:val="2"/>
                <w:sz w:val="21"/>
                <w:szCs w:val="21"/>
                <w:highlight w:val="none"/>
                <w:vertAlign w:val="baseline"/>
                <w:lang w:val="en-US" w:eastAsia="zh-CN" w:bidi="ar-SA"/>
              </w:rPr>
            </w:pPr>
          </w:p>
        </w:tc>
      </w:tr>
    </w:tbl>
    <w:p w14:paraId="70CEB717">
      <w:pPr>
        <w:pStyle w:val="55"/>
        <w:autoSpaceDE w:val="0"/>
        <w:spacing w:line="360" w:lineRule="auto"/>
        <w:jc w:val="both"/>
        <w:rPr>
          <w:rFonts w:ascii="仿宋" w:hAnsi="仿宋" w:eastAsia="仿宋" w:cstheme="minorEastAsia"/>
          <w:kern w:val="2"/>
          <w:sz w:val="28"/>
          <w:szCs w:val="28"/>
        </w:rPr>
      </w:pPr>
      <w:r>
        <w:rPr>
          <w:rFonts w:hint="eastAsia" w:ascii="仿宋" w:hAnsi="仿宋" w:eastAsia="仿宋" w:cstheme="minorEastAsia"/>
          <w:kern w:val="2"/>
          <w:sz w:val="28"/>
          <w:szCs w:val="28"/>
        </w:rPr>
        <w:t>四、其他需要说明的事项</w:t>
      </w:r>
    </w:p>
    <w:p w14:paraId="3197375F">
      <w:pPr>
        <w:pStyle w:val="55"/>
        <w:autoSpaceDE w:val="0"/>
        <w:spacing w:line="360" w:lineRule="auto"/>
        <w:ind w:firstLine="480" w:firstLineChars="200"/>
        <w:jc w:val="both"/>
        <w:rPr>
          <w:rFonts w:hint="default"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无。</w:t>
      </w:r>
    </w:p>
    <w:p w14:paraId="4E1497AE">
      <w:pPr>
        <w:rPr>
          <w:rFonts w:hint="eastAsia"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br w:type="page"/>
      </w:r>
    </w:p>
    <w:p w14:paraId="2FACE4F4">
      <w:pPr>
        <w:pStyle w:val="2"/>
        <w:spacing w:before="0" w:after="0" w:line="360" w:lineRule="auto"/>
        <w:jc w:val="center"/>
        <w:rPr>
          <w:rFonts w:hint="eastAsia"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t>第二章 项目参与人评价</w:t>
      </w:r>
    </w:p>
    <w:p w14:paraId="57F9B5C2">
      <w:p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一、借款人分析</w:t>
      </w:r>
    </w:p>
    <w:p w14:paraId="02618B7B">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（一）借款人基本信息表</w:t>
      </w:r>
    </w:p>
    <w:tbl>
      <w:tblPr>
        <w:tblStyle w:val="22"/>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2"/>
        <w:gridCol w:w="2407"/>
        <w:gridCol w:w="932"/>
        <w:gridCol w:w="1069"/>
        <w:gridCol w:w="935"/>
        <w:gridCol w:w="930"/>
        <w:gridCol w:w="854"/>
      </w:tblGrid>
      <w:tr w14:paraId="0E44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72BC5907">
            <w:pPr>
              <w:rPr>
                <w:rFonts w:ascii="仿宋" w:hAnsi="仿宋" w:eastAsia="仿宋" w:cs="宋体"/>
                <w:szCs w:val="21"/>
              </w:rPr>
            </w:pPr>
            <w:r>
              <w:rPr>
                <w:rFonts w:hint="eastAsia" w:ascii="仿宋" w:hAnsi="仿宋" w:eastAsia="仿宋"/>
                <w:szCs w:val="21"/>
              </w:rPr>
              <w:t>借款人名称</w:t>
            </w:r>
          </w:p>
        </w:tc>
        <w:tc>
          <w:tcPr>
            <w:tcW w:w="71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927738A">
            <w:pPr>
              <w:rPr>
                <w:rFonts w:ascii="仿宋" w:hAnsi="仿宋" w:eastAsia="仿宋" w:cs="宋体"/>
                <w:szCs w:val="21"/>
              </w:rPr>
            </w:pPr>
            <w:r>
              <w:rPr>
                <w:rFonts w:hint="eastAsia" w:ascii="仿宋" w:hAnsi="仿宋" w:eastAsia="仿宋" w:cs="宋体"/>
                <w:szCs w:val="21"/>
              </w:rPr>
              <w:t>河南中原智慧冷链物流园管理运营有限公司</w:t>
            </w:r>
          </w:p>
        </w:tc>
      </w:tr>
      <w:tr w14:paraId="3E7E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50BE573A">
            <w:pPr>
              <w:rPr>
                <w:rFonts w:ascii="仿宋" w:hAnsi="仿宋" w:eastAsia="仿宋" w:cs="宋体"/>
                <w:szCs w:val="21"/>
              </w:rPr>
            </w:pPr>
            <w:r>
              <w:rPr>
                <w:rFonts w:hint="eastAsia" w:ascii="仿宋" w:hAnsi="仿宋" w:eastAsia="仿宋"/>
                <w:szCs w:val="21"/>
              </w:rPr>
              <w:t>注册地址</w:t>
            </w:r>
          </w:p>
        </w:tc>
        <w:tc>
          <w:tcPr>
            <w:tcW w:w="71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B7B141">
            <w:pPr>
              <w:rPr>
                <w:rFonts w:ascii="仿宋" w:hAnsi="仿宋" w:eastAsia="仿宋" w:cs="宋体"/>
                <w:szCs w:val="21"/>
              </w:rPr>
            </w:pPr>
            <w:r>
              <w:rPr>
                <w:rFonts w:hint="eastAsia" w:ascii="仿宋" w:hAnsi="仿宋" w:eastAsia="仿宋" w:cs="宋体"/>
                <w:szCs w:val="21"/>
              </w:rPr>
              <w:t>河南省新乡市获嘉县产业集聚区416室</w:t>
            </w:r>
          </w:p>
        </w:tc>
      </w:tr>
      <w:tr w14:paraId="1FD7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6FECFEFD">
            <w:pPr>
              <w:rPr>
                <w:rFonts w:ascii="仿宋" w:hAnsi="仿宋" w:eastAsia="仿宋" w:cs="宋体"/>
                <w:szCs w:val="21"/>
              </w:rPr>
            </w:pPr>
            <w:r>
              <w:rPr>
                <w:rFonts w:hint="eastAsia" w:ascii="仿宋" w:hAnsi="仿宋" w:eastAsia="仿宋"/>
                <w:szCs w:val="21"/>
              </w:rPr>
              <w:t>成立时间</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14:paraId="72E5E72C">
            <w:pPr>
              <w:rPr>
                <w:rFonts w:hint="default" w:ascii="仿宋" w:hAnsi="仿宋" w:eastAsia="仿宋" w:cs="宋体"/>
                <w:szCs w:val="21"/>
                <w:lang w:val="en-US" w:eastAsia="zh-CN"/>
              </w:rPr>
            </w:pPr>
            <w:r>
              <w:rPr>
                <w:rFonts w:hint="eastAsia" w:ascii="仿宋" w:hAnsi="仿宋" w:eastAsia="仿宋" w:cs="Arial"/>
                <w:szCs w:val="21"/>
                <w:lang w:val="en-GB"/>
              </w:rPr>
              <w:t>20</w:t>
            </w:r>
            <w:r>
              <w:rPr>
                <w:rFonts w:hint="eastAsia" w:ascii="仿宋" w:hAnsi="仿宋" w:eastAsia="仿宋" w:cs="Arial"/>
                <w:szCs w:val="21"/>
                <w:lang w:val="en-US" w:eastAsia="zh-CN"/>
              </w:rPr>
              <w:t>21</w:t>
            </w:r>
            <w:r>
              <w:rPr>
                <w:rFonts w:hint="eastAsia" w:ascii="仿宋" w:hAnsi="仿宋" w:eastAsia="仿宋" w:cs="Arial"/>
                <w:szCs w:val="21"/>
                <w:lang w:val="en-GB"/>
              </w:rPr>
              <w:t>.</w:t>
            </w:r>
            <w:r>
              <w:rPr>
                <w:rFonts w:hint="eastAsia" w:ascii="仿宋" w:hAnsi="仿宋" w:eastAsia="仿宋" w:cs="Arial"/>
                <w:szCs w:val="21"/>
                <w:lang w:val="en-US" w:eastAsia="zh-CN"/>
              </w:rPr>
              <w:t>12</w:t>
            </w:r>
            <w:r>
              <w:rPr>
                <w:rFonts w:hint="eastAsia" w:ascii="仿宋" w:hAnsi="仿宋" w:eastAsia="仿宋" w:cs="Arial"/>
                <w:szCs w:val="21"/>
                <w:lang w:val="en-GB"/>
              </w:rPr>
              <w:t>.</w:t>
            </w:r>
            <w:r>
              <w:rPr>
                <w:rFonts w:hint="eastAsia" w:ascii="仿宋" w:hAnsi="仿宋" w:eastAsia="仿宋" w:cs="Arial"/>
                <w:szCs w:val="21"/>
                <w:lang w:val="en-US" w:eastAsia="zh-CN"/>
              </w:rPr>
              <w:t>02</w:t>
            </w: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889AD3">
            <w:pPr>
              <w:rPr>
                <w:rFonts w:ascii="仿宋" w:hAnsi="仿宋" w:eastAsia="仿宋" w:cs="宋体"/>
                <w:szCs w:val="21"/>
              </w:rPr>
            </w:pPr>
            <w:r>
              <w:rPr>
                <w:rFonts w:hint="eastAsia" w:ascii="仿宋" w:hAnsi="仿宋" w:eastAsia="仿宋" w:cs="宋体"/>
                <w:szCs w:val="21"/>
              </w:rPr>
              <w:t>法人代表</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CFC582">
            <w:pPr>
              <w:rPr>
                <w:rFonts w:hint="default" w:ascii="仿宋" w:hAnsi="仿宋" w:eastAsia="仿宋" w:cs="宋体"/>
                <w:szCs w:val="21"/>
                <w:lang w:val="en-US" w:eastAsia="zh-CN"/>
              </w:rPr>
            </w:pPr>
            <w:r>
              <w:rPr>
                <w:rFonts w:hint="eastAsia" w:ascii="仿宋" w:hAnsi="仿宋" w:eastAsia="仿宋" w:cs="宋体"/>
                <w:szCs w:val="21"/>
                <w:lang w:val="en-US" w:eastAsia="zh-CN"/>
              </w:rPr>
              <w:t>马金全</w:t>
            </w:r>
          </w:p>
        </w:tc>
      </w:tr>
      <w:tr w14:paraId="5842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26F50B7D">
            <w:pPr>
              <w:rPr>
                <w:rFonts w:ascii="仿宋" w:hAnsi="仿宋" w:eastAsia="仿宋" w:cs="宋体"/>
                <w:szCs w:val="21"/>
              </w:rPr>
            </w:pPr>
            <w:r>
              <w:rPr>
                <w:rFonts w:hint="eastAsia" w:ascii="仿宋" w:hAnsi="仿宋" w:eastAsia="仿宋"/>
                <w:szCs w:val="21"/>
              </w:rPr>
              <w:t>实际控制人</w:t>
            </w:r>
          </w:p>
        </w:tc>
        <w:tc>
          <w:tcPr>
            <w:tcW w:w="71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7B6190D">
            <w:pPr>
              <w:rPr>
                <w:rFonts w:hint="default" w:ascii="仿宋" w:hAnsi="仿宋" w:eastAsia="仿宋" w:cs="宋体"/>
                <w:szCs w:val="21"/>
                <w:lang w:val="en-US" w:eastAsia="zh-CN"/>
              </w:rPr>
            </w:pPr>
            <w:r>
              <w:rPr>
                <w:rFonts w:hint="eastAsia" w:ascii="仿宋" w:hAnsi="仿宋" w:eastAsia="仿宋" w:cs="宋体"/>
                <w:szCs w:val="21"/>
                <w:lang w:val="en-US" w:eastAsia="zh-CN"/>
              </w:rPr>
              <w:t>获嘉县国有资产事务中心</w:t>
            </w:r>
          </w:p>
        </w:tc>
      </w:tr>
      <w:tr w14:paraId="5A6B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0AB20A9A">
            <w:pPr>
              <w:rPr>
                <w:rFonts w:ascii="仿宋" w:hAnsi="仿宋" w:eastAsia="仿宋" w:cs="宋体"/>
                <w:szCs w:val="21"/>
              </w:rPr>
            </w:pPr>
            <w:r>
              <w:rPr>
                <w:rFonts w:hint="eastAsia" w:ascii="仿宋" w:hAnsi="仿宋" w:eastAsia="仿宋"/>
                <w:szCs w:val="21"/>
              </w:rPr>
              <w:t>经营范围</w:t>
            </w:r>
          </w:p>
        </w:tc>
        <w:tc>
          <w:tcPr>
            <w:tcW w:w="712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177F8D">
            <w:pPr>
              <w:rPr>
                <w:rFonts w:hint="eastAsia" w:ascii="仿宋" w:hAnsi="仿宋" w:eastAsia="仿宋" w:cs="宋体"/>
                <w:szCs w:val="21"/>
                <w:lang w:eastAsia="zh-CN"/>
              </w:rPr>
            </w:pPr>
            <w:r>
              <w:rPr>
                <w:rFonts w:hint="eastAsia" w:ascii="仿宋" w:hAnsi="仿宋" w:eastAsia="仿宋" w:cs="宋体"/>
                <w:szCs w:val="21"/>
                <w:lang w:eastAsia="zh-CN"/>
              </w:rPr>
              <w:t>一般项目：园区管理服务；商业综合体管理服务；供应链管理服务；税务服务；信息咨询服务（不含许可类信息咨询服务）；社会经济咨询服务；环保咨询服务；安全咨询服务；会议及展览服务；企业管理咨询；劳务服务（不含劳务派遣）；融资咨询服务；食品销售（仅销售预包装食品）；农产品的生产、销售、加工、运输、贮藏及其他相关服务；初级农产品收购；普通货物仓储服务（不含危险化学品等需许可审批的项目）；低温仓储（不含危险化学品等需许可审批的项目）；国内货物运输代理；林业产品销售；木材销售；礼品花卉销售；建筑材料销售；金属材料销售（除依法须经批准的项目外，凭营业执照依法自主开展经营活动）。</w:t>
            </w:r>
          </w:p>
        </w:tc>
      </w:tr>
      <w:tr w14:paraId="5FC4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2291488A">
            <w:pPr>
              <w:rPr>
                <w:rFonts w:ascii="仿宋" w:hAnsi="仿宋" w:eastAsia="仿宋" w:cs="宋体"/>
                <w:szCs w:val="21"/>
              </w:rPr>
            </w:pPr>
            <w:r>
              <w:rPr>
                <w:rFonts w:hint="eastAsia" w:ascii="仿宋" w:hAnsi="仿宋" w:eastAsia="仿宋"/>
                <w:color w:val="000000" w:themeColor="text1"/>
                <w:szCs w:val="21"/>
                <w14:textFill>
                  <w14:solidFill>
                    <w14:schemeClr w14:val="tx1"/>
                  </w14:solidFill>
                </w14:textFill>
              </w:rPr>
              <w:t>所有制类别</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14:paraId="042FAEC3">
            <w:pPr>
              <w:rPr>
                <w:rFonts w:hint="eastAsia" w:ascii="仿宋" w:hAnsi="仿宋" w:eastAsia="仿宋" w:cs="宋体"/>
                <w:szCs w:val="21"/>
                <w:lang w:eastAsia="zh-CN"/>
              </w:rPr>
            </w:pPr>
            <w:r>
              <w:rPr>
                <w:rFonts w:hint="eastAsia" w:ascii="仿宋" w:hAnsi="仿宋" w:eastAsia="仿宋" w:cs="宋体"/>
                <w:szCs w:val="21"/>
                <w:lang w:val="en-US" w:eastAsia="zh-CN"/>
              </w:rPr>
              <w:t>有限责任</w:t>
            </w: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3426F4">
            <w:pPr>
              <w:rPr>
                <w:rFonts w:ascii="仿宋" w:hAnsi="仿宋" w:eastAsia="仿宋" w:cs="宋体"/>
                <w:szCs w:val="21"/>
              </w:rPr>
            </w:pPr>
            <w:r>
              <w:rPr>
                <w:rFonts w:hint="eastAsia" w:ascii="仿宋" w:hAnsi="仿宋" w:eastAsia="仿宋"/>
                <w:szCs w:val="21"/>
              </w:rPr>
              <w:t>组织类别</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2373E">
            <w:pPr>
              <w:rPr>
                <w:rFonts w:ascii="仿宋" w:hAnsi="仿宋" w:eastAsia="仿宋" w:cs="宋体"/>
                <w:szCs w:val="21"/>
              </w:rPr>
            </w:pPr>
          </w:p>
        </w:tc>
      </w:tr>
      <w:tr w14:paraId="27B3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63FAFADE">
            <w:pPr>
              <w:rPr>
                <w:rFonts w:ascii="仿宋" w:hAnsi="仿宋" w:eastAsia="仿宋" w:cs="宋体"/>
                <w:szCs w:val="21"/>
              </w:rPr>
            </w:pPr>
            <w:r>
              <w:rPr>
                <w:rFonts w:hint="eastAsia" w:ascii="仿宋" w:hAnsi="仿宋" w:eastAsia="仿宋"/>
                <w:szCs w:val="21"/>
              </w:rPr>
              <w:t>行业(国民经济行业分类标准)</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14:paraId="2FCF72F0">
            <w:pPr>
              <w:rPr>
                <w:rFonts w:hint="default" w:ascii="仿宋" w:hAnsi="仿宋" w:eastAsia="仿宋" w:cs="宋体"/>
                <w:color w:val="FF0000"/>
                <w:szCs w:val="21"/>
                <w:lang w:val="en-US" w:eastAsia="zh-CN"/>
              </w:rPr>
            </w:pP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3A08D3">
            <w:pPr>
              <w:rPr>
                <w:rFonts w:ascii="仿宋" w:hAnsi="仿宋" w:eastAsia="仿宋" w:cs="宋体"/>
                <w:szCs w:val="21"/>
              </w:rPr>
            </w:pPr>
            <w:r>
              <w:rPr>
                <w:rFonts w:hint="eastAsia" w:ascii="仿宋" w:hAnsi="仿宋" w:eastAsia="仿宋" w:cs="宋体"/>
                <w:szCs w:val="21"/>
              </w:rPr>
              <w:t>主要产品及产能利用率</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F97154">
            <w:pPr>
              <w:rPr>
                <w:rFonts w:hint="default" w:ascii="仿宋" w:hAnsi="仿宋" w:eastAsia="仿宋" w:cs="宋体"/>
                <w:szCs w:val="21"/>
                <w:lang w:val="en-US" w:eastAsia="zh-CN"/>
              </w:rPr>
            </w:pPr>
          </w:p>
        </w:tc>
      </w:tr>
      <w:tr w14:paraId="47B8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320A9517">
            <w:pPr>
              <w:rPr>
                <w:rFonts w:ascii="仿宋" w:hAnsi="仿宋" w:eastAsia="仿宋" w:cs="宋体"/>
                <w:szCs w:val="21"/>
              </w:rPr>
            </w:pPr>
            <w:r>
              <w:rPr>
                <w:rFonts w:hint="eastAsia" w:ascii="仿宋" w:hAnsi="仿宋" w:eastAsia="仿宋"/>
                <w:szCs w:val="21"/>
              </w:rPr>
              <w:t>注册资本（万元）</w:t>
            </w:r>
          </w:p>
        </w:tc>
        <w:tc>
          <w:tcPr>
            <w:tcW w:w="2407" w:type="dxa"/>
            <w:tcBorders>
              <w:top w:val="single" w:color="auto" w:sz="4" w:space="0"/>
              <w:left w:val="single" w:color="auto" w:sz="4" w:space="0"/>
              <w:bottom w:val="single" w:color="auto" w:sz="4" w:space="0"/>
              <w:right w:val="single" w:color="auto" w:sz="4" w:space="0"/>
            </w:tcBorders>
            <w:shd w:val="clear" w:color="auto" w:fill="auto"/>
            <w:vAlign w:val="center"/>
          </w:tcPr>
          <w:p w14:paraId="4EE1E5C1">
            <w:pPr>
              <w:rPr>
                <w:rFonts w:hint="default" w:ascii="仿宋" w:hAnsi="仿宋" w:eastAsia="仿宋" w:cs="宋体"/>
                <w:szCs w:val="21"/>
                <w:lang w:val="en-US" w:eastAsia="zh-CN"/>
              </w:rPr>
            </w:pPr>
            <w:r>
              <w:rPr>
                <w:rFonts w:hint="eastAsia" w:ascii="仿宋" w:hAnsi="仿宋" w:eastAsia="仿宋" w:cs="宋体"/>
                <w:szCs w:val="21"/>
                <w:lang w:val="en-US" w:eastAsia="zh-CN"/>
              </w:rPr>
              <w:t>100</w:t>
            </w:r>
          </w:p>
        </w:tc>
        <w:tc>
          <w:tcPr>
            <w:tcW w:w="29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729D3A">
            <w:pPr>
              <w:rPr>
                <w:rFonts w:ascii="仿宋" w:hAnsi="仿宋" w:eastAsia="仿宋" w:cs="宋体"/>
                <w:szCs w:val="21"/>
              </w:rPr>
            </w:pPr>
            <w:r>
              <w:rPr>
                <w:rFonts w:hint="eastAsia" w:ascii="仿宋" w:hAnsi="仿宋" w:eastAsia="仿宋"/>
                <w:szCs w:val="21"/>
              </w:rPr>
              <w:t>注册资本到位率（%）</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E850C8">
            <w:pPr>
              <w:rPr>
                <w:rFonts w:hint="default" w:ascii="仿宋" w:hAnsi="仿宋" w:eastAsia="仿宋" w:cs="宋体"/>
                <w:szCs w:val="21"/>
                <w:lang w:val="en-US" w:eastAsia="zh-CN"/>
              </w:rPr>
            </w:pPr>
          </w:p>
        </w:tc>
      </w:tr>
      <w:tr w14:paraId="6632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restart"/>
            <w:tcBorders>
              <w:top w:val="single" w:color="auto" w:sz="4" w:space="0"/>
              <w:left w:val="single" w:color="auto" w:sz="4" w:space="0"/>
              <w:right w:val="single" w:color="auto" w:sz="4" w:space="0"/>
            </w:tcBorders>
            <w:shd w:val="clear" w:color="auto" w:fill="auto"/>
            <w:tcMar>
              <w:top w:w="15" w:type="dxa"/>
              <w:left w:w="15" w:type="dxa"/>
              <w:bottom w:w="15" w:type="dxa"/>
              <w:right w:w="15" w:type="dxa"/>
            </w:tcMar>
            <w:vAlign w:val="center"/>
          </w:tcPr>
          <w:p w14:paraId="73393F06">
            <w:pPr>
              <w:jc w:val="center"/>
              <w:rPr>
                <w:rFonts w:ascii="仿宋" w:hAnsi="仿宋" w:eastAsia="仿宋" w:cs="宋体"/>
                <w:szCs w:val="21"/>
              </w:rPr>
            </w:pPr>
            <w:r>
              <w:rPr>
                <w:rFonts w:hint="eastAsia" w:ascii="仿宋" w:hAnsi="仿宋" w:eastAsia="仿宋"/>
                <w:szCs w:val="21"/>
              </w:rPr>
              <w:t>财务情况</w:t>
            </w:r>
          </w:p>
          <w:p w14:paraId="61E52F41">
            <w:pPr>
              <w:jc w:val="center"/>
              <w:rPr>
                <w:rFonts w:ascii="仿宋" w:hAnsi="仿宋" w:eastAsia="仿宋"/>
                <w:szCs w:val="21"/>
              </w:rPr>
            </w:pPr>
            <w:r>
              <w:rPr>
                <w:rFonts w:hint="eastAsia" w:ascii="仿宋" w:hAnsi="仿宋" w:eastAsia="仿宋"/>
                <w:szCs w:val="21"/>
              </w:rPr>
              <w:t>（单位：万元）</w:t>
            </w: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713FF36">
            <w:pPr>
              <w:rPr>
                <w:rFonts w:ascii="仿宋" w:hAnsi="仿宋" w:eastAsia="仿宋" w:cs="宋体"/>
                <w:szCs w:val="21"/>
              </w:rPr>
            </w:pPr>
            <w:r>
              <w:rPr>
                <w:rFonts w:hint="eastAsia" w:ascii="仿宋" w:hAnsi="仿宋" w:eastAsia="仿宋"/>
                <w:szCs w:val="21"/>
              </w:rPr>
              <w:t>报告期</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DB704DE">
            <w:pPr>
              <w:rPr>
                <w:rFonts w:ascii="仿宋" w:hAnsi="仿宋" w:eastAsia="仿宋" w:cs="宋体"/>
                <w:color w:val="FF0000"/>
                <w:szCs w:val="21"/>
              </w:rPr>
            </w:pPr>
            <w:r>
              <w:rPr>
                <w:rFonts w:hint="eastAsia" w:ascii="仿宋" w:hAnsi="仿宋" w:eastAsia="仿宋" w:cs="宋体"/>
                <w:color w:val="FF0000"/>
                <w:szCs w:val="21"/>
              </w:rPr>
              <w:t>前三年</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0D721DE7">
            <w:pPr>
              <w:rPr>
                <w:rFonts w:ascii="仿宋" w:hAnsi="仿宋" w:eastAsia="仿宋" w:cs="宋体"/>
                <w:color w:val="FF0000"/>
                <w:szCs w:val="21"/>
              </w:rPr>
            </w:pPr>
            <w:r>
              <w:rPr>
                <w:rFonts w:hint="eastAsia" w:ascii="仿宋" w:hAnsi="仿宋" w:eastAsia="仿宋" w:cs="宋体"/>
                <w:color w:val="FF0000"/>
                <w:szCs w:val="21"/>
              </w:rPr>
              <w:t>前二年</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34CABD51">
            <w:pPr>
              <w:rPr>
                <w:rFonts w:ascii="仿宋" w:hAnsi="仿宋" w:eastAsia="仿宋" w:cs="宋体"/>
                <w:color w:val="FF0000"/>
                <w:szCs w:val="21"/>
              </w:rPr>
            </w:pPr>
            <w:r>
              <w:rPr>
                <w:rFonts w:hint="eastAsia" w:ascii="仿宋" w:hAnsi="仿宋" w:eastAsia="仿宋" w:cs="宋体"/>
                <w:color w:val="FF0000"/>
                <w:szCs w:val="21"/>
              </w:rPr>
              <w:t>前一年</w:t>
            </w: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D910BCF">
            <w:pPr>
              <w:rPr>
                <w:rFonts w:ascii="仿宋" w:hAnsi="仿宋" w:eastAsia="仿宋" w:cs="宋体"/>
                <w:color w:val="FF0000"/>
                <w:szCs w:val="21"/>
              </w:rPr>
            </w:pPr>
            <w:r>
              <w:rPr>
                <w:rFonts w:hint="eastAsia" w:ascii="仿宋" w:hAnsi="仿宋" w:eastAsia="仿宋" w:cs="宋体"/>
                <w:color w:val="FF0000"/>
                <w:szCs w:val="21"/>
              </w:rPr>
              <w:t>最近一期</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7381A897">
            <w:pPr>
              <w:ind w:firstLine="105" w:firstLineChars="50"/>
              <w:rPr>
                <w:rFonts w:ascii="仿宋" w:hAnsi="仿宋" w:eastAsia="仿宋" w:cs="宋体"/>
                <w:color w:val="FF0000"/>
                <w:szCs w:val="21"/>
              </w:rPr>
            </w:pPr>
            <w:r>
              <w:rPr>
                <w:rFonts w:hint="eastAsia" w:ascii="仿宋" w:hAnsi="仿宋" w:eastAsia="仿宋" w:cs="宋体"/>
                <w:color w:val="FF0000"/>
                <w:szCs w:val="21"/>
              </w:rPr>
              <w:t>备注</w:t>
            </w:r>
          </w:p>
        </w:tc>
      </w:tr>
      <w:tr w14:paraId="363F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vAlign w:val="center"/>
          </w:tcPr>
          <w:p w14:paraId="209BF5CF">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077196">
            <w:pPr>
              <w:rPr>
                <w:rFonts w:ascii="仿宋" w:hAnsi="仿宋" w:eastAsia="仿宋" w:cs="宋体"/>
                <w:szCs w:val="21"/>
              </w:rPr>
            </w:pPr>
            <w:r>
              <w:rPr>
                <w:rFonts w:hint="eastAsia" w:ascii="仿宋" w:hAnsi="仿宋" w:eastAsia="仿宋"/>
                <w:szCs w:val="21"/>
              </w:rPr>
              <w:t>总资产</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8211BB8">
            <w:pPr>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5F130D3">
            <w:pPr>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718DB701">
            <w:pPr>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75CBCD6">
            <w:pPr>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81C81F">
            <w:pPr>
              <w:rPr>
                <w:rFonts w:ascii="仿宋" w:hAnsi="仿宋" w:eastAsia="仿宋" w:cs="宋体"/>
                <w:szCs w:val="21"/>
              </w:rPr>
            </w:pPr>
          </w:p>
        </w:tc>
      </w:tr>
      <w:tr w14:paraId="7F8F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vAlign w:val="center"/>
          </w:tcPr>
          <w:p w14:paraId="303B732D">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85BBC8">
            <w:pPr>
              <w:spacing w:line="375" w:lineRule="atLeast"/>
              <w:rPr>
                <w:rFonts w:ascii="仿宋" w:hAnsi="仿宋" w:eastAsia="仿宋" w:cs="宋体"/>
                <w:szCs w:val="21"/>
              </w:rPr>
            </w:pPr>
            <w:r>
              <w:rPr>
                <w:rFonts w:hint="eastAsia" w:ascii="仿宋" w:hAnsi="仿宋" w:eastAsia="仿宋"/>
                <w:szCs w:val="21"/>
              </w:rPr>
              <w:t>其中：货币资金</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1B46F6">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18F113">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50AB58E0">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40B19C12">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F1F5AE3">
            <w:pPr>
              <w:spacing w:line="375" w:lineRule="atLeast"/>
              <w:rPr>
                <w:rFonts w:ascii="仿宋" w:hAnsi="仿宋" w:eastAsia="仿宋" w:cs="宋体"/>
                <w:szCs w:val="21"/>
              </w:rPr>
            </w:pPr>
          </w:p>
        </w:tc>
      </w:tr>
      <w:tr w14:paraId="3550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32" w:type="dxa"/>
            <w:vMerge w:val="continue"/>
            <w:tcBorders>
              <w:left w:val="single" w:color="auto" w:sz="4" w:space="0"/>
              <w:right w:val="single" w:color="auto" w:sz="4" w:space="0"/>
            </w:tcBorders>
            <w:shd w:val="clear" w:color="auto" w:fill="auto"/>
            <w:vAlign w:val="center"/>
          </w:tcPr>
          <w:p w14:paraId="6972F04E">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9B152B">
            <w:pPr>
              <w:spacing w:line="375" w:lineRule="atLeast"/>
              <w:ind w:firstLine="630" w:firstLineChars="300"/>
              <w:rPr>
                <w:rFonts w:ascii="仿宋" w:hAnsi="仿宋" w:eastAsia="仿宋" w:cs="宋体"/>
                <w:szCs w:val="21"/>
              </w:rPr>
            </w:pPr>
            <w:r>
              <w:rPr>
                <w:rFonts w:hint="eastAsia" w:ascii="仿宋" w:hAnsi="仿宋" w:eastAsia="仿宋"/>
                <w:szCs w:val="21"/>
              </w:rPr>
              <w:t xml:space="preserve">流动资产 </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E4F2F31">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BE3B35">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112F6F1E">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88E950B">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7D98B4E">
            <w:pPr>
              <w:spacing w:line="375" w:lineRule="atLeast"/>
              <w:rPr>
                <w:rFonts w:ascii="仿宋" w:hAnsi="仿宋" w:eastAsia="仿宋" w:cs="宋体"/>
                <w:szCs w:val="21"/>
              </w:rPr>
            </w:pPr>
          </w:p>
        </w:tc>
      </w:tr>
      <w:tr w14:paraId="491A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vAlign w:val="center"/>
          </w:tcPr>
          <w:p w14:paraId="38ADE15B">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33EE4B">
            <w:pPr>
              <w:spacing w:line="375" w:lineRule="atLeast"/>
              <w:rPr>
                <w:rFonts w:ascii="仿宋" w:hAnsi="仿宋" w:eastAsia="仿宋" w:cs="宋体"/>
                <w:szCs w:val="21"/>
              </w:rPr>
            </w:pPr>
            <w:r>
              <w:rPr>
                <w:rFonts w:hint="eastAsia" w:ascii="仿宋" w:hAnsi="仿宋" w:eastAsia="仿宋"/>
                <w:szCs w:val="21"/>
              </w:rPr>
              <w:t>总负债</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453E4DC">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2A07A13">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7F15DDEF">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51DA921">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B56E8A8">
            <w:pPr>
              <w:spacing w:line="375" w:lineRule="atLeast"/>
              <w:rPr>
                <w:rFonts w:ascii="仿宋" w:hAnsi="仿宋" w:eastAsia="仿宋" w:cs="宋体"/>
                <w:szCs w:val="21"/>
              </w:rPr>
            </w:pPr>
          </w:p>
        </w:tc>
      </w:tr>
      <w:tr w14:paraId="5010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vAlign w:val="center"/>
          </w:tcPr>
          <w:p w14:paraId="11DE015C">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006ECD">
            <w:pPr>
              <w:spacing w:line="375" w:lineRule="atLeast"/>
              <w:rPr>
                <w:rFonts w:ascii="仿宋" w:hAnsi="仿宋" w:eastAsia="仿宋" w:cs="宋体"/>
                <w:szCs w:val="21"/>
              </w:rPr>
            </w:pPr>
            <w:r>
              <w:rPr>
                <w:rFonts w:hint="eastAsia" w:ascii="仿宋" w:hAnsi="仿宋" w:eastAsia="仿宋"/>
                <w:szCs w:val="21"/>
              </w:rPr>
              <w:t>其中：短期负债</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2C9EAAC">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3212476">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0909298C">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D22C1E7">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6EA5286">
            <w:pPr>
              <w:spacing w:line="375" w:lineRule="atLeast"/>
              <w:rPr>
                <w:rFonts w:ascii="仿宋" w:hAnsi="仿宋" w:eastAsia="仿宋" w:cs="宋体"/>
                <w:szCs w:val="21"/>
              </w:rPr>
            </w:pPr>
          </w:p>
        </w:tc>
      </w:tr>
      <w:tr w14:paraId="05BB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vAlign w:val="center"/>
          </w:tcPr>
          <w:p w14:paraId="37D5C9F4">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BEF310">
            <w:pPr>
              <w:spacing w:line="375" w:lineRule="atLeast"/>
              <w:rPr>
                <w:rFonts w:ascii="仿宋" w:hAnsi="仿宋" w:eastAsia="仿宋"/>
                <w:szCs w:val="21"/>
              </w:rPr>
            </w:pPr>
            <w:r>
              <w:rPr>
                <w:rFonts w:hint="eastAsia" w:ascii="仿宋" w:hAnsi="仿宋" w:eastAsia="仿宋"/>
                <w:szCs w:val="21"/>
              </w:rPr>
              <w:t xml:space="preserve">      长期负债</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770FA74">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C993D14">
            <w:pPr>
              <w:spacing w:line="375" w:lineRule="atLeast"/>
              <w:rPr>
                <w:rFonts w:hint="default" w:ascii="仿宋" w:hAnsi="仿宋" w:eastAsia="仿宋"/>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247432AD">
            <w:pPr>
              <w:spacing w:line="375" w:lineRule="atLeast"/>
              <w:rPr>
                <w:rFonts w:hint="default" w:ascii="仿宋" w:hAnsi="仿宋" w:eastAsia="仿宋"/>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947192B">
            <w:pPr>
              <w:spacing w:line="375" w:lineRule="atLeast"/>
              <w:rPr>
                <w:rFonts w:hint="default" w:ascii="仿宋" w:hAnsi="仿宋" w:eastAsia="仿宋"/>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0BBD526">
            <w:pPr>
              <w:spacing w:line="375" w:lineRule="atLeast"/>
              <w:rPr>
                <w:rFonts w:ascii="仿宋" w:hAnsi="仿宋" w:eastAsia="仿宋" w:cs="宋体"/>
                <w:szCs w:val="21"/>
              </w:rPr>
            </w:pPr>
          </w:p>
        </w:tc>
      </w:tr>
      <w:tr w14:paraId="3271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vAlign w:val="center"/>
          </w:tcPr>
          <w:p w14:paraId="259119C3">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52A8A5D">
            <w:pPr>
              <w:spacing w:line="375" w:lineRule="atLeast"/>
              <w:rPr>
                <w:rFonts w:ascii="仿宋" w:hAnsi="仿宋" w:eastAsia="仿宋"/>
                <w:szCs w:val="21"/>
              </w:rPr>
            </w:pPr>
            <w:r>
              <w:rPr>
                <w:rFonts w:hint="eastAsia" w:ascii="仿宋" w:hAnsi="仿宋" w:eastAsia="仿宋"/>
                <w:szCs w:val="21"/>
              </w:rPr>
              <w:t>所有者权益（净资产）</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B11632">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E2A9816">
            <w:pPr>
              <w:spacing w:line="375" w:lineRule="atLeast"/>
              <w:rPr>
                <w:rFonts w:hint="default" w:ascii="仿宋" w:hAnsi="仿宋" w:eastAsia="仿宋"/>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2C70748E">
            <w:pPr>
              <w:spacing w:line="375" w:lineRule="atLeast"/>
              <w:rPr>
                <w:rFonts w:hint="default" w:ascii="仿宋" w:hAnsi="仿宋" w:eastAsia="仿宋"/>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02F127B4">
            <w:pPr>
              <w:spacing w:line="375" w:lineRule="atLeast"/>
              <w:rPr>
                <w:rFonts w:hint="default" w:ascii="仿宋" w:hAnsi="仿宋" w:eastAsia="仿宋"/>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961FF42">
            <w:pPr>
              <w:spacing w:line="375" w:lineRule="atLeast"/>
              <w:rPr>
                <w:rFonts w:ascii="仿宋" w:hAnsi="仿宋" w:eastAsia="仿宋" w:cs="宋体"/>
                <w:szCs w:val="21"/>
              </w:rPr>
            </w:pPr>
          </w:p>
        </w:tc>
      </w:tr>
      <w:tr w14:paraId="4F91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14:paraId="3335D2E6">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9641C22">
            <w:pPr>
              <w:spacing w:line="375" w:lineRule="atLeast"/>
              <w:rPr>
                <w:rFonts w:ascii="仿宋" w:hAnsi="仿宋" w:eastAsia="仿宋" w:cs="宋体"/>
                <w:szCs w:val="21"/>
              </w:rPr>
            </w:pPr>
            <w:r>
              <w:rPr>
                <w:rFonts w:hint="eastAsia" w:ascii="仿宋" w:hAnsi="仿宋" w:eastAsia="仿宋" w:cs="宋体"/>
                <w:szCs w:val="21"/>
              </w:rPr>
              <w:t>营业收入</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E90C2D2">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2DCAB4EF">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4A51B369">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54209E47">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729D8FCA">
            <w:pPr>
              <w:spacing w:line="375" w:lineRule="atLeast"/>
              <w:rPr>
                <w:rFonts w:ascii="仿宋" w:hAnsi="仿宋" w:eastAsia="仿宋" w:cs="宋体"/>
                <w:szCs w:val="21"/>
              </w:rPr>
            </w:pPr>
          </w:p>
        </w:tc>
      </w:tr>
      <w:tr w14:paraId="4371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14:paraId="11822B57">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3723F19">
            <w:pPr>
              <w:spacing w:line="375" w:lineRule="atLeast"/>
              <w:rPr>
                <w:rFonts w:ascii="仿宋" w:hAnsi="仿宋" w:eastAsia="仿宋" w:cs="宋体"/>
                <w:szCs w:val="21"/>
              </w:rPr>
            </w:pPr>
            <w:r>
              <w:rPr>
                <w:rFonts w:hint="eastAsia" w:ascii="仿宋" w:hAnsi="仿宋" w:eastAsia="仿宋" w:cs="宋体"/>
                <w:szCs w:val="21"/>
              </w:rPr>
              <w:t>净利润</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6741D8E">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2DD00130">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4DDA5BFD">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9B844B9">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26412A72">
            <w:pPr>
              <w:spacing w:line="375" w:lineRule="atLeast"/>
              <w:rPr>
                <w:rFonts w:ascii="仿宋" w:hAnsi="仿宋" w:eastAsia="仿宋" w:cs="宋体"/>
                <w:szCs w:val="21"/>
              </w:rPr>
            </w:pPr>
          </w:p>
        </w:tc>
      </w:tr>
      <w:tr w14:paraId="4E8E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14:paraId="3A0E4D6C">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9557CBC">
            <w:pPr>
              <w:spacing w:line="375" w:lineRule="atLeast"/>
              <w:rPr>
                <w:rFonts w:ascii="仿宋" w:hAnsi="仿宋" w:eastAsia="仿宋" w:cs="宋体"/>
                <w:szCs w:val="21"/>
              </w:rPr>
            </w:pPr>
            <w:r>
              <w:rPr>
                <w:rFonts w:hint="eastAsia" w:ascii="仿宋" w:hAnsi="仿宋" w:eastAsia="仿宋" w:cs="宋体"/>
                <w:szCs w:val="21"/>
              </w:rPr>
              <w:t>经营净现金流</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1CCD05A">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51201A36">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1CB982AB">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2E0BA389">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0B6EE8A">
            <w:pPr>
              <w:spacing w:line="375" w:lineRule="atLeast"/>
              <w:rPr>
                <w:rFonts w:ascii="仿宋" w:hAnsi="仿宋" w:eastAsia="仿宋" w:cs="宋体"/>
                <w:szCs w:val="21"/>
              </w:rPr>
            </w:pPr>
          </w:p>
        </w:tc>
      </w:tr>
      <w:tr w14:paraId="6229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14:paraId="2989F265">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B7B2069">
            <w:pPr>
              <w:spacing w:line="375" w:lineRule="atLeast"/>
              <w:rPr>
                <w:rFonts w:ascii="仿宋" w:hAnsi="仿宋" w:eastAsia="仿宋" w:cs="宋体"/>
                <w:szCs w:val="21"/>
              </w:rPr>
            </w:pPr>
            <w:r>
              <w:rPr>
                <w:rFonts w:hint="eastAsia" w:ascii="仿宋" w:hAnsi="仿宋" w:eastAsia="仿宋" w:cs="宋体"/>
                <w:szCs w:val="21"/>
              </w:rPr>
              <w:t>资产负债率（%）</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2A30D56">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05BA057C">
            <w:pPr>
              <w:spacing w:line="375" w:lineRule="atLeast"/>
              <w:rPr>
                <w:rFonts w:hint="default" w:ascii="仿宋" w:hAnsi="仿宋" w:eastAsia="仿宋" w:cs="宋体"/>
                <w:color w:val="auto"/>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3838111C">
            <w:pPr>
              <w:spacing w:line="375" w:lineRule="atLeast"/>
              <w:rPr>
                <w:rFonts w:hint="default" w:ascii="仿宋" w:hAnsi="仿宋" w:eastAsia="仿宋" w:cs="宋体"/>
                <w:color w:val="auto"/>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60CC9890">
            <w:pPr>
              <w:spacing w:line="375" w:lineRule="atLeast"/>
              <w:rPr>
                <w:rFonts w:hint="default" w:ascii="仿宋" w:hAnsi="仿宋" w:eastAsia="仿宋" w:cs="宋体"/>
                <w:color w:val="auto"/>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53FE2CA7">
            <w:pPr>
              <w:spacing w:line="375" w:lineRule="atLeast"/>
              <w:rPr>
                <w:rFonts w:ascii="仿宋" w:hAnsi="仿宋" w:eastAsia="仿宋" w:cs="宋体"/>
                <w:szCs w:val="21"/>
              </w:rPr>
            </w:pPr>
          </w:p>
        </w:tc>
      </w:tr>
      <w:tr w14:paraId="3286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tcMar>
              <w:top w:w="15" w:type="dxa"/>
              <w:left w:w="15" w:type="dxa"/>
              <w:bottom w:w="15" w:type="dxa"/>
              <w:right w:w="15" w:type="dxa"/>
            </w:tcMar>
            <w:vAlign w:val="center"/>
          </w:tcPr>
          <w:p w14:paraId="06C3C1D7">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EE4464">
            <w:pPr>
              <w:spacing w:line="375" w:lineRule="atLeast"/>
              <w:rPr>
                <w:rFonts w:ascii="仿宋" w:hAnsi="仿宋" w:eastAsia="仿宋" w:cs="宋体"/>
                <w:szCs w:val="21"/>
              </w:rPr>
            </w:pPr>
            <w:r>
              <w:rPr>
                <w:rFonts w:hint="eastAsia" w:ascii="仿宋" w:hAnsi="仿宋" w:eastAsia="仿宋" w:cs="宋体"/>
                <w:szCs w:val="21"/>
              </w:rPr>
              <w:t>流动比率</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D905989">
            <w:pPr>
              <w:spacing w:line="375" w:lineRule="atLeast"/>
              <w:rPr>
                <w:rFonts w:hint="default" w:ascii="仿宋" w:hAnsi="仿宋" w:eastAsia="仿宋" w:cs="宋体"/>
                <w:color w:val="FF0000"/>
                <w:szCs w:val="21"/>
                <w:lang w:val="en-US" w:eastAsia="zh-CN"/>
              </w:rPr>
            </w:pP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14:paraId="57691DB2">
            <w:pPr>
              <w:spacing w:line="375" w:lineRule="atLeast"/>
              <w:rPr>
                <w:rFonts w:hint="default" w:ascii="仿宋" w:hAnsi="仿宋" w:eastAsia="仿宋" w:cs="宋体"/>
                <w:color w:val="FF0000"/>
                <w:szCs w:val="21"/>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6A9808A4">
            <w:pPr>
              <w:spacing w:line="375" w:lineRule="atLeast"/>
              <w:rPr>
                <w:rFonts w:hint="default" w:ascii="仿宋" w:hAnsi="仿宋" w:eastAsia="仿宋" w:cs="宋体"/>
                <w:color w:val="FF0000"/>
                <w:szCs w:val="21"/>
                <w:lang w:val="en-US" w:eastAsia="zh-CN"/>
              </w:rPr>
            </w:pPr>
          </w:p>
        </w:tc>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14:paraId="7EDD34A5">
            <w:pPr>
              <w:spacing w:line="375" w:lineRule="atLeast"/>
              <w:rPr>
                <w:rFonts w:hint="default" w:ascii="仿宋" w:hAnsi="仿宋" w:eastAsia="仿宋" w:cs="宋体"/>
                <w:color w:val="FF0000"/>
                <w:szCs w:val="21"/>
                <w:lang w:val="en-US" w:eastAsia="zh-CN"/>
              </w:rPr>
            </w:pP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4377A49">
            <w:pPr>
              <w:spacing w:line="375" w:lineRule="atLeast"/>
              <w:rPr>
                <w:rFonts w:ascii="仿宋" w:hAnsi="仿宋" w:eastAsia="仿宋" w:cs="宋体"/>
                <w:szCs w:val="21"/>
              </w:rPr>
            </w:pPr>
          </w:p>
        </w:tc>
      </w:tr>
      <w:tr w14:paraId="238E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restart"/>
            <w:tcBorders>
              <w:left w:val="single" w:color="auto" w:sz="4" w:space="0"/>
              <w:right w:val="single" w:color="auto" w:sz="4" w:space="0"/>
            </w:tcBorders>
            <w:shd w:val="clear" w:color="auto" w:fill="auto"/>
            <w:vAlign w:val="center"/>
          </w:tcPr>
          <w:p w14:paraId="1C4005B1">
            <w:pPr>
              <w:jc w:val="center"/>
              <w:rPr>
                <w:rFonts w:ascii="仿宋" w:hAnsi="仿宋" w:eastAsia="仿宋"/>
                <w:szCs w:val="21"/>
              </w:rPr>
            </w:pPr>
            <w:r>
              <w:rPr>
                <w:rFonts w:hint="eastAsia" w:ascii="仿宋" w:hAnsi="仿宋" w:eastAsia="仿宋"/>
                <w:szCs w:val="21"/>
              </w:rPr>
              <w:t>我行</w:t>
            </w:r>
          </w:p>
          <w:p w14:paraId="67BAB80F">
            <w:pPr>
              <w:jc w:val="center"/>
              <w:rPr>
                <w:rFonts w:ascii="仿宋" w:hAnsi="仿宋" w:eastAsia="仿宋"/>
                <w:szCs w:val="21"/>
              </w:rPr>
            </w:pPr>
            <w:r>
              <w:rPr>
                <w:rFonts w:hint="eastAsia" w:ascii="仿宋" w:hAnsi="仿宋" w:eastAsia="仿宋"/>
                <w:szCs w:val="21"/>
              </w:rPr>
              <w:t>信用情况</w:t>
            </w:r>
          </w:p>
          <w:p w14:paraId="1B101512">
            <w:pPr>
              <w:jc w:val="cente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7D95999">
            <w:pPr>
              <w:rPr>
                <w:rFonts w:ascii="仿宋" w:hAnsi="仿宋" w:eastAsia="仿宋" w:cs="宋体"/>
                <w:szCs w:val="21"/>
              </w:rPr>
            </w:pPr>
            <w:r>
              <w:rPr>
                <w:rFonts w:hint="eastAsia" w:ascii="仿宋" w:hAnsi="仿宋" w:eastAsia="仿宋"/>
                <w:szCs w:val="21"/>
              </w:rPr>
              <w:t>信用评级</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071E6FC">
            <w:pPr>
              <w:rPr>
                <w:rFonts w:hint="eastAsia" w:ascii="仿宋" w:hAnsi="仿宋" w:eastAsia="仿宋" w:cs="宋体"/>
                <w:szCs w:val="21"/>
                <w:lang w:val="en-US" w:eastAsia="zh-CN"/>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5F8352E8">
            <w:pPr>
              <w:rPr>
                <w:rFonts w:ascii="仿宋" w:hAnsi="仿宋" w:eastAsia="仿宋" w:cs="宋体"/>
                <w:szCs w:val="21"/>
              </w:rPr>
            </w:pPr>
            <w:r>
              <w:rPr>
                <w:rFonts w:hint="eastAsia" w:ascii="仿宋" w:hAnsi="仿宋" w:eastAsia="仿宋"/>
                <w:szCs w:val="21"/>
              </w:rPr>
              <w:t>风险限额</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53C70F2">
            <w:pPr>
              <w:rPr>
                <w:rFonts w:hint="default" w:ascii="仿宋" w:hAnsi="仿宋" w:eastAsia="仿宋" w:cs="宋体"/>
                <w:szCs w:val="21"/>
                <w:lang w:val="en-US" w:eastAsia="zh-CN"/>
              </w:rPr>
            </w:pPr>
          </w:p>
        </w:tc>
      </w:tr>
      <w:tr w14:paraId="628C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vAlign w:val="center"/>
          </w:tcPr>
          <w:p w14:paraId="121CEB0A">
            <w:pP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86388C1">
            <w:pPr>
              <w:spacing w:line="375" w:lineRule="atLeast"/>
              <w:rPr>
                <w:rFonts w:ascii="仿宋" w:hAnsi="仿宋" w:eastAsia="仿宋" w:cs="宋体"/>
                <w:szCs w:val="21"/>
              </w:rPr>
            </w:pPr>
            <w:r>
              <w:rPr>
                <w:rFonts w:hint="eastAsia" w:ascii="仿宋" w:hAnsi="仿宋" w:eastAsia="仿宋"/>
                <w:szCs w:val="21"/>
              </w:rPr>
              <w:t>授信敞口额度</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6D05F2C9">
            <w:pPr>
              <w:spacing w:line="375" w:lineRule="atLeast"/>
              <w:rPr>
                <w:rFonts w:hint="default" w:ascii="仿宋" w:hAnsi="仿宋" w:eastAsia="仿宋" w:cs="宋体"/>
                <w:szCs w:val="21"/>
                <w:lang w:val="en-US" w:eastAsia="zh-CN"/>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12D06337">
            <w:pPr>
              <w:spacing w:line="375" w:lineRule="atLeast"/>
              <w:rPr>
                <w:rFonts w:ascii="仿宋" w:hAnsi="仿宋" w:eastAsia="仿宋" w:cs="宋体"/>
                <w:szCs w:val="21"/>
              </w:rPr>
            </w:pPr>
            <w:r>
              <w:rPr>
                <w:rFonts w:hint="eastAsia" w:ascii="仿宋" w:hAnsi="仿宋" w:eastAsia="仿宋"/>
                <w:szCs w:val="21"/>
              </w:rPr>
              <w:t>授信敞口余额</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CFBAD22">
            <w:pPr>
              <w:spacing w:line="375" w:lineRule="atLeast"/>
              <w:rPr>
                <w:rFonts w:hint="eastAsia" w:ascii="仿宋" w:hAnsi="仿宋" w:eastAsia="仿宋" w:cs="宋体"/>
                <w:szCs w:val="21"/>
                <w:lang w:val="en-US" w:eastAsia="zh-CN"/>
              </w:rPr>
            </w:pPr>
          </w:p>
        </w:tc>
      </w:tr>
      <w:tr w14:paraId="11E1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right w:val="single" w:color="auto" w:sz="4" w:space="0"/>
            </w:tcBorders>
            <w:shd w:val="clear" w:color="auto" w:fill="auto"/>
            <w:vAlign w:val="center"/>
          </w:tcPr>
          <w:p w14:paraId="32DB393B">
            <w:pP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BD3FCB8">
            <w:pPr>
              <w:spacing w:line="375" w:lineRule="atLeast"/>
              <w:rPr>
                <w:rFonts w:ascii="仿宋" w:hAnsi="仿宋" w:eastAsia="仿宋"/>
                <w:szCs w:val="21"/>
              </w:rPr>
            </w:pPr>
            <w:r>
              <w:rPr>
                <w:rFonts w:hint="eastAsia" w:ascii="仿宋" w:hAnsi="仿宋" w:eastAsia="仿宋"/>
                <w:szCs w:val="21"/>
              </w:rPr>
              <w:t>信贷资产分类</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39EC53BE">
            <w:pPr>
              <w:spacing w:line="375" w:lineRule="atLeast"/>
              <w:rPr>
                <w:rFonts w:ascii="仿宋" w:hAnsi="仿宋" w:eastAsia="仿宋" w:cs="宋体"/>
                <w:szCs w:val="21"/>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7A51925">
            <w:pPr>
              <w:spacing w:line="375" w:lineRule="atLeast"/>
              <w:rPr>
                <w:rFonts w:ascii="仿宋" w:hAnsi="仿宋" w:eastAsia="仿宋"/>
                <w:szCs w:val="21"/>
              </w:rPr>
            </w:pPr>
            <w:r>
              <w:rPr>
                <w:rFonts w:hint="eastAsia" w:ascii="仿宋" w:hAnsi="仿宋" w:eastAsia="仿宋"/>
                <w:szCs w:val="21"/>
              </w:rPr>
              <w:t>不良贷款余额</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258F81C">
            <w:pPr>
              <w:spacing w:line="375" w:lineRule="atLeast"/>
              <w:rPr>
                <w:rFonts w:hint="eastAsia" w:ascii="仿宋" w:hAnsi="仿宋" w:eastAsia="仿宋" w:cs="宋体"/>
                <w:szCs w:val="21"/>
                <w:lang w:val="en-US" w:eastAsia="zh-CN"/>
              </w:rPr>
            </w:pPr>
          </w:p>
        </w:tc>
      </w:tr>
      <w:tr w14:paraId="3F3C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32" w:type="dxa"/>
            <w:vMerge w:val="continue"/>
            <w:tcBorders>
              <w:left w:val="single" w:color="auto" w:sz="4" w:space="0"/>
              <w:bottom w:val="single" w:color="auto" w:sz="4" w:space="0"/>
              <w:right w:val="single" w:color="auto" w:sz="4" w:space="0"/>
            </w:tcBorders>
            <w:shd w:val="clear" w:color="auto" w:fill="auto"/>
            <w:vAlign w:val="center"/>
          </w:tcPr>
          <w:p w14:paraId="79DB4D69">
            <w:pPr>
              <w:rPr>
                <w:rFonts w:ascii="仿宋" w:hAnsi="仿宋" w:eastAsia="仿宋" w:cs="宋体"/>
                <w:szCs w:val="21"/>
              </w:rPr>
            </w:pPr>
          </w:p>
        </w:tc>
        <w:tc>
          <w:tcPr>
            <w:tcW w:w="240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0A622EE8">
            <w:pPr>
              <w:spacing w:line="375" w:lineRule="atLeast"/>
              <w:rPr>
                <w:rFonts w:ascii="仿宋" w:hAnsi="仿宋" w:eastAsia="仿宋"/>
                <w:szCs w:val="21"/>
              </w:rPr>
            </w:pPr>
            <w:r>
              <w:rPr>
                <w:rFonts w:hint="eastAsia" w:ascii="仿宋" w:hAnsi="仿宋" w:eastAsia="仿宋"/>
                <w:szCs w:val="21"/>
              </w:rPr>
              <w:t>集团整体授信敞口额度（如有）</w:t>
            </w:r>
          </w:p>
        </w:tc>
        <w:tc>
          <w:tcPr>
            <w:tcW w:w="9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7876D506">
            <w:pPr>
              <w:spacing w:line="375" w:lineRule="atLeast"/>
              <w:rPr>
                <w:rFonts w:hint="default" w:ascii="仿宋" w:hAnsi="仿宋" w:eastAsia="仿宋" w:cs="宋体"/>
                <w:szCs w:val="21"/>
                <w:lang w:val="en-US" w:eastAsia="zh-CN"/>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2A4DF747">
            <w:pPr>
              <w:spacing w:line="375" w:lineRule="atLeast"/>
              <w:rPr>
                <w:rFonts w:ascii="仿宋" w:hAnsi="仿宋" w:eastAsia="仿宋"/>
                <w:szCs w:val="21"/>
              </w:rPr>
            </w:pPr>
            <w:r>
              <w:rPr>
                <w:rFonts w:hint="eastAsia" w:ascii="仿宋" w:hAnsi="仿宋" w:eastAsia="仿宋"/>
                <w:szCs w:val="21"/>
              </w:rPr>
              <w:t>是否符合集团整体授信策略（如有）</w:t>
            </w:r>
          </w:p>
        </w:tc>
        <w:tc>
          <w:tcPr>
            <w:tcW w:w="178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14:paraId="48215BA6">
            <w:pPr>
              <w:spacing w:line="375" w:lineRule="atLeast"/>
              <w:rPr>
                <w:rFonts w:hint="eastAsia" w:ascii="仿宋" w:hAnsi="仿宋" w:eastAsia="仿宋" w:cs="宋体"/>
                <w:szCs w:val="21"/>
                <w:lang w:eastAsia="zh-CN"/>
              </w:rPr>
            </w:pPr>
          </w:p>
        </w:tc>
      </w:tr>
    </w:tbl>
    <w:p w14:paraId="15BB0BF6">
      <w:pPr>
        <w:keepNext w:val="0"/>
        <w:keepLines w:val="0"/>
        <w:pageBreakBefore w:val="0"/>
        <w:widowControl w:val="0"/>
        <w:kinsoku/>
        <w:wordWrap/>
        <w:overflowPunct/>
        <w:topLinePunct w:val="0"/>
        <w:autoSpaceDE w:val="0"/>
        <w:autoSpaceDN/>
        <w:bidi w:val="0"/>
        <w:adjustRightInd/>
        <w:snapToGrid/>
        <w:spacing w:line="360" w:lineRule="auto"/>
        <w:ind w:firstLine="281" w:firstLineChars="100"/>
        <w:jc w:val="left"/>
        <w:textAlignment w:val="auto"/>
        <w:rPr>
          <w:rFonts w:ascii="仿宋" w:hAnsi="仿宋" w:eastAsia="仿宋"/>
          <w:bCs/>
          <w:sz w:val="30"/>
          <w:szCs w:val="30"/>
        </w:rPr>
      </w:pPr>
      <w:r>
        <w:rPr>
          <w:rFonts w:hint="eastAsia" w:ascii="仿宋" w:hAnsi="仿宋" w:eastAsia="仿宋" w:cstheme="minorEastAsia"/>
          <w:b/>
          <w:bCs/>
          <w:sz w:val="28"/>
          <w:szCs w:val="28"/>
        </w:rPr>
        <w:t>（二）借款人基本判断</w:t>
      </w:r>
    </w:p>
    <w:p w14:paraId="4D8B9B90">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仿宋" w:hAnsi="仿宋" w:eastAsia="仿宋" w:cstheme="minorEastAsia"/>
          <w:bCs/>
          <w:kern w:val="2"/>
          <w:sz w:val="24"/>
          <w:szCs w:val="24"/>
          <w:lang w:val="en-US" w:eastAsia="zh-CN" w:bidi="ar-SA"/>
        </w:rPr>
      </w:pPr>
      <w:r>
        <w:rPr>
          <w:rFonts w:hint="eastAsia" w:ascii="仿宋" w:hAnsi="仿宋" w:eastAsia="仿宋" w:cstheme="minorEastAsia"/>
          <w:bCs/>
          <w:kern w:val="2"/>
          <w:sz w:val="24"/>
          <w:szCs w:val="24"/>
          <w:lang w:val="en-US" w:eastAsia="zh-CN" w:bidi="ar-SA"/>
        </w:rPr>
        <w:t>1、股权结构</w:t>
      </w:r>
    </w:p>
    <w:p w14:paraId="279ABDB7">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theme="minorEastAsia"/>
          <w:bCs/>
          <w:kern w:val="2"/>
          <w:sz w:val="24"/>
          <w:szCs w:val="24"/>
          <w:lang w:val="en-US" w:eastAsia="zh-CN" w:bidi="ar-SA"/>
        </w:rPr>
      </w:pPr>
      <w:r>
        <w:rPr>
          <w:rFonts w:hint="eastAsia" w:ascii="仿宋" w:hAnsi="仿宋" w:eastAsia="仿宋" w:cstheme="minorEastAsia"/>
          <w:bCs/>
          <w:kern w:val="2"/>
          <w:sz w:val="24"/>
          <w:szCs w:val="24"/>
          <w:lang w:val="en-US" w:eastAsia="zh-CN" w:bidi="ar-SA"/>
        </w:rPr>
        <w:t>借款人成立于2021年12月，成立时注册资本100万元，由获嘉县产业集聚区运营发展服务有限公司出资100万元，占比100%。股权结构如下：</w:t>
      </w:r>
    </w:p>
    <w:tbl>
      <w:tblPr>
        <w:tblStyle w:val="22"/>
        <w:tblW w:w="0" w:type="auto"/>
        <w:tblInd w:w="-146" w:type="dxa"/>
        <w:tblLayout w:type="fixed"/>
        <w:tblCellMar>
          <w:top w:w="0" w:type="dxa"/>
          <w:left w:w="0" w:type="dxa"/>
          <w:bottom w:w="0" w:type="dxa"/>
          <w:right w:w="0" w:type="dxa"/>
        </w:tblCellMar>
      </w:tblPr>
      <w:tblGrid>
        <w:gridCol w:w="1344"/>
        <w:gridCol w:w="1080"/>
        <w:gridCol w:w="972"/>
        <w:gridCol w:w="2760"/>
        <w:gridCol w:w="1152"/>
        <w:gridCol w:w="828"/>
        <w:gridCol w:w="1032"/>
      </w:tblGrid>
      <w:tr w14:paraId="5298AEB1">
        <w:tblPrEx>
          <w:tblCellMar>
            <w:top w:w="0" w:type="dxa"/>
            <w:left w:w="0" w:type="dxa"/>
            <w:bottom w:w="0" w:type="dxa"/>
            <w:right w:w="0" w:type="dxa"/>
          </w:tblCellMar>
        </w:tblPrEx>
        <w:trPr>
          <w:trHeight w:val="90" w:hRule="atLeast"/>
        </w:trPr>
        <w:tc>
          <w:tcPr>
            <w:tcW w:w="134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B1D272">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日期</w:t>
            </w:r>
          </w:p>
        </w:tc>
        <w:tc>
          <w:tcPr>
            <w:tcW w:w="108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E114CB9">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注册资本</w:t>
            </w:r>
          </w:p>
        </w:tc>
        <w:tc>
          <w:tcPr>
            <w:tcW w:w="97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ECD9CE4">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实收资本</w:t>
            </w:r>
          </w:p>
        </w:tc>
        <w:tc>
          <w:tcPr>
            <w:tcW w:w="276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6868F5">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出资人</w:t>
            </w:r>
          </w:p>
        </w:tc>
        <w:tc>
          <w:tcPr>
            <w:tcW w:w="115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58E70EA">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出资方式</w:t>
            </w:r>
          </w:p>
        </w:tc>
        <w:tc>
          <w:tcPr>
            <w:tcW w:w="8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7B6F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color w:val="000000"/>
                <w:sz w:val="21"/>
                <w:szCs w:val="21"/>
                <w:u w:val="none"/>
              </w:rPr>
            </w:pPr>
            <w:r>
              <w:rPr>
                <w:rFonts w:hint="eastAsia" w:ascii="仿宋" w:hAnsi="仿宋" w:eastAsia="仿宋" w:cs="仿宋"/>
                <w:b/>
                <w:bCs/>
                <w:i w:val="0"/>
                <w:color w:val="000000"/>
                <w:kern w:val="0"/>
                <w:sz w:val="21"/>
                <w:szCs w:val="21"/>
                <w:u w:val="none"/>
                <w:lang w:val="en-US" w:eastAsia="zh-CN" w:bidi="ar"/>
              </w:rPr>
              <w:t>占比</w:t>
            </w:r>
          </w:p>
        </w:tc>
        <w:tc>
          <w:tcPr>
            <w:tcW w:w="103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4CB32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备注</w:t>
            </w:r>
          </w:p>
        </w:tc>
      </w:tr>
      <w:tr w14:paraId="38653606">
        <w:tblPrEx>
          <w:tblCellMar>
            <w:top w:w="0" w:type="dxa"/>
            <w:left w:w="0" w:type="dxa"/>
            <w:bottom w:w="0" w:type="dxa"/>
            <w:right w:w="0" w:type="dxa"/>
          </w:tblCellMar>
        </w:tblPrEx>
        <w:trPr>
          <w:trHeight w:val="319" w:hRule="atLeast"/>
        </w:trPr>
        <w:tc>
          <w:tcPr>
            <w:tcW w:w="134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3160B4">
            <w:pPr>
              <w:keepNext w:val="0"/>
              <w:keepLines w:val="0"/>
              <w:pageBreakBefore w:val="0"/>
              <w:kinsoku/>
              <w:wordWrap/>
              <w:overflowPunct/>
              <w:topLinePunct w:val="0"/>
              <w:autoSpaceDE/>
              <w:autoSpaceDN/>
              <w:bidi w:val="0"/>
              <w:adjustRightInd/>
              <w:snapToGrid/>
              <w:ind w:left="0" w:leftChars="0" w:firstLine="0" w:firstLineChars="0"/>
              <w:jc w:val="center"/>
              <w:rPr>
                <w:rFonts w:hint="default" w:ascii="仿宋" w:hAnsi="仿宋" w:eastAsia="仿宋" w:cs="仿宋"/>
                <w:sz w:val="21"/>
                <w:szCs w:val="21"/>
                <w:lang w:val="en-US" w:eastAsia="zh-CN"/>
              </w:rPr>
            </w:pPr>
            <w:r>
              <w:rPr>
                <w:rFonts w:hint="eastAsia" w:ascii="仿宋" w:hAnsi="仿宋" w:eastAsia="仿宋" w:cs="仿宋"/>
                <w:i w:val="0"/>
                <w:color w:val="auto"/>
                <w:sz w:val="21"/>
                <w:szCs w:val="21"/>
                <w:highlight w:val="none"/>
                <w:u w:val="none"/>
                <w:lang w:val="en-US" w:eastAsia="zh-CN"/>
              </w:rPr>
              <w:t>2021.12</w:t>
            </w:r>
          </w:p>
        </w:tc>
        <w:tc>
          <w:tcPr>
            <w:tcW w:w="10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AB6E2C">
            <w:pPr>
              <w:keepNext w:val="0"/>
              <w:keepLines w:val="0"/>
              <w:pageBreakBefore w:val="0"/>
              <w:kinsoku/>
              <w:wordWrap/>
              <w:overflowPunct/>
              <w:topLinePunct w:val="0"/>
              <w:autoSpaceDE/>
              <w:autoSpaceDN/>
              <w:bidi w:val="0"/>
              <w:adjustRightInd/>
              <w:snapToGrid/>
              <w:ind w:left="0" w:leftChars="0" w:firstLine="0" w:firstLineChars="0"/>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100</w:t>
            </w:r>
          </w:p>
        </w:tc>
        <w:tc>
          <w:tcPr>
            <w:tcW w:w="9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5231EA">
            <w:pPr>
              <w:keepNext w:val="0"/>
              <w:keepLines w:val="0"/>
              <w:pageBreakBefore w:val="0"/>
              <w:kinsoku/>
              <w:wordWrap/>
              <w:overflowPunct/>
              <w:topLinePunct w:val="0"/>
              <w:autoSpaceDE/>
              <w:autoSpaceDN/>
              <w:bidi w:val="0"/>
              <w:adjustRightInd/>
              <w:snapToGrid/>
              <w:ind w:left="0" w:leftChars="0" w:firstLine="0" w:firstLineChars="0"/>
              <w:jc w:val="center"/>
              <w:rPr>
                <w:rFonts w:hint="default" w:ascii="仿宋" w:hAnsi="仿宋" w:eastAsia="仿宋" w:cs="仿宋"/>
                <w:i w:val="0"/>
                <w:color w:val="auto"/>
                <w:sz w:val="21"/>
                <w:szCs w:val="21"/>
                <w:u w:val="none"/>
                <w:lang w:val="en-US" w:eastAsia="zh-CN"/>
              </w:rPr>
            </w:pPr>
            <w:r>
              <w:rPr>
                <w:rFonts w:hint="default" w:ascii="仿宋" w:hAnsi="仿宋" w:eastAsia="仿宋" w:cs="仿宋"/>
                <w:i w:val="0"/>
                <w:color w:val="auto"/>
                <w:sz w:val="21"/>
                <w:szCs w:val="21"/>
                <w:u w:val="none"/>
                <w:lang w:val="en-US" w:eastAsia="zh-CN"/>
              </w:rPr>
              <w:t>0</w:t>
            </w:r>
          </w:p>
        </w:tc>
        <w:tc>
          <w:tcPr>
            <w:tcW w:w="27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EEF94F">
            <w:pPr>
              <w:keepNext w:val="0"/>
              <w:keepLines w:val="0"/>
              <w:pageBreakBefore w:val="0"/>
              <w:kinsoku/>
              <w:wordWrap/>
              <w:overflowPunct/>
              <w:topLinePunct w:val="0"/>
              <w:autoSpaceDE/>
              <w:autoSpaceDN/>
              <w:bidi w:val="0"/>
              <w:adjustRightInd/>
              <w:snapToGrid/>
              <w:ind w:left="0" w:leftChars="0" w:firstLine="0" w:firstLineChars="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获嘉县产业集聚区运营发展服务有限公司</w:t>
            </w:r>
          </w:p>
        </w:tc>
        <w:tc>
          <w:tcPr>
            <w:tcW w:w="11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EF1E16">
            <w:pPr>
              <w:keepNext w:val="0"/>
              <w:keepLines w:val="0"/>
              <w:pageBreakBefore w:val="0"/>
              <w:kinsoku/>
              <w:wordWrap/>
              <w:overflowPunct/>
              <w:topLinePunct w:val="0"/>
              <w:autoSpaceDE/>
              <w:autoSpaceDN/>
              <w:bidi w:val="0"/>
              <w:adjustRightInd/>
              <w:snapToGrid/>
              <w:ind w:left="0" w:leftChars="0" w:firstLine="0" w:firstLineChars="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货币</w:t>
            </w:r>
          </w:p>
        </w:tc>
        <w:tc>
          <w:tcPr>
            <w:tcW w:w="8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E5542C">
            <w:pPr>
              <w:keepNext w:val="0"/>
              <w:keepLines w:val="0"/>
              <w:pageBreakBefore w:val="0"/>
              <w:kinsoku/>
              <w:wordWrap/>
              <w:overflowPunct/>
              <w:topLinePunct w:val="0"/>
              <w:autoSpaceDE/>
              <w:autoSpaceDN/>
              <w:bidi w:val="0"/>
              <w:adjustRightInd/>
              <w:snapToGrid/>
              <w:ind w:left="0" w:leftChars="0" w:firstLine="0" w:firstLineChars="0"/>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100%</w:t>
            </w:r>
          </w:p>
        </w:tc>
        <w:tc>
          <w:tcPr>
            <w:tcW w:w="10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6A51FB">
            <w:pPr>
              <w:keepNext w:val="0"/>
              <w:keepLines w:val="0"/>
              <w:pageBreakBefore w:val="0"/>
              <w:kinsoku/>
              <w:wordWrap/>
              <w:overflowPunct/>
              <w:topLinePunct w:val="0"/>
              <w:autoSpaceDE/>
              <w:autoSpaceDN/>
              <w:bidi w:val="0"/>
              <w:adjustRightInd/>
              <w:snapToGrid/>
              <w:ind w:left="0" w:leftChars="0" w:firstLine="0" w:firstLineChars="0"/>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注册</w:t>
            </w:r>
          </w:p>
        </w:tc>
      </w:tr>
    </w:tbl>
    <w:p w14:paraId="4F924052">
      <w:pPr>
        <w:keepNext w:val="0"/>
        <w:keepLines w:val="0"/>
        <w:pageBreakBefore w:val="0"/>
        <w:widowControl w:val="0"/>
        <w:numPr>
          <w:ilvl w:val="0"/>
          <w:numId w:val="0"/>
        </w:numPr>
        <w:tabs>
          <w:tab w:val="left" w:pos="0"/>
          <w:tab w:val="left" w:pos="142"/>
        </w:tabs>
        <w:kinsoku/>
        <w:wordWrap/>
        <w:overflowPunct/>
        <w:topLinePunct w:val="0"/>
        <w:autoSpaceDE/>
        <w:autoSpaceDN/>
        <w:bidi w:val="0"/>
        <w:adjustRightInd/>
        <w:snapToGrid/>
        <w:spacing w:line="360" w:lineRule="auto"/>
        <w:ind w:left="0" w:leftChars="0" w:firstLine="480" w:firstLineChars="200"/>
        <w:textAlignment w:val="auto"/>
        <w:outlineLvl w:val="9"/>
        <w:rPr>
          <w:rFonts w:ascii="仿宋" w:hAnsi="仿宋" w:eastAsia="仿宋"/>
          <w:color w:val="auto"/>
          <w:szCs w:val="21"/>
        </w:rPr>
      </w:pPr>
      <w:r>
        <w:rPr>
          <w:rFonts w:hint="eastAsia" w:ascii="仿宋" w:hAnsi="仿宋" w:eastAsia="仿宋" w:cstheme="minorEastAsia"/>
          <w:bCs/>
          <w:color w:val="auto"/>
          <w:kern w:val="2"/>
          <w:sz w:val="24"/>
          <w:szCs w:val="24"/>
          <w:lang w:val="en-US" w:eastAsia="zh-CN" w:bidi="ar-SA"/>
        </w:rPr>
        <w:t>2.融资及担保情况</w:t>
      </w:r>
    </w:p>
    <w:p w14:paraId="13100653">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FF0000"/>
          <w:kern w:val="0"/>
          <w:sz w:val="24"/>
          <w:szCs w:val="24"/>
          <w:highlight w:val="none"/>
          <w:lang w:val="en-US" w:eastAsia="zh-CN"/>
        </w:rPr>
        <w:t>截止到调查日，该企业无对外担保。融资信息待定。</w:t>
      </w:r>
    </w:p>
    <w:p w14:paraId="2450600D">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3、经营情况分析</w:t>
      </w:r>
    </w:p>
    <w:p w14:paraId="32158187">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left"/>
        <w:textAlignment w:val="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借款人河南中原智慧冷链物流园管理运营有限公司为获嘉县产业集聚区运营发展服务有限公司全资子公司，该公司主要为河南大成包装材料有限公司源网荷储一体化项目</w:t>
      </w:r>
      <w:r>
        <w:rPr>
          <w:rFonts w:hint="eastAsia" w:ascii="仿宋" w:hAnsi="仿宋" w:eastAsia="仿宋" w:cs="仿宋"/>
          <w:color w:val="auto"/>
          <w:kern w:val="0"/>
          <w:sz w:val="24"/>
          <w:szCs w:val="24"/>
          <w:highlight w:val="none"/>
          <w:lang w:val="en-US" w:eastAsia="zh-CN"/>
        </w:rPr>
        <w:t>成立</w:t>
      </w:r>
      <w:r>
        <w:rPr>
          <w:rFonts w:hint="default" w:ascii="仿宋" w:hAnsi="仿宋" w:eastAsia="仿宋" w:cs="仿宋"/>
          <w:color w:val="auto"/>
          <w:kern w:val="0"/>
          <w:sz w:val="24"/>
          <w:szCs w:val="24"/>
          <w:highlight w:val="none"/>
          <w:lang w:val="en-US" w:eastAsia="zh-CN"/>
        </w:rPr>
        <w:t>的项目公司，项目建成后由河南中原智慧冷链物流园管理运营有限公司进行经营管理，目前没有实际经营。本项目建成后光伏售电、储能峰谷套利、</w:t>
      </w:r>
      <w:r>
        <w:rPr>
          <w:rFonts w:hint="eastAsia" w:ascii="仿宋" w:hAnsi="仿宋" w:eastAsia="仿宋" w:cs="仿宋"/>
          <w:color w:val="auto"/>
          <w:kern w:val="0"/>
          <w:sz w:val="24"/>
          <w:szCs w:val="24"/>
          <w:highlight w:val="none"/>
          <w:lang w:val="en-US" w:eastAsia="zh-CN"/>
        </w:rPr>
        <w:t>光储</w:t>
      </w:r>
      <w:r>
        <w:rPr>
          <w:rFonts w:hint="default" w:ascii="仿宋" w:hAnsi="仿宋" w:eastAsia="仿宋" w:cs="仿宋"/>
          <w:color w:val="auto"/>
          <w:kern w:val="0"/>
          <w:sz w:val="24"/>
          <w:szCs w:val="24"/>
          <w:highlight w:val="none"/>
          <w:lang w:val="en-US" w:eastAsia="zh-CN"/>
        </w:rPr>
        <w:t>充电桩收入为主营业务收入。</w:t>
      </w:r>
    </w:p>
    <w:p w14:paraId="7F1AD5B5">
      <w:pPr>
        <w:autoSpaceDE w:val="0"/>
        <w:spacing w:line="360" w:lineRule="auto"/>
        <w:ind w:firstLine="562" w:firstLineChars="200"/>
        <w:jc w:val="left"/>
        <w:rPr>
          <w:rFonts w:ascii="仿宋" w:hAnsi="仿宋" w:eastAsia="仿宋"/>
          <w:b/>
          <w:snapToGrid w:val="0"/>
          <w:color w:val="000000"/>
          <w:sz w:val="30"/>
          <w:szCs w:val="30"/>
        </w:rPr>
      </w:pPr>
      <w:r>
        <w:rPr>
          <w:rFonts w:hint="eastAsia" w:ascii="仿宋" w:hAnsi="仿宋" w:eastAsia="仿宋" w:cstheme="minorEastAsia"/>
          <w:b/>
          <w:bCs/>
          <w:sz w:val="28"/>
          <w:szCs w:val="28"/>
        </w:rPr>
        <w:t>二、主要出资人分析</w:t>
      </w:r>
    </w:p>
    <w:p w14:paraId="6A1F48ED">
      <w:pPr>
        <w:autoSpaceDE w:val="0"/>
        <w:spacing w:line="360" w:lineRule="auto"/>
        <w:ind w:firstLine="562" w:firstLineChars="200"/>
        <w:jc w:val="left"/>
        <w:rPr>
          <w:rFonts w:hint="eastAsia" w:ascii="仿宋" w:hAnsi="仿宋" w:eastAsia="仿宋" w:cstheme="minorEastAsia"/>
          <w:b/>
          <w:bCs/>
          <w:sz w:val="28"/>
          <w:szCs w:val="28"/>
          <w:lang w:eastAsia="zh-CN"/>
        </w:rPr>
      </w:pPr>
      <w:r>
        <w:rPr>
          <w:rFonts w:hint="eastAsia" w:ascii="仿宋" w:hAnsi="仿宋" w:eastAsia="仿宋" w:cstheme="minorEastAsia"/>
          <w:b/>
          <w:bCs/>
          <w:sz w:val="28"/>
          <w:szCs w:val="28"/>
        </w:rPr>
        <w:t>（一）出资人基本信息表</w:t>
      </w:r>
      <w:r>
        <w:rPr>
          <w:rFonts w:hint="eastAsia" w:ascii="仿宋" w:hAnsi="仿宋" w:eastAsia="仿宋" w:cstheme="minorEastAsia"/>
          <w:b/>
          <w:bCs/>
          <w:sz w:val="28"/>
          <w:szCs w:val="28"/>
          <w:lang w:eastAsia="zh-CN"/>
        </w:rPr>
        <w:t>（</w:t>
      </w:r>
      <w:r>
        <w:rPr>
          <w:rFonts w:hint="eastAsia" w:ascii="仿宋" w:hAnsi="仿宋" w:eastAsia="仿宋" w:cstheme="minorEastAsia"/>
          <w:b/>
          <w:bCs/>
          <w:sz w:val="28"/>
          <w:szCs w:val="28"/>
          <w:lang w:val="en-US" w:eastAsia="zh-CN"/>
        </w:rPr>
        <w:t>股东</w:t>
      </w:r>
      <w:r>
        <w:rPr>
          <w:rFonts w:hint="eastAsia" w:ascii="仿宋" w:hAnsi="仿宋" w:eastAsia="仿宋" w:cstheme="minorEastAsia"/>
          <w:b/>
          <w:bCs/>
          <w:sz w:val="28"/>
          <w:szCs w:val="28"/>
          <w:lang w:eastAsia="zh-CN"/>
        </w:rPr>
        <w:t>）</w:t>
      </w:r>
    </w:p>
    <w:tbl>
      <w:tblPr>
        <w:tblStyle w:val="22"/>
        <w:tblW w:w="0" w:type="auto"/>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0"/>
        <w:gridCol w:w="2232"/>
        <w:gridCol w:w="718"/>
        <w:gridCol w:w="286"/>
        <w:gridCol w:w="979"/>
        <w:gridCol w:w="433"/>
        <w:gridCol w:w="549"/>
        <w:gridCol w:w="975"/>
        <w:gridCol w:w="979"/>
      </w:tblGrid>
      <w:tr w14:paraId="067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tcBorders>
              <w:tl2br w:val="nil"/>
              <w:tr2bl w:val="nil"/>
            </w:tcBorders>
            <w:shd w:val="clear" w:color="auto" w:fill="auto"/>
            <w:vAlign w:val="center"/>
          </w:tcPr>
          <w:p w14:paraId="384AAC35">
            <w:pPr>
              <w:rPr>
                <w:rFonts w:ascii="仿宋" w:hAnsi="仿宋" w:eastAsia="仿宋" w:cs="宋体"/>
                <w:szCs w:val="21"/>
              </w:rPr>
            </w:pPr>
            <w:r>
              <w:rPr>
                <w:rFonts w:hint="eastAsia" w:ascii="仿宋" w:hAnsi="仿宋" w:eastAsia="仿宋"/>
                <w:szCs w:val="21"/>
              </w:rPr>
              <w:t>出资人名称</w:t>
            </w:r>
          </w:p>
        </w:tc>
        <w:tc>
          <w:tcPr>
            <w:tcW w:w="7151" w:type="dxa"/>
            <w:gridSpan w:val="8"/>
            <w:tcBorders>
              <w:tl2br w:val="nil"/>
              <w:tr2bl w:val="nil"/>
            </w:tcBorders>
            <w:shd w:val="clear" w:color="auto" w:fill="auto"/>
            <w:vAlign w:val="center"/>
          </w:tcPr>
          <w:p w14:paraId="21B41FFE">
            <w:pPr>
              <w:rPr>
                <w:rFonts w:hint="default" w:ascii="仿宋" w:hAnsi="仿宋" w:eastAsia="仿宋" w:cs="宋体"/>
                <w:szCs w:val="21"/>
                <w:lang w:val="en-US" w:eastAsia="zh-CN"/>
              </w:rPr>
            </w:pPr>
            <w:r>
              <w:rPr>
                <w:rFonts w:hint="default" w:ascii="仿宋" w:hAnsi="仿宋" w:eastAsia="仿宋" w:cs="宋体"/>
                <w:szCs w:val="21"/>
                <w:lang w:val="en-US" w:eastAsia="zh-CN"/>
              </w:rPr>
              <w:t>获嘉县产业集聚区运营发展服务有限公司</w:t>
            </w:r>
          </w:p>
        </w:tc>
      </w:tr>
      <w:tr w14:paraId="0EA1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tcBorders>
              <w:tl2br w:val="nil"/>
              <w:tr2bl w:val="nil"/>
            </w:tcBorders>
            <w:shd w:val="clear" w:color="auto" w:fill="auto"/>
            <w:vAlign w:val="center"/>
          </w:tcPr>
          <w:p w14:paraId="2928BECE">
            <w:pPr>
              <w:rPr>
                <w:rFonts w:ascii="仿宋" w:hAnsi="仿宋" w:eastAsia="仿宋" w:cs="宋体"/>
                <w:szCs w:val="21"/>
              </w:rPr>
            </w:pPr>
            <w:r>
              <w:rPr>
                <w:rFonts w:hint="eastAsia" w:ascii="仿宋" w:hAnsi="仿宋" w:eastAsia="仿宋"/>
                <w:szCs w:val="21"/>
              </w:rPr>
              <w:t>注册地址</w:t>
            </w:r>
          </w:p>
        </w:tc>
        <w:tc>
          <w:tcPr>
            <w:tcW w:w="7151" w:type="dxa"/>
            <w:gridSpan w:val="8"/>
            <w:tcBorders>
              <w:tl2br w:val="nil"/>
              <w:tr2bl w:val="nil"/>
            </w:tcBorders>
            <w:shd w:val="clear" w:color="auto" w:fill="auto"/>
            <w:vAlign w:val="center"/>
          </w:tcPr>
          <w:p w14:paraId="08504A3A">
            <w:pPr>
              <w:rPr>
                <w:rFonts w:ascii="仿宋" w:hAnsi="仿宋" w:eastAsia="仿宋" w:cs="宋体"/>
                <w:szCs w:val="21"/>
              </w:rPr>
            </w:pPr>
            <w:r>
              <w:rPr>
                <w:rFonts w:ascii="仿宋" w:hAnsi="仿宋" w:eastAsia="仿宋" w:cs="宋体"/>
                <w:szCs w:val="21"/>
              </w:rPr>
              <w:t>河南省获嘉县城关镇产业集聚区四楼405号</w:t>
            </w:r>
          </w:p>
        </w:tc>
      </w:tr>
      <w:tr w14:paraId="5144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tcBorders>
              <w:tl2br w:val="nil"/>
              <w:tr2bl w:val="nil"/>
            </w:tcBorders>
            <w:shd w:val="clear" w:color="auto" w:fill="auto"/>
            <w:vAlign w:val="center"/>
          </w:tcPr>
          <w:p w14:paraId="251E294A">
            <w:pPr>
              <w:rPr>
                <w:rFonts w:ascii="仿宋" w:hAnsi="仿宋" w:eastAsia="仿宋" w:cs="宋体"/>
                <w:szCs w:val="21"/>
              </w:rPr>
            </w:pPr>
            <w:r>
              <w:rPr>
                <w:rFonts w:hint="eastAsia" w:ascii="仿宋" w:hAnsi="仿宋" w:eastAsia="仿宋"/>
                <w:szCs w:val="21"/>
              </w:rPr>
              <w:t>成立时间</w:t>
            </w:r>
          </w:p>
        </w:tc>
        <w:tc>
          <w:tcPr>
            <w:tcW w:w="2950" w:type="dxa"/>
            <w:gridSpan w:val="2"/>
            <w:tcBorders>
              <w:tl2br w:val="nil"/>
              <w:tr2bl w:val="nil"/>
            </w:tcBorders>
            <w:shd w:val="clear" w:color="auto" w:fill="auto"/>
            <w:vAlign w:val="center"/>
          </w:tcPr>
          <w:p w14:paraId="08EAAEE0">
            <w:pPr>
              <w:rPr>
                <w:rFonts w:hint="default" w:ascii="仿宋" w:hAnsi="仿宋" w:eastAsia="仿宋" w:cs="宋体"/>
                <w:szCs w:val="21"/>
                <w:lang w:val="en-US" w:eastAsia="zh-CN"/>
              </w:rPr>
            </w:pPr>
            <w:r>
              <w:rPr>
                <w:rFonts w:hint="eastAsia" w:ascii="仿宋" w:hAnsi="仿宋" w:eastAsia="仿宋" w:cs="宋体"/>
                <w:szCs w:val="21"/>
                <w:lang w:val="en-US" w:eastAsia="zh-CN"/>
              </w:rPr>
              <w:t>2020.8.7</w:t>
            </w:r>
          </w:p>
        </w:tc>
        <w:tc>
          <w:tcPr>
            <w:tcW w:w="1698" w:type="dxa"/>
            <w:gridSpan w:val="3"/>
            <w:tcBorders>
              <w:tl2br w:val="nil"/>
              <w:tr2bl w:val="nil"/>
            </w:tcBorders>
            <w:shd w:val="clear" w:color="auto" w:fill="auto"/>
            <w:vAlign w:val="center"/>
          </w:tcPr>
          <w:p w14:paraId="5F2F6D85">
            <w:pPr>
              <w:rPr>
                <w:rFonts w:ascii="仿宋" w:hAnsi="仿宋" w:eastAsia="仿宋" w:cs="宋体"/>
                <w:szCs w:val="21"/>
              </w:rPr>
            </w:pPr>
          </w:p>
        </w:tc>
        <w:tc>
          <w:tcPr>
            <w:tcW w:w="2503" w:type="dxa"/>
            <w:gridSpan w:val="3"/>
            <w:tcBorders>
              <w:tl2br w:val="nil"/>
              <w:tr2bl w:val="nil"/>
            </w:tcBorders>
            <w:shd w:val="clear" w:color="auto" w:fill="auto"/>
            <w:vAlign w:val="center"/>
          </w:tcPr>
          <w:p w14:paraId="7BD64B86">
            <w:pPr>
              <w:rPr>
                <w:rFonts w:hint="eastAsia" w:ascii="仿宋" w:hAnsi="仿宋" w:eastAsia="仿宋" w:cs="宋体"/>
                <w:szCs w:val="21"/>
                <w:lang w:eastAsia="zh-CN"/>
              </w:rPr>
            </w:pPr>
          </w:p>
        </w:tc>
      </w:tr>
      <w:tr w14:paraId="30E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tcBorders>
              <w:tl2br w:val="nil"/>
              <w:tr2bl w:val="nil"/>
            </w:tcBorders>
            <w:shd w:val="clear" w:color="auto" w:fill="auto"/>
            <w:vAlign w:val="center"/>
          </w:tcPr>
          <w:p w14:paraId="44E236AA">
            <w:pPr>
              <w:rPr>
                <w:rFonts w:ascii="仿宋" w:hAnsi="仿宋" w:eastAsia="仿宋" w:cs="宋体"/>
                <w:szCs w:val="21"/>
              </w:rPr>
            </w:pPr>
            <w:r>
              <w:rPr>
                <w:rFonts w:hint="eastAsia" w:ascii="仿宋" w:hAnsi="仿宋" w:eastAsia="仿宋"/>
                <w:szCs w:val="21"/>
              </w:rPr>
              <w:t>经营范围</w:t>
            </w:r>
          </w:p>
        </w:tc>
        <w:tc>
          <w:tcPr>
            <w:tcW w:w="7151" w:type="dxa"/>
            <w:gridSpan w:val="8"/>
            <w:tcBorders>
              <w:tl2br w:val="nil"/>
              <w:tr2bl w:val="nil"/>
            </w:tcBorders>
            <w:shd w:val="clear" w:color="auto" w:fill="auto"/>
            <w:vAlign w:val="center"/>
          </w:tcPr>
          <w:p w14:paraId="37EF0933">
            <w:pPr>
              <w:rPr>
                <w:rFonts w:ascii="仿宋" w:hAnsi="仿宋" w:eastAsia="仿宋" w:cs="宋体"/>
                <w:szCs w:val="21"/>
              </w:rPr>
            </w:pPr>
            <w:r>
              <w:rPr>
                <w:rFonts w:ascii="仿宋" w:hAnsi="仿宋" w:eastAsia="仿宋" w:cs="宋体"/>
                <w:szCs w:val="21"/>
              </w:rPr>
              <w:t>一般项目：物业管理；房地产评估；房地产经纪；房地产咨询；住房租赁；非居住房地产租赁；建筑材料销售；铁路运输辅助活动；陆路国际货物运输代理；停车场服务；机械设备租赁；运输设备租赁服务；仓储设备租赁服务；单位后勤管理服务；企业管理；公共事业管理服务；园区管理服务；供应链管理服务；法律咨询（不包括律师事务所业务）；信息咨询服务（不含许可类信息咨询服务）；环保咨询服务；企业管理咨询；劳务服务（不含劳务派遣）；市政设施管理；城市绿化管理；建筑物清洁服务；专业保洁、清洗、消毒服务（除依法须经批准的项目外，凭营业执照依法自主开展经营活动）</w:t>
            </w:r>
          </w:p>
        </w:tc>
      </w:tr>
      <w:tr w14:paraId="653B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tcBorders>
              <w:tl2br w:val="nil"/>
              <w:tr2bl w:val="nil"/>
            </w:tcBorders>
            <w:shd w:val="clear" w:color="auto" w:fill="auto"/>
            <w:vAlign w:val="center"/>
          </w:tcPr>
          <w:p w14:paraId="0C9FDCB8">
            <w:pPr>
              <w:rPr>
                <w:rFonts w:ascii="仿宋" w:hAnsi="仿宋" w:eastAsia="仿宋" w:cs="宋体"/>
                <w:szCs w:val="21"/>
              </w:rPr>
            </w:pPr>
            <w:r>
              <w:rPr>
                <w:rFonts w:hint="eastAsia" w:ascii="仿宋" w:hAnsi="仿宋" w:eastAsia="仿宋"/>
                <w:szCs w:val="21"/>
              </w:rPr>
              <w:t>所有制类别</w:t>
            </w:r>
          </w:p>
        </w:tc>
        <w:tc>
          <w:tcPr>
            <w:tcW w:w="3236" w:type="dxa"/>
            <w:gridSpan w:val="3"/>
            <w:tcBorders>
              <w:tl2br w:val="nil"/>
              <w:tr2bl w:val="nil"/>
            </w:tcBorders>
            <w:shd w:val="clear" w:color="auto" w:fill="auto"/>
            <w:vAlign w:val="center"/>
          </w:tcPr>
          <w:p w14:paraId="38AEF244">
            <w:pPr>
              <w:rPr>
                <w:rFonts w:hint="default" w:ascii="仿宋" w:hAnsi="仿宋" w:eastAsia="仿宋" w:cs="宋体"/>
                <w:szCs w:val="21"/>
                <w:lang w:val="en-US" w:eastAsia="zh-CN"/>
              </w:rPr>
            </w:pPr>
            <w:r>
              <w:rPr>
                <w:rFonts w:hint="eastAsia" w:ascii="仿宋" w:hAnsi="仿宋" w:eastAsia="仿宋" w:cs="宋体"/>
                <w:szCs w:val="21"/>
                <w:lang w:val="en-US" w:eastAsia="zh-CN"/>
              </w:rPr>
              <w:t>有限责任公司</w:t>
            </w:r>
          </w:p>
        </w:tc>
        <w:tc>
          <w:tcPr>
            <w:tcW w:w="1961" w:type="dxa"/>
            <w:gridSpan w:val="3"/>
            <w:tcBorders>
              <w:tl2br w:val="nil"/>
              <w:tr2bl w:val="nil"/>
            </w:tcBorders>
            <w:shd w:val="clear" w:color="auto" w:fill="auto"/>
            <w:vAlign w:val="center"/>
          </w:tcPr>
          <w:p w14:paraId="1CCE1E8F">
            <w:pPr>
              <w:rPr>
                <w:rFonts w:ascii="仿宋" w:hAnsi="仿宋" w:eastAsia="仿宋" w:cs="宋体"/>
                <w:szCs w:val="21"/>
              </w:rPr>
            </w:pPr>
          </w:p>
        </w:tc>
        <w:tc>
          <w:tcPr>
            <w:tcW w:w="1954" w:type="dxa"/>
            <w:gridSpan w:val="2"/>
            <w:tcBorders>
              <w:tl2br w:val="nil"/>
              <w:tr2bl w:val="nil"/>
            </w:tcBorders>
            <w:shd w:val="clear" w:color="auto" w:fill="auto"/>
            <w:vAlign w:val="center"/>
          </w:tcPr>
          <w:p w14:paraId="2167396A">
            <w:pPr>
              <w:rPr>
                <w:rFonts w:ascii="仿宋" w:hAnsi="仿宋" w:eastAsia="仿宋" w:cs="宋体"/>
                <w:szCs w:val="21"/>
              </w:rPr>
            </w:pPr>
          </w:p>
        </w:tc>
      </w:tr>
      <w:tr w14:paraId="2B7A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tcBorders>
              <w:tl2br w:val="nil"/>
              <w:tr2bl w:val="nil"/>
            </w:tcBorders>
            <w:shd w:val="clear" w:color="auto" w:fill="auto"/>
            <w:vAlign w:val="center"/>
          </w:tcPr>
          <w:p w14:paraId="55E17C0F">
            <w:pPr>
              <w:rPr>
                <w:rFonts w:ascii="仿宋" w:hAnsi="仿宋" w:eastAsia="仿宋" w:cs="宋体"/>
                <w:szCs w:val="21"/>
              </w:rPr>
            </w:pPr>
            <w:r>
              <w:rPr>
                <w:rFonts w:hint="eastAsia" w:ascii="仿宋" w:hAnsi="仿宋" w:eastAsia="仿宋"/>
                <w:szCs w:val="21"/>
              </w:rPr>
              <w:t>行业(国民经济行业分类标准)</w:t>
            </w:r>
          </w:p>
        </w:tc>
        <w:tc>
          <w:tcPr>
            <w:tcW w:w="3236" w:type="dxa"/>
            <w:gridSpan w:val="3"/>
            <w:tcBorders>
              <w:tl2br w:val="nil"/>
              <w:tr2bl w:val="nil"/>
            </w:tcBorders>
            <w:shd w:val="clear" w:color="auto" w:fill="auto"/>
            <w:vAlign w:val="center"/>
          </w:tcPr>
          <w:p w14:paraId="660412C5">
            <w:pPr>
              <w:rPr>
                <w:rFonts w:hint="default" w:ascii="仿宋" w:hAnsi="仿宋" w:eastAsia="仿宋" w:cs="宋体"/>
                <w:szCs w:val="21"/>
                <w:lang w:val="en-US" w:eastAsia="zh-CN"/>
              </w:rPr>
            </w:pPr>
            <w:r>
              <w:rPr>
                <w:rFonts w:hint="eastAsia" w:ascii="仿宋" w:hAnsi="仿宋" w:eastAsia="仿宋" w:cs="宋体"/>
                <w:szCs w:val="21"/>
                <w:lang w:val="en-US" w:eastAsia="zh-CN"/>
              </w:rPr>
              <w:t>商务服务</w:t>
            </w:r>
          </w:p>
        </w:tc>
        <w:tc>
          <w:tcPr>
            <w:tcW w:w="1961" w:type="dxa"/>
            <w:gridSpan w:val="3"/>
            <w:tcBorders>
              <w:tl2br w:val="nil"/>
              <w:tr2bl w:val="nil"/>
            </w:tcBorders>
            <w:shd w:val="clear" w:color="auto" w:fill="auto"/>
            <w:vAlign w:val="center"/>
          </w:tcPr>
          <w:p w14:paraId="0AA7B887">
            <w:pPr>
              <w:rPr>
                <w:rFonts w:ascii="仿宋" w:hAnsi="仿宋" w:eastAsia="仿宋" w:cs="宋体"/>
                <w:szCs w:val="21"/>
              </w:rPr>
            </w:pPr>
          </w:p>
        </w:tc>
        <w:tc>
          <w:tcPr>
            <w:tcW w:w="1954" w:type="dxa"/>
            <w:gridSpan w:val="2"/>
            <w:tcBorders>
              <w:tl2br w:val="nil"/>
              <w:tr2bl w:val="nil"/>
            </w:tcBorders>
            <w:shd w:val="clear" w:color="auto" w:fill="auto"/>
            <w:vAlign w:val="center"/>
          </w:tcPr>
          <w:p w14:paraId="0B87907D">
            <w:pPr>
              <w:rPr>
                <w:rFonts w:ascii="仿宋" w:hAnsi="仿宋" w:eastAsia="仿宋" w:cs="宋体"/>
                <w:szCs w:val="21"/>
              </w:rPr>
            </w:pPr>
          </w:p>
        </w:tc>
      </w:tr>
      <w:tr w14:paraId="595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tcBorders>
              <w:tl2br w:val="nil"/>
              <w:tr2bl w:val="nil"/>
            </w:tcBorders>
            <w:shd w:val="clear" w:color="auto" w:fill="auto"/>
            <w:vAlign w:val="center"/>
          </w:tcPr>
          <w:p w14:paraId="41E4D119">
            <w:pPr>
              <w:rPr>
                <w:rFonts w:ascii="仿宋" w:hAnsi="仿宋" w:eastAsia="仿宋" w:cs="宋体"/>
                <w:szCs w:val="21"/>
              </w:rPr>
            </w:pPr>
            <w:r>
              <w:rPr>
                <w:rFonts w:hint="eastAsia" w:ascii="仿宋" w:hAnsi="仿宋" w:eastAsia="仿宋"/>
                <w:szCs w:val="21"/>
              </w:rPr>
              <w:t>注册资本(万元)</w:t>
            </w:r>
          </w:p>
        </w:tc>
        <w:tc>
          <w:tcPr>
            <w:tcW w:w="3236" w:type="dxa"/>
            <w:gridSpan w:val="3"/>
            <w:tcBorders>
              <w:tl2br w:val="nil"/>
              <w:tr2bl w:val="nil"/>
            </w:tcBorders>
            <w:shd w:val="clear" w:color="auto" w:fill="auto"/>
            <w:vAlign w:val="center"/>
          </w:tcPr>
          <w:p w14:paraId="47455F92">
            <w:pPr>
              <w:rPr>
                <w:rFonts w:hint="default" w:ascii="仿宋" w:hAnsi="仿宋" w:eastAsia="仿宋" w:cs="宋体"/>
                <w:szCs w:val="21"/>
                <w:lang w:val="en-US" w:eastAsia="zh-CN"/>
              </w:rPr>
            </w:pPr>
            <w:r>
              <w:rPr>
                <w:rFonts w:hint="eastAsia" w:ascii="仿宋" w:hAnsi="仿宋" w:eastAsia="仿宋" w:cs="宋体"/>
                <w:szCs w:val="21"/>
                <w:lang w:val="en-US" w:eastAsia="zh-CN"/>
              </w:rPr>
              <w:t>300</w:t>
            </w:r>
          </w:p>
        </w:tc>
        <w:tc>
          <w:tcPr>
            <w:tcW w:w="1961" w:type="dxa"/>
            <w:gridSpan w:val="3"/>
            <w:tcBorders>
              <w:tl2br w:val="nil"/>
              <w:tr2bl w:val="nil"/>
            </w:tcBorders>
            <w:shd w:val="clear" w:color="auto" w:fill="auto"/>
            <w:vAlign w:val="center"/>
          </w:tcPr>
          <w:p w14:paraId="37882289">
            <w:pPr>
              <w:rPr>
                <w:rFonts w:ascii="仿宋" w:hAnsi="仿宋" w:eastAsia="仿宋" w:cs="宋体"/>
                <w:szCs w:val="21"/>
              </w:rPr>
            </w:pPr>
            <w:r>
              <w:rPr>
                <w:rFonts w:hint="eastAsia" w:ascii="仿宋" w:hAnsi="仿宋" w:eastAsia="仿宋"/>
                <w:szCs w:val="21"/>
              </w:rPr>
              <w:t>注册资本到位率（%）</w:t>
            </w:r>
          </w:p>
        </w:tc>
        <w:tc>
          <w:tcPr>
            <w:tcW w:w="1954" w:type="dxa"/>
            <w:gridSpan w:val="2"/>
            <w:tcBorders>
              <w:tl2br w:val="nil"/>
              <w:tr2bl w:val="nil"/>
            </w:tcBorders>
            <w:shd w:val="clear" w:color="auto" w:fill="auto"/>
            <w:vAlign w:val="center"/>
          </w:tcPr>
          <w:p w14:paraId="55EAD1B7">
            <w:pPr>
              <w:rPr>
                <w:rFonts w:hint="default" w:ascii="仿宋" w:hAnsi="仿宋" w:eastAsia="仿宋" w:cs="宋体"/>
                <w:szCs w:val="21"/>
                <w:lang w:val="en-US" w:eastAsia="zh-CN"/>
              </w:rPr>
            </w:pPr>
          </w:p>
        </w:tc>
      </w:tr>
      <w:tr w14:paraId="4CAF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restart"/>
            <w:tcBorders>
              <w:tl2br w:val="nil"/>
              <w:tr2bl w:val="nil"/>
            </w:tcBorders>
            <w:shd w:val="clear" w:color="auto" w:fill="auto"/>
            <w:tcMar>
              <w:top w:w="15" w:type="dxa"/>
              <w:left w:w="15" w:type="dxa"/>
              <w:bottom w:w="15" w:type="dxa"/>
              <w:right w:w="15" w:type="dxa"/>
            </w:tcMar>
            <w:vAlign w:val="center"/>
          </w:tcPr>
          <w:p w14:paraId="430A41C2">
            <w:pPr>
              <w:rPr>
                <w:rFonts w:ascii="仿宋" w:hAnsi="仿宋" w:eastAsia="仿宋"/>
                <w:szCs w:val="21"/>
              </w:rPr>
            </w:pPr>
            <w:r>
              <w:rPr>
                <w:rFonts w:hint="eastAsia" w:ascii="仿宋" w:hAnsi="仿宋" w:eastAsia="仿宋"/>
                <w:szCs w:val="21"/>
              </w:rPr>
              <w:t>财务情况</w:t>
            </w:r>
          </w:p>
          <w:p w14:paraId="25E00876">
            <w:pPr>
              <w:rPr>
                <w:rFonts w:ascii="仿宋" w:hAnsi="仿宋" w:eastAsia="仿宋" w:cs="宋体"/>
                <w:szCs w:val="21"/>
              </w:rPr>
            </w:pPr>
            <w:r>
              <w:rPr>
                <w:rFonts w:hint="eastAsia" w:ascii="仿宋" w:hAnsi="仿宋" w:eastAsia="仿宋"/>
                <w:szCs w:val="21"/>
              </w:rPr>
              <w:t>信用情况（单位：万元）</w:t>
            </w:r>
          </w:p>
        </w:tc>
        <w:tc>
          <w:tcPr>
            <w:tcW w:w="2232" w:type="dxa"/>
            <w:tcBorders>
              <w:tl2br w:val="nil"/>
              <w:tr2bl w:val="nil"/>
            </w:tcBorders>
            <w:shd w:val="clear" w:color="auto" w:fill="auto"/>
            <w:tcMar>
              <w:top w:w="15" w:type="dxa"/>
              <w:left w:w="15" w:type="dxa"/>
              <w:bottom w:w="15" w:type="dxa"/>
              <w:right w:w="15" w:type="dxa"/>
            </w:tcMar>
            <w:vAlign w:val="center"/>
          </w:tcPr>
          <w:p w14:paraId="58519BB0">
            <w:pPr>
              <w:rPr>
                <w:rFonts w:ascii="仿宋" w:hAnsi="仿宋" w:eastAsia="仿宋" w:cs="宋体"/>
                <w:szCs w:val="21"/>
              </w:rPr>
            </w:pPr>
            <w:r>
              <w:rPr>
                <w:rFonts w:hint="eastAsia" w:ascii="仿宋" w:hAnsi="仿宋" w:eastAsia="仿宋"/>
                <w:szCs w:val="21"/>
              </w:rPr>
              <w:t>报告期</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0BF4E838">
            <w:pPr>
              <w:rPr>
                <w:rFonts w:ascii="仿宋" w:hAnsi="仿宋" w:eastAsia="仿宋" w:cs="宋体"/>
                <w:color w:val="FF0000"/>
                <w:szCs w:val="21"/>
              </w:rPr>
            </w:pPr>
            <w:r>
              <w:rPr>
                <w:rFonts w:hint="eastAsia" w:ascii="仿宋" w:hAnsi="仿宋" w:eastAsia="仿宋" w:cs="宋体"/>
                <w:color w:val="FF0000"/>
                <w:szCs w:val="21"/>
              </w:rPr>
              <w:t>前三年</w:t>
            </w:r>
          </w:p>
        </w:tc>
        <w:tc>
          <w:tcPr>
            <w:tcW w:w="979" w:type="dxa"/>
            <w:tcBorders>
              <w:tl2br w:val="nil"/>
              <w:tr2bl w:val="nil"/>
            </w:tcBorders>
            <w:shd w:val="clear" w:color="auto" w:fill="auto"/>
            <w:vAlign w:val="center"/>
          </w:tcPr>
          <w:p w14:paraId="60618F66">
            <w:pPr>
              <w:rPr>
                <w:rFonts w:ascii="仿宋" w:hAnsi="仿宋" w:eastAsia="仿宋" w:cs="宋体"/>
                <w:color w:val="FF0000"/>
                <w:szCs w:val="21"/>
              </w:rPr>
            </w:pPr>
            <w:r>
              <w:rPr>
                <w:rFonts w:hint="eastAsia" w:ascii="仿宋" w:hAnsi="仿宋" w:eastAsia="仿宋" w:cs="宋体"/>
                <w:color w:val="FF0000"/>
                <w:szCs w:val="21"/>
              </w:rPr>
              <w:t>前二年</w:t>
            </w:r>
          </w:p>
        </w:tc>
        <w:tc>
          <w:tcPr>
            <w:tcW w:w="982" w:type="dxa"/>
            <w:gridSpan w:val="2"/>
            <w:tcBorders>
              <w:tl2br w:val="nil"/>
              <w:tr2bl w:val="nil"/>
            </w:tcBorders>
            <w:shd w:val="clear" w:color="auto" w:fill="auto"/>
            <w:vAlign w:val="center"/>
          </w:tcPr>
          <w:p w14:paraId="7D9931AC">
            <w:pPr>
              <w:rPr>
                <w:rFonts w:ascii="仿宋" w:hAnsi="仿宋" w:eastAsia="仿宋" w:cs="宋体"/>
                <w:color w:val="FF0000"/>
                <w:szCs w:val="21"/>
              </w:rPr>
            </w:pPr>
            <w:r>
              <w:rPr>
                <w:rFonts w:hint="eastAsia" w:ascii="仿宋" w:hAnsi="仿宋" w:eastAsia="仿宋" w:cs="宋体"/>
                <w:color w:val="FF0000"/>
                <w:szCs w:val="21"/>
              </w:rPr>
              <w:t>前一年</w:t>
            </w:r>
          </w:p>
        </w:tc>
        <w:tc>
          <w:tcPr>
            <w:tcW w:w="975" w:type="dxa"/>
            <w:tcBorders>
              <w:tl2br w:val="nil"/>
              <w:tr2bl w:val="nil"/>
            </w:tcBorders>
            <w:shd w:val="clear" w:color="auto" w:fill="auto"/>
            <w:vAlign w:val="center"/>
          </w:tcPr>
          <w:p w14:paraId="3C95B60C">
            <w:pPr>
              <w:rPr>
                <w:rFonts w:ascii="仿宋" w:hAnsi="仿宋" w:eastAsia="仿宋" w:cs="宋体"/>
                <w:color w:val="FF0000"/>
                <w:szCs w:val="21"/>
              </w:rPr>
            </w:pPr>
            <w:r>
              <w:rPr>
                <w:rFonts w:hint="eastAsia" w:ascii="仿宋" w:hAnsi="仿宋" w:eastAsia="仿宋" w:cs="宋体"/>
                <w:color w:val="FF0000"/>
                <w:szCs w:val="21"/>
              </w:rPr>
              <w:t>最近一期</w:t>
            </w:r>
          </w:p>
        </w:tc>
        <w:tc>
          <w:tcPr>
            <w:tcW w:w="979" w:type="dxa"/>
            <w:tcBorders>
              <w:tl2br w:val="nil"/>
              <w:tr2bl w:val="nil"/>
            </w:tcBorders>
            <w:shd w:val="clear" w:color="auto" w:fill="auto"/>
            <w:vAlign w:val="center"/>
          </w:tcPr>
          <w:p w14:paraId="5251AF99">
            <w:pPr>
              <w:ind w:firstLine="105" w:firstLineChars="50"/>
              <w:rPr>
                <w:rFonts w:ascii="仿宋" w:hAnsi="仿宋" w:eastAsia="仿宋" w:cs="宋体"/>
                <w:color w:val="FF0000"/>
                <w:szCs w:val="21"/>
              </w:rPr>
            </w:pPr>
            <w:r>
              <w:rPr>
                <w:rFonts w:hint="eastAsia" w:ascii="仿宋" w:hAnsi="仿宋" w:eastAsia="仿宋" w:cs="宋体"/>
                <w:color w:val="FF0000"/>
                <w:szCs w:val="21"/>
              </w:rPr>
              <w:t>备   注</w:t>
            </w:r>
          </w:p>
        </w:tc>
      </w:tr>
      <w:tr w14:paraId="3D68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538B646A">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020CF8F2">
            <w:pPr>
              <w:rPr>
                <w:rFonts w:ascii="仿宋" w:hAnsi="仿宋" w:eastAsia="仿宋" w:cs="宋体"/>
                <w:szCs w:val="21"/>
              </w:rPr>
            </w:pPr>
            <w:r>
              <w:rPr>
                <w:rFonts w:hint="eastAsia" w:ascii="仿宋" w:hAnsi="仿宋" w:eastAsia="仿宋"/>
                <w:szCs w:val="21"/>
              </w:rPr>
              <w:t>总资产</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40885DA8">
            <w:pPr>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7E2C882B">
            <w:pPr>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1E8D3EAD">
            <w:pPr>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710ED9B7">
            <w:pPr>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5F809FB3">
            <w:pPr>
              <w:rPr>
                <w:rFonts w:ascii="仿宋" w:hAnsi="仿宋" w:eastAsia="仿宋" w:cs="宋体"/>
                <w:szCs w:val="21"/>
              </w:rPr>
            </w:pPr>
          </w:p>
        </w:tc>
      </w:tr>
      <w:tr w14:paraId="349C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5AB04806">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4F13F83E">
            <w:pPr>
              <w:spacing w:line="375" w:lineRule="atLeast"/>
              <w:rPr>
                <w:rFonts w:ascii="仿宋" w:hAnsi="仿宋" w:eastAsia="仿宋" w:cs="宋体"/>
                <w:szCs w:val="21"/>
              </w:rPr>
            </w:pPr>
            <w:r>
              <w:rPr>
                <w:rFonts w:hint="eastAsia" w:ascii="仿宋" w:hAnsi="仿宋" w:eastAsia="仿宋"/>
                <w:szCs w:val="21"/>
              </w:rPr>
              <w:t>其中：货币资金</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71A81FB6">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1DDCF02B">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58F05B31">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48961747">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778856F9">
            <w:pPr>
              <w:spacing w:line="375" w:lineRule="atLeast"/>
              <w:rPr>
                <w:rFonts w:ascii="仿宋" w:hAnsi="仿宋" w:eastAsia="仿宋" w:cs="宋体"/>
                <w:szCs w:val="21"/>
              </w:rPr>
            </w:pPr>
          </w:p>
        </w:tc>
      </w:tr>
      <w:tr w14:paraId="45FD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055952DC">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2EB9A0E2">
            <w:pPr>
              <w:spacing w:line="375" w:lineRule="atLeast"/>
              <w:ind w:firstLine="630" w:firstLineChars="300"/>
              <w:rPr>
                <w:rFonts w:ascii="仿宋" w:hAnsi="仿宋" w:eastAsia="仿宋" w:cs="宋体"/>
                <w:szCs w:val="21"/>
              </w:rPr>
            </w:pPr>
            <w:r>
              <w:rPr>
                <w:rFonts w:hint="eastAsia" w:ascii="仿宋" w:hAnsi="仿宋" w:eastAsia="仿宋"/>
                <w:szCs w:val="21"/>
              </w:rPr>
              <w:t xml:space="preserve">流动资产 </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516802C2">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346DC244">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6A79E6C6">
            <w:pPr>
              <w:spacing w:line="375" w:lineRule="atLeast"/>
              <w:rPr>
                <w:rFonts w:ascii="仿宋" w:hAnsi="仿宋" w:eastAsia="仿宋" w:cs="宋体"/>
                <w:szCs w:val="21"/>
              </w:rPr>
            </w:pPr>
          </w:p>
        </w:tc>
        <w:tc>
          <w:tcPr>
            <w:tcW w:w="975" w:type="dxa"/>
            <w:tcBorders>
              <w:tl2br w:val="nil"/>
              <w:tr2bl w:val="nil"/>
            </w:tcBorders>
            <w:shd w:val="clear" w:color="auto" w:fill="auto"/>
            <w:vAlign w:val="center"/>
          </w:tcPr>
          <w:p w14:paraId="0D2EF233">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243BB424">
            <w:pPr>
              <w:spacing w:line="375" w:lineRule="atLeast"/>
              <w:rPr>
                <w:rFonts w:ascii="仿宋" w:hAnsi="仿宋" w:eastAsia="仿宋" w:cs="宋体"/>
                <w:szCs w:val="21"/>
              </w:rPr>
            </w:pPr>
          </w:p>
        </w:tc>
      </w:tr>
      <w:tr w14:paraId="2563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412F1347">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27E2A739">
            <w:pPr>
              <w:spacing w:line="375" w:lineRule="atLeast"/>
              <w:rPr>
                <w:rFonts w:ascii="仿宋" w:hAnsi="仿宋" w:eastAsia="仿宋" w:cs="宋体"/>
                <w:szCs w:val="21"/>
              </w:rPr>
            </w:pPr>
            <w:r>
              <w:rPr>
                <w:rFonts w:hint="eastAsia" w:ascii="仿宋" w:hAnsi="仿宋" w:eastAsia="仿宋"/>
                <w:szCs w:val="21"/>
              </w:rPr>
              <w:t>总负债</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2B244D54">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15CDD499">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38E1907A">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228025DC">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4EEA2A54">
            <w:pPr>
              <w:spacing w:line="375" w:lineRule="atLeast"/>
              <w:rPr>
                <w:rFonts w:ascii="仿宋" w:hAnsi="仿宋" w:eastAsia="仿宋" w:cs="宋体"/>
                <w:szCs w:val="21"/>
              </w:rPr>
            </w:pPr>
          </w:p>
        </w:tc>
      </w:tr>
      <w:tr w14:paraId="1B27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79B4D20B">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499818B4">
            <w:pPr>
              <w:spacing w:line="375" w:lineRule="atLeast"/>
              <w:rPr>
                <w:rFonts w:ascii="仿宋" w:hAnsi="仿宋" w:eastAsia="仿宋" w:cs="宋体"/>
                <w:szCs w:val="21"/>
              </w:rPr>
            </w:pPr>
            <w:r>
              <w:rPr>
                <w:rFonts w:hint="eastAsia" w:ascii="仿宋" w:hAnsi="仿宋" w:eastAsia="仿宋"/>
                <w:szCs w:val="21"/>
              </w:rPr>
              <w:t>其中：短期负债</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1622E607">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6A3D1136">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408665CE">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55A64FD7">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28AA5349">
            <w:pPr>
              <w:spacing w:line="375" w:lineRule="atLeast"/>
              <w:rPr>
                <w:rFonts w:ascii="仿宋" w:hAnsi="仿宋" w:eastAsia="仿宋" w:cs="宋体"/>
                <w:szCs w:val="21"/>
              </w:rPr>
            </w:pPr>
          </w:p>
        </w:tc>
      </w:tr>
      <w:tr w14:paraId="3310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7F985B73">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3FBB6B56">
            <w:pPr>
              <w:spacing w:line="375" w:lineRule="atLeast"/>
              <w:rPr>
                <w:rFonts w:ascii="仿宋" w:hAnsi="仿宋" w:eastAsia="仿宋"/>
                <w:szCs w:val="21"/>
              </w:rPr>
            </w:pPr>
            <w:r>
              <w:rPr>
                <w:rFonts w:hint="eastAsia" w:ascii="仿宋" w:hAnsi="仿宋" w:eastAsia="仿宋"/>
                <w:szCs w:val="21"/>
              </w:rPr>
              <w:t xml:space="preserve">      长期负债</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6309F65D">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74D467FA">
            <w:pPr>
              <w:spacing w:line="375" w:lineRule="atLeast"/>
              <w:rPr>
                <w:rFonts w:hint="default" w:ascii="仿宋" w:hAnsi="仿宋" w:eastAsia="仿宋"/>
                <w:szCs w:val="21"/>
                <w:lang w:val="en-US" w:eastAsia="zh-CN"/>
              </w:rPr>
            </w:pPr>
          </w:p>
        </w:tc>
        <w:tc>
          <w:tcPr>
            <w:tcW w:w="982" w:type="dxa"/>
            <w:gridSpan w:val="2"/>
            <w:tcBorders>
              <w:tl2br w:val="nil"/>
              <w:tr2bl w:val="nil"/>
            </w:tcBorders>
            <w:shd w:val="clear" w:color="auto" w:fill="auto"/>
            <w:vAlign w:val="center"/>
          </w:tcPr>
          <w:p w14:paraId="2D873F01">
            <w:pPr>
              <w:spacing w:line="375" w:lineRule="atLeast"/>
              <w:rPr>
                <w:rFonts w:hint="default" w:ascii="仿宋" w:hAnsi="仿宋" w:eastAsia="仿宋"/>
                <w:szCs w:val="21"/>
                <w:lang w:val="en-US" w:eastAsia="zh-CN"/>
              </w:rPr>
            </w:pPr>
          </w:p>
        </w:tc>
        <w:tc>
          <w:tcPr>
            <w:tcW w:w="975" w:type="dxa"/>
            <w:tcBorders>
              <w:tl2br w:val="nil"/>
              <w:tr2bl w:val="nil"/>
            </w:tcBorders>
            <w:shd w:val="clear" w:color="auto" w:fill="auto"/>
            <w:vAlign w:val="center"/>
          </w:tcPr>
          <w:p w14:paraId="7325BA18">
            <w:pPr>
              <w:spacing w:line="375" w:lineRule="atLeast"/>
              <w:rPr>
                <w:rFonts w:hint="default" w:ascii="仿宋" w:hAnsi="仿宋" w:eastAsia="仿宋"/>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7D888723">
            <w:pPr>
              <w:spacing w:line="375" w:lineRule="atLeast"/>
              <w:rPr>
                <w:rFonts w:ascii="仿宋" w:hAnsi="仿宋" w:eastAsia="仿宋" w:cs="宋体"/>
                <w:szCs w:val="21"/>
              </w:rPr>
            </w:pPr>
          </w:p>
        </w:tc>
      </w:tr>
      <w:tr w14:paraId="09C3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51233D93">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2FFAB3E9">
            <w:pPr>
              <w:spacing w:line="375" w:lineRule="atLeast"/>
              <w:rPr>
                <w:rFonts w:ascii="仿宋" w:hAnsi="仿宋" w:eastAsia="仿宋"/>
                <w:szCs w:val="21"/>
              </w:rPr>
            </w:pPr>
            <w:r>
              <w:rPr>
                <w:rFonts w:hint="eastAsia" w:ascii="仿宋" w:hAnsi="仿宋" w:eastAsia="仿宋"/>
                <w:szCs w:val="21"/>
              </w:rPr>
              <w:t>所有者权益（净资产）</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09B9823D">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2D6ED955">
            <w:pPr>
              <w:spacing w:line="375" w:lineRule="atLeast"/>
              <w:rPr>
                <w:rFonts w:hint="default" w:ascii="仿宋" w:hAnsi="仿宋" w:eastAsia="仿宋"/>
                <w:szCs w:val="21"/>
                <w:lang w:val="en-US" w:eastAsia="zh-CN"/>
              </w:rPr>
            </w:pPr>
          </w:p>
        </w:tc>
        <w:tc>
          <w:tcPr>
            <w:tcW w:w="982" w:type="dxa"/>
            <w:gridSpan w:val="2"/>
            <w:tcBorders>
              <w:tl2br w:val="nil"/>
              <w:tr2bl w:val="nil"/>
            </w:tcBorders>
            <w:shd w:val="clear" w:color="auto" w:fill="auto"/>
            <w:vAlign w:val="center"/>
          </w:tcPr>
          <w:p w14:paraId="3E122109">
            <w:pPr>
              <w:spacing w:line="375" w:lineRule="atLeast"/>
              <w:rPr>
                <w:rFonts w:hint="default" w:ascii="仿宋" w:hAnsi="仿宋" w:eastAsia="仿宋"/>
                <w:szCs w:val="21"/>
                <w:lang w:val="en-US" w:eastAsia="zh-CN"/>
              </w:rPr>
            </w:pPr>
          </w:p>
        </w:tc>
        <w:tc>
          <w:tcPr>
            <w:tcW w:w="975" w:type="dxa"/>
            <w:tcBorders>
              <w:tl2br w:val="nil"/>
              <w:tr2bl w:val="nil"/>
            </w:tcBorders>
            <w:shd w:val="clear" w:color="auto" w:fill="auto"/>
            <w:vAlign w:val="center"/>
          </w:tcPr>
          <w:p w14:paraId="077353B9">
            <w:pPr>
              <w:spacing w:line="375" w:lineRule="atLeast"/>
              <w:rPr>
                <w:rFonts w:hint="default" w:ascii="仿宋" w:hAnsi="仿宋" w:eastAsia="仿宋"/>
                <w:szCs w:val="21"/>
                <w:lang w:val="en-US" w:eastAsia="zh-CN"/>
              </w:rPr>
            </w:pPr>
          </w:p>
        </w:tc>
        <w:tc>
          <w:tcPr>
            <w:tcW w:w="979" w:type="dxa"/>
            <w:tcBorders>
              <w:tl2br w:val="nil"/>
              <w:tr2bl w:val="nil"/>
            </w:tcBorders>
            <w:shd w:val="clear" w:color="auto" w:fill="auto"/>
            <w:tcMar>
              <w:top w:w="15" w:type="dxa"/>
              <w:left w:w="15" w:type="dxa"/>
              <w:bottom w:w="15" w:type="dxa"/>
              <w:right w:w="15" w:type="dxa"/>
            </w:tcMar>
            <w:vAlign w:val="center"/>
          </w:tcPr>
          <w:p w14:paraId="73FCF7DB">
            <w:pPr>
              <w:spacing w:line="375" w:lineRule="atLeast"/>
              <w:rPr>
                <w:rFonts w:ascii="仿宋" w:hAnsi="仿宋" w:eastAsia="仿宋" w:cs="宋体"/>
                <w:szCs w:val="21"/>
              </w:rPr>
            </w:pPr>
          </w:p>
        </w:tc>
      </w:tr>
      <w:tr w14:paraId="0864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tcMar>
              <w:top w:w="15" w:type="dxa"/>
              <w:left w:w="15" w:type="dxa"/>
              <w:bottom w:w="15" w:type="dxa"/>
              <w:right w:w="15" w:type="dxa"/>
            </w:tcMar>
            <w:vAlign w:val="center"/>
          </w:tcPr>
          <w:p w14:paraId="5A3D2BB9">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0ED44DA5">
            <w:pPr>
              <w:spacing w:line="375" w:lineRule="atLeast"/>
              <w:rPr>
                <w:rFonts w:ascii="仿宋" w:hAnsi="仿宋" w:eastAsia="仿宋" w:cs="宋体"/>
                <w:szCs w:val="21"/>
              </w:rPr>
            </w:pPr>
            <w:r>
              <w:rPr>
                <w:rFonts w:hint="eastAsia" w:ascii="仿宋" w:hAnsi="仿宋" w:eastAsia="仿宋" w:cs="宋体"/>
                <w:szCs w:val="21"/>
              </w:rPr>
              <w:t>总营业收入</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59232142">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62045947">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5E577440">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2D693E79">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222A9B89">
            <w:pPr>
              <w:spacing w:line="375" w:lineRule="atLeast"/>
              <w:rPr>
                <w:rFonts w:ascii="仿宋" w:hAnsi="仿宋" w:eastAsia="仿宋" w:cs="宋体"/>
                <w:szCs w:val="21"/>
              </w:rPr>
            </w:pPr>
          </w:p>
        </w:tc>
      </w:tr>
      <w:tr w14:paraId="49FD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tcMar>
              <w:top w:w="15" w:type="dxa"/>
              <w:left w:w="15" w:type="dxa"/>
              <w:bottom w:w="15" w:type="dxa"/>
              <w:right w:w="15" w:type="dxa"/>
            </w:tcMar>
            <w:vAlign w:val="center"/>
          </w:tcPr>
          <w:p w14:paraId="66A44620">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321F4FBB">
            <w:pPr>
              <w:spacing w:line="375" w:lineRule="atLeast"/>
              <w:rPr>
                <w:rFonts w:ascii="仿宋" w:hAnsi="仿宋" w:eastAsia="仿宋" w:cs="宋体"/>
                <w:szCs w:val="21"/>
              </w:rPr>
            </w:pPr>
            <w:r>
              <w:rPr>
                <w:rFonts w:hint="eastAsia" w:ascii="仿宋" w:hAnsi="仿宋" w:eastAsia="仿宋" w:cs="宋体"/>
                <w:szCs w:val="21"/>
              </w:rPr>
              <w:t>净利润</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477BDC5B">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6468BBB4">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738B2719">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5019E9A9">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4983844E">
            <w:pPr>
              <w:spacing w:line="375" w:lineRule="atLeast"/>
              <w:rPr>
                <w:rFonts w:ascii="仿宋" w:hAnsi="仿宋" w:eastAsia="仿宋" w:cs="宋体"/>
                <w:szCs w:val="21"/>
              </w:rPr>
            </w:pPr>
          </w:p>
        </w:tc>
      </w:tr>
      <w:tr w14:paraId="49F8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tcMar>
              <w:top w:w="15" w:type="dxa"/>
              <w:left w:w="15" w:type="dxa"/>
              <w:bottom w:w="15" w:type="dxa"/>
              <w:right w:w="15" w:type="dxa"/>
            </w:tcMar>
            <w:vAlign w:val="center"/>
          </w:tcPr>
          <w:p w14:paraId="65688C1B">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1BF2EC4D">
            <w:pPr>
              <w:spacing w:line="375" w:lineRule="atLeast"/>
              <w:rPr>
                <w:rFonts w:ascii="仿宋" w:hAnsi="仿宋" w:eastAsia="仿宋" w:cs="宋体"/>
                <w:szCs w:val="21"/>
              </w:rPr>
            </w:pPr>
            <w:r>
              <w:rPr>
                <w:rFonts w:hint="eastAsia" w:ascii="仿宋" w:hAnsi="仿宋" w:eastAsia="仿宋" w:cs="宋体"/>
                <w:szCs w:val="21"/>
              </w:rPr>
              <w:t>经营净现金流</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24BCD19E">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228047A8">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4427F00B">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651A819D">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2741DAA4">
            <w:pPr>
              <w:spacing w:line="375" w:lineRule="atLeast"/>
              <w:rPr>
                <w:rFonts w:ascii="仿宋" w:hAnsi="仿宋" w:eastAsia="仿宋" w:cs="宋体"/>
                <w:szCs w:val="21"/>
              </w:rPr>
            </w:pPr>
          </w:p>
        </w:tc>
      </w:tr>
      <w:tr w14:paraId="3B12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tcMar>
              <w:top w:w="15" w:type="dxa"/>
              <w:left w:w="15" w:type="dxa"/>
              <w:bottom w:w="15" w:type="dxa"/>
              <w:right w:w="15" w:type="dxa"/>
            </w:tcMar>
            <w:vAlign w:val="center"/>
          </w:tcPr>
          <w:p w14:paraId="1F72E2DD">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682997CF">
            <w:pPr>
              <w:spacing w:line="375" w:lineRule="atLeast"/>
              <w:rPr>
                <w:rFonts w:ascii="仿宋" w:hAnsi="仿宋" w:eastAsia="仿宋" w:cs="宋体"/>
                <w:szCs w:val="21"/>
              </w:rPr>
            </w:pPr>
            <w:r>
              <w:rPr>
                <w:rFonts w:hint="eastAsia" w:ascii="仿宋" w:hAnsi="仿宋" w:eastAsia="仿宋" w:cs="宋体"/>
                <w:szCs w:val="21"/>
              </w:rPr>
              <w:t>资产负债率</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02439247">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10B3F3CD">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74263BA0">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3CA04B79">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0BE586C1">
            <w:pPr>
              <w:spacing w:line="375" w:lineRule="atLeast"/>
              <w:rPr>
                <w:rFonts w:ascii="仿宋" w:hAnsi="仿宋" w:eastAsia="仿宋" w:cs="宋体"/>
                <w:szCs w:val="21"/>
              </w:rPr>
            </w:pPr>
          </w:p>
        </w:tc>
      </w:tr>
      <w:tr w14:paraId="4D4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tcMar>
              <w:top w:w="15" w:type="dxa"/>
              <w:left w:w="15" w:type="dxa"/>
              <w:bottom w:w="15" w:type="dxa"/>
              <w:right w:w="15" w:type="dxa"/>
            </w:tcMar>
            <w:vAlign w:val="center"/>
          </w:tcPr>
          <w:p w14:paraId="31F9B78A">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7A2B6A2B">
            <w:pPr>
              <w:spacing w:line="375" w:lineRule="atLeast"/>
              <w:rPr>
                <w:rFonts w:ascii="仿宋" w:hAnsi="仿宋" w:eastAsia="仿宋" w:cs="宋体"/>
                <w:szCs w:val="21"/>
              </w:rPr>
            </w:pPr>
            <w:r>
              <w:rPr>
                <w:rFonts w:hint="eastAsia" w:ascii="仿宋" w:hAnsi="仿宋" w:eastAsia="仿宋" w:cs="宋体"/>
                <w:szCs w:val="21"/>
              </w:rPr>
              <w:t>流动比</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6950310B">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44E0ABCE">
            <w:pPr>
              <w:spacing w:line="375" w:lineRule="atLeast"/>
              <w:rPr>
                <w:rFonts w:hint="default" w:ascii="仿宋" w:hAnsi="仿宋" w:eastAsia="仿宋" w:cs="宋体"/>
                <w:szCs w:val="21"/>
                <w:lang w:val="en-US" w:eastAsia="zh-CN"/>
              </w:rPr>
            </w:pPr>
          </w:p>
        </w:tc>
        <w:tc>
          <w:tcPr>
            <w:tcW w:w="982" w:type="dxa"/>
            <w:gridSpan w:val="2"/>
            <w:tcBorders>
              <w:tl2br w:val="nil"/>
              <w:tr2bl w:val="nil"/>
            </w:tcBorders>
            <w:shd w:val="clear" w:color="auto" w:fill="auto"/>
            <w:vAlign w:val="center"/>
          </w:tcPr>
          <w:p w14:paraId="280AEDAF">
            <w:pPr>
              <w:spacing w:line="375" w:lineRule="atLeast"/>
              <w:rPr>
                <w:rFonts w:hint="default" w:ascii="仿宋" w:hAnsi="仿宋" w:eastAsia="仿宋" w:cs="宋体"/>
                <w:szCs w:val="21"/>
                <w:lang w:val="en-US" w:eastAsia="zh-CN"/>
              </w:rPr>
            </w:pPr>
          </w:p>
        </w:tc>
        <w:tc>
          <w:tcPr>
            <w:tcW w:w="975" w:type="dxa"/>
            <w:tcBorders>
              <w:tl2br w:val="nil"/>
              <w:tr2bl w:val="nil"/>
            </w:tcBorders>
            <w:shd w:val="clear" w:color="auto" w:fill="auto"/>
            <w:vAlign w:val="center"/>
          </w:tcPr>
          <w:p w14:paraId="11D0ECFA">
            <w:pPr>
              <w:spacing w:line="375" w:lineRule="atLeast"/>
              <w:rPr>
                <w:rFonts w:hint="default" w:ascii="仿宋" w:hAnsi="仿宋" w:eastAsia="仿宋" w:cs="宋体"/>
                <w:szCs w:val="21"/>
                <w:lang w:val="en-US" w:eastAsia="zh-CN"/>
              </w:rPr>
            </w:pPr>
          </w:p>
        </w:tc>
        <w:tc>
          <w:tcPr>
            <w:tcW w:w="979" w:type="dxa"/>
            <w:tcBorders>
              <w:tl2br w:val="nil"/>
              <w:tr2bl w:val="nil"/>
            </w:tcBorders>
            <w:shd w:val="clear" w:color="auto" w:fill="auto"/>
            <w:vAlign w:val="center"/>
          </w:tcPr>
          <w:p w14:paraId="300B421D">
            <w:pPr>
              <w:spacing w:line="375" w:lineRule="atLeast"/>
              <w:rPr>
                <w:rFonts w:ascii="仿宋" w:hAnsi="仿宋" w:eastAsia="仿宋" w:cs="宋体"/>
                <w:szCs w:val="21"/>
              </w:rPr>
            </w:pPr>
          </w:p>
        </w:tc>
      </w:tr>
      <w:tr w14:paraId="7803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65A1D4D7">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33BFBEBC">
            <w:pPr>
              <w:rPr>
                <w:rFonts w:ascii="仿宋" w:hAnsi="仿宋" w:eastAsia="仿宋"/>
                <w:szCs w:val="21"/>
              </w:rPr>
            </w:pPr>
            <w:r>
              <w:rPr>
                <w:rFonts w:hint="eastAsia" w:ascii="仿宋" w:hAnsi="仿宋" w:eastAsia="仿宋"/>
                <w:szCs w:val="21"/>
              </w:rPr>
              <w:t>最新长期股权投资占所有者权益比（%）</w:t>
            </w:r>
          </w:p>
        </w:tc>
        <w:tc>
          <w:tcPr>
            <w:tcW w:w="2965" w:type="dxa"/>
            <w:gridSpan w:val="5"/>
            <w:tcBorders>
              <w:tl2br w:val="nil"/>
              <w:tr2bl w:val="nil"/>
            </w:tcBorders>
            <w:shd w:val="clear" w:color="auto" w:fill="auto"/>
            <w:tcMar>
              <w:top w:w="15" w:type="dxa"/>
              <w:left w:w="15" w:type="dxa"/>
              <w:bottom w:w="15" w:type="dxa"/>
              <w:right w:w="15" w:type="dxa"/>
            </w:tcMar>
            <w:vAlign w:val="center"/>
          </w:tcPr>
          <w:p w14:paraId="1C8BE9F5">
            <w:pPr>
              <w:rPr>
                <w:rFonts w:ascii="仿宋" w:hAnsi="仿宋" w:eastAsia="仿宋"/>
                <w:szCs w:val="21"/>
              </w:rPr>
            </w:pPr>
            <w:r>
              <w:rPr>
                <w:rFonts w:hint="eastAsia" w:ascii="仿宋" w:hAnsi="仿宋" w:eastAsia="仿宋"/>
                <w:szCs w:val="21"/>
              </w:rPr>
              <w:t>（长期股权投资+可出售金融资产）/所有者权益*100%</w:t>
            </w:r>
          </w:p>
        </w:tc>
        <w:tc>
          <w:tcPr>
            <w:tcW w:w="1954" w:type="dxa"/>
            <w:gridSpan w:val="2"/>
            <w:tcBorders>
              <w:tl2br w:val="nil"/>
              <w:tr2bl w:val="nil"/>
            </w:tcBorders>
            <w:shd w:val="clear" w:color="auto" w:fill="auto"/>
            <w:tcMar>
              <w:top w:w="15" w:type="dxa"/>
              <w:left w:w="15" w:type="dxa"/>
              <w:bottom w:w="15" w:type="dxa"/>
              <w:right w:w="15" w:type="dxa"/>
            </w:tcMar>
            <w:vAlign w:val="center"/>
          </w:tcPr>
          <w:p w14:paraId="4527544C">
            <w:pPr>
              <w:rPr>
                <w:rFonts w:ascii="仿宋" w:hAnsi="仿宋" w:eastAsia="仿宋" w:cs="宋体"/>
                <w:szCs w:val="21"/>
              </w:rPr>
            </w:pPr>
          </w:p>
        </w:tc>
      </w:tr>
      <w:tr w14:paraId="5181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514B3C9E">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791634CC">
            <w:pPr>
              <w:rPr>
                <w:rFonts w:ascii="仿宋" w:hAnsi="仿宋" w:eastAsia="仿宋" w:cs="宋体"/>
                <w:szCs w:val="21"/>
              </w:rPr>
            </w:pPr>
            <w:r>
              <w:rPr>
                <w:rFonts w:hint="eastAsia" w:ascii="仿宋" w:hAnsi="仿宋" w:eastAsia="仿宋"/>
                <w:szCs w:val="21"/>
              </w:rPr>
              <w:t>客户在我行信用评级</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3AE54297">
            <w:pPr>
              <w:rPr>
                <w:rFonts w:hint="default" w:ascii="仿宋" w:hAnsi="仿宋" w:eastAsia="仿宋" w:cs="宋体"/>
                <w:szCs w:val="21"/>
                <w:lang w:val="en-US" w:eastAsia="zh-CN"/>
              </w:rPr>
            </w:pPr>
          </w:p>
        </w:tc>
        <w:tc>
          <w:tcPr>
            <w:tcW w:w="1961" w:type="dxa"/>
            <w:gridSpan w:val="3"/>
            <w:tcBorders>
              <w:tl2br w:val="nil"/>
              <w:tr2bl w:val="nil"/>
            </w:tcBorders>
            <w:shd w:val="clear" w:color="auto" w:fill="auto"/>
            <w:tcMar>
              <w:top w:w="15" w:type="dxa"/>
              <w:left w:w="15" w:type="dxa"/>
              <w:bottom w:w="15" w:type="dxa"/>
              <w:right w:w="15" w:type="dxa"/>
            </w:tcMar>
            <w:vAlign w:val="center"/>
          </w:tcPr>
          <w:p w14:paraId="0F98F22A">
            <w:pPr>
              <w:rPr>
                <w:rFonts w:ascii="仿宋" w:hAnsi="仿宋" w:eastAsia="仿宋" w:cs="宋体"/>
                <w:szCs w:val="21"/>
              </w:rPr>
            </w:pPr>
            <w:r>
              <w:rPr>
                <w:rFonts w:hint="eastAsia" w:ascii="仿宋" w:hAnsi="仿宋" w:eastAsia="仿宋"/>
                <w:szCs w:val="21"/>
              </w:rPr>
              <w:t>风险限额</w:t>
            </w:r>
          </w:p>
        </w:tc>
        <w:tc>
          <w:tcPr>
            <w:tcW w:w="1954" w:type="dxa"/>
            <w:gridSpan w:val="2"/>
            <w:tcBorders>
              <w:tl2br w:val="nil"/>
              <w:tr2bl w:val="nil"/>
            </w:tcBorders>
            <w:shd w:val="clear" w:color="auto" w:fill="auto"/>
            <w:tcMar>
              <w:top w:w="15" w:type="dxa"/>
              <w:left w:w="15" w:type="dxa"/>
              <w:bottom w:w="15" w:type="dxa"/>
              <w:right w:w="15" w:type="dxa"/>
            </w:tcMar>
            <w:vAlign w:val="center"/>
          </w:tcPr>
          <w:p w14:paraId="763FA835">
            <w:pPr>
              <w:rPr>
                <w:rFonts w:hint="default" w:ascii="仿宋" w:hAnsi="仿宋" w:eastAsia="仿宋" w:cs="宋体"/>
                <w:szCs w:val="21"/>
                <w:lang w:val="en-US" w:eastAsia="zh-CN"/>
              </w:rPr>
            </w:pPr>
          </w:p>
        </w:tc>
      </w:tr>
      <w:tr w14:paraId="3F29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70" w:type="dxa"/>
            <w:vMerge w:val="continue"/>
            <w:tcBorders>
              <w:tl2br w:val="nil"/>
              <w:tr2bl w:val="nil"/>
            </w:tcBorders>
            <w:shd w:val="clear" w:color="auto" w:fill="auto"/>
            <w:vAlign w:val="center"/>
          </w:tcPr>
          <w:p w14:paraId="7BD228DB">
            <w:pPr>
              <w:rPr>
                <w:rFonts w:ascii="仿宋" w:hAnsi="仿宋" w:eastAsia="仿宋" w:cs="宋体"/>
                <w:szCs w:val="21"/>
              </w:rPr>
            </w:pPr>
          </w:p>
        </w:tc>
        <w:tc>
          <w:tcPr>
            <w:tcW w:w="2232" w:type="dxa"/>
            <w:tcBorders>
              <w:tl2br w:val="nil"/>
              <w:tr2bl w:val="nil"/>
            </w:tcBorders>
            <w:shd w:val="clear" w:color="auto" w:fill="auto"/>
            <w:tcMar>
              <w:top w:w="15" w:type="dxa"/>
              <w:left w:w="15" w:type="dxa"/>
              <w:bottom w:w="15" w:type="dxa"/>
              <w:right w:w="15" w:type="dxa"/>
            </w:tcMar>
            <w:vAlign w:val="center"/>
          </w:tcPr>
          <w:p w14:paraId="712A7751">
            <w:pPr>
              <w:spacing w:line="375" w:lineRule="atLeast"/>
              <w:rPr>
                <w:rFonts w:ascii="仿宋" w:hAnsi="仿宋" w:eastAsia="仿宋" w:cs="宋体"/>
                <w:szCs w:val="21"/>
              </w:rPr>
            </w:pPr>
            <w:r>
              <w:rPr>
                <w:rFonts w:hint="eastAsia" w:ascii="仿宋" w:hAnsi="仿宋" w:eastAsia="仿宋"/>
                <w:szCs w:val="21"/>
              </w:rPr>
              <w:t>我行已有授信业务余额</w:t>
            </w:r>
          </w:p>
        </w:tc>
        <w:tc>
          <w:tcPr>
            <w:tcW w:w="1004" w:type="dxa"/>
            <w:gridSpan w:val="2"/>
            <w:tcBorders>
              <w:tl2br w:val="nil"/>
              <w:tr2bl w:val="nil"/>
            </w:tcBorders>
            <w:shd w:val="clear" w:color="auto" w:fill="auto"/>
            <w:tcMar>
              <w:top w:w="15" w:type="dxa"/>
              <w:left w:w="15" w:type="dxa"/>
              <w:bottom w:w="15" w:type="dxa"/>
              <w:right w:w="15" w:type="dxa"/>
            </w:tcMar>
            <w:vAlign w:val="center"/>
          </w:tcPr>
          <w:p w14:paraId="6A46712D">
            <w:pPr>
              <w:spacing w:line="375" w:lineRule="atLeast"/>
              <w:rPr>
                <w:rFonts w:hint="default" w:ascii="仿宋" w:hAnsi="仿宋" w:eastAsia="仿宋" w:cs="宋体"/>
                <w:szCs w:val="21"/>
                <w:lang w:val="en-US" w:eastAsia="zh-CN"/>
              </w:rPr>
            </w:pPr>
          </w:p>
        </w:tc>
        <w:tc>
          <w:tcPr>
            <w:tcW w:w="1961" w:type="dxa"/>
            <w:gridSpan w:val="3"/>
            <w:tcBorders>
              <w:tl2br w:val="nil"/>
              <w:tr2bl w:val="nil"/>
            </w:tcBorders>
            <w:shd w:val="clear" w:color="auto" w:fill="auto"/>
            <w:tcMar>
              <w:top w:w="15" w:type="dxa"/>
              <w:left w:w="15" w:type="dxa"/>
              <w:bottom w:w="15" w:type="dxa"/>
              <w:right w:w="15" w:type="dxa"/>
            </w:tcMar>
            <w:vAlign w:val="center"/>
          </w:tcPr>
          <w:p w14:paraId="446BCD07">
            <w:pPr>
              <w:spacing w:line="375" w:lineRule="atLeast"/>
              <w:rPr>
                <w:rFonts w:ascii="仿宋" w:hAnsi="仿宋" w:eastAsia="仿宋" w:cs="宋体"/>
                <w:szCs w:val="21"/>
              </w:rPr>
            </w:pPr>
            <w:r>
              <w:rPr>
                <w:rFonts w:hint="eastAsia" w:ascii="仿宋" w:hAnsi="仿宋" w:eastAsia="仿宋"/>
                <w:szCs w:val="21"/>
              </w:rPr>
              <w:t>我行不良贷款余额</w:t>
            </w:r>
          </w:p>
        </w:tc>
        <w:tc>
          <w:tcPr>
            <w:tcW w:w="1954" w:type="dxa"/>
            <w:gridSpan w:val="2"/>
            <w:tcBorders>
              <w:tl2br w:val="nil"/>
              <w:tr2bl w:val="nil"/>
            </w:tcBorders>
            <w:shd w:val="clear" w:color="auto" w:fill="auto"/>
            <w:tcMar>
              <w:top w:w="15" w:type="dxa"/>
              <w:left w:w="15" w:type="dxa"/>
              <w:bottom w:w="15" w:type="dxa"/>
              <w:right w:w="15" w:type="dxa"/>
            </w:tcMar>
            <w:vAlign w:val="center"/>
          </w:tcPr>
          <w:p w14:paraId="01AAB409">
            <w:pPr>
              <w:spacing w:line="375" w:lineRule="atLeast"/>
              <w:rPr>
                <w:rFonts w:hint="eastAsia" w:ascii="仿宋" w:hAnsi="仿宋" w:eastAsia="仿宋" w:cs="宋体"/>
                <w:szCs w:val="21"/>
                <w:lang w:val="en-US" w:eastAsia="zh-CN"/>
              </w:rPr>
            </w:pPr>
            <w:r>
              <w:rPr>
                <w:rFonts w:hint="eastAsia" w:ascii="仿宋" w:hAnsi="仿宋" w:eastAsia="仿宋" w:cs="宋体"/>
                <w:szCs w:val="21"/>
                <w:lang w:val="en-US" w:eastAsia="zh-CN"/>
              </w:rPr>
              <w:t>0</w:t>
            </w:r>
          </w:p>
        </w:tc>
      </w:tr>
    </w:tbl>
    <w:p w14:paraId="34F78083">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（二）主要出资人情况分析</w:t>
      </w:r>
    </w:p>
    <w:p w14:paraId="119E320A">
      <w:pPr>
        <w:autoSpaceDE w:val="0"/>
        <w:snapToGrid w:val="0"/>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eastAsia="zh-CN"/>
        </w:rPr>
        <w:t>见</w:t>
      </w:r>
      <w:r>
        <w:rPr>
          <w:rFonts w:hint="eastAsia" w:ascii="仿宋" w:hAnsi="仿宋" w:eastAsia="仿宋" w:cstheme="minorEastAsia"/>
          <w:bCs/>
          <w:sz w:val="24"/>
          <w:lang w:val="en-US" w:eastAsia="zh-CN"/>
        </w:rPr>
        <w:t>上述</w:t>
      </w:r>
      <w:r>
        <w:rPr>
          <w:rFonts w:hint="eastAsia" w:ascii="仿宋" w:hAnsi="仿宋" w:eastAsia="仿宋" w:cstheme="minorEastAsia"/>
          <w:bCs/>
          <w:sz w:val="24"/>
          <w:lang w:eastAsia="zh-CN"/>
        </w:rPr>
        <w:t>借款人所属集团情况分析。</w:t>
      </w:r>
    </w:p>
    <w:p w14:paraId="0555DDF5">
      <w:pPr>
        <w:autoSpaceDE w:val="0"/>
        <w:spacing w:line="360" w:lineRule="auto"/>
        <w:ind w:firstLine="562" w:firstLineChars="200"/>
        <w:jc w:val="left"/>
        <w:rPr>
          <w:rFonts w:ascii="仿宋" w:hAnsi="仿宋" w:eastAsia="仿宋" w:cstheme="minorEastAsia"/>
          <w:b/>
          <w:bCs/>
          <w:sz w:val="28"/>
          <w:szCs w:val="28"/>
        </w:rPr>
      </w:pPr>
      <w:bookmarkStart w:id="0" w:name="_Toc257616532"/>
      <w:r>
        <w:rPr>
          <w:rFonts w:hint="eastAsia" w:ascii="仿宋" w:hAnsi="仿宋" w:eastAsia="仿宋" w:cstheme="minorEastAsia"/>
          <w:b/>
          <w:bCs/>
          <w:sz w:val="28"/>
          <w:szCs w:val="28"/>
        </w:rPr>
        <w:t>三、其他参与人分析</w:t>
      </w:r>
      <w:bookmarkEnd w:id="0"/>
    </w:p>
    <w:p w14:paraId="2AB47A91">
      <w:pPr>
        <w:autoSpaceDE w:val="0"/>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（一）项目其他参与人基本概况表</w:t>
      </w:r>
    </w:p>
    <w:p w14:paraId="51A3E09A">
      <w:pPr>
        <w:autoSpaceDE w:val="0"/>
        <w:snapToGrid w:val="0"/>
        <w:spacing w:line="360" w:lineRule="auto"/>
        <w:ind w:firstLine="480" w:firstLineChars="200"/>
        <w:jc w:val="left"/>
        <w:rPr>
          <w:rFonts w:hint="default" w:ascii="仿宋" w:hAnsi="仿宋" w:eastAsia="仿宋" w:cstheme="minorEastAsia"/>
          <w:bCs/>
          <w:sz w:val="24"/>
          <w:lang w:val="en-US" w:eastAsia="zh-CN"/>
        </w:rPr>
      </w:pPr>
      <w:r>
        <w:rPr>
          <w:rFonts w:hint="eastAsia" w:ascii="仿宋" w:hAnsi="仿宋" w:eastAsia="仿宋" w:cstheme="minorEastAsia"/>
          <w:bCs/>
          <w:sz w:val="24"/>
          <w:lang w:val="en-US" w:eastAsia="zh-CN"/>
        </w:rPr>
        <w:t>本项目暂无其他参与人。</w:t>
      </w:r>
    </w:p>
    <w:p w14:paraId="3BEF7BF1">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（二）项目其他参与人具体分析</w:t>
      </w:r>
    </w:p>
    <w:p w14:paraId="0D1ECD57">
      <w:pPr>
        <w:autoSpaceDE w:val="0"/>
        <w:snapToGrid w:val="0"/>
        <w:spacing w:line="360" w:lineRule="auto"/>
        <w:ind w:firstLine="480" w:firstLineChars="200"/>
        <w:jc w:val="left"/>
        <w:rPr>
          <w:rFonts w:hint="default" w:ascii="仿宋" w:hAnsi="仿宋" w:eastAsia="仿宋" w:cstheme="minorEastAsia"/>
          <w:bCs/>
          <w:kern w:val="2"/>
          <w:sz w:val="24"/>
          <w:szCs w:val="24"/>
          <w:highlight w:val="none"/>
          <w:lang w:val="en-US" w:eastAsia="zh-CN" w:bidi="ar-SA"/>
        </w:rPr>
      </w:pPr>
      <w:r>
        <w:rPr>
          <w:rFonts w:hint="eastAsia" w:ascii="仿宋" w:hAnsi="仿宋" w:eastAsia="仿宋" w:cstheme="minorEastAsia"/>
          <w:bCs/>
          <w:sz w:val="24"/>
          <w:lang w:val="en-US" w:eastAsia="zh-CN"/>
        </w:rPr>
        <w:t>本项目暂无其他参与人。</w:t>
      </w:r>
    </w:p>
    <w:p w14:paraId="7D8BC9E7">
      <w:pPr>
        <w:autoSpaceDE w:val="0"/>
        <w:spacing w:line="360" w:lineRule="auto"/>
        <w:ind w:firstLine="562" w:firstLineChars="200"/>
        <w:jc w:val="left"/>
        <w:rPr>
          <w:rFonts w:ascii="仿宋" w:hAnsi="仿宋" w:eastAsia="仿宋" w:cstheme="minorEastAsia"/>
          <w:b/>
          <w:bCs/>
          <w:sz w:val="28"/>
          <w:szCs w:val="28"/>
          <w:highlight w:val="none"/>
        </w:rPr>
      </w:pPr>
      <w:r>
        <w:rPr>
          <w:rFonts w:hint="eastAsia" w:ascii="仿宋" w:hAnsi="仿宋" w:eastAsia="仿宋" w:cstheme="minorEastAsia"/>
          <w:b/>
          <w:bCs/>
          <w:sz w:val="28"/>
          <w:szCs w:val="28"/>
          <w:highlight w:val="none"/>
        </w:rPr>
        <w:t>四、保证人</w:t>
      </w:r>
    </w:p>
    <w:p w14:paraId="27C36540">
      <w:pPr>
        <w:autoSpaceDE w:val="0"/>
        <w:snapToGrid w:val="0"/>
        <w:spacing w:line="360" w:lineRule="auto"/>
        <w:ind w:firstLine="480" w:firstLineChars="200"/>
        <w:jc w:val="left"/>
        <w:rPr>
          <w:rFonts w:hint="default" w:ascii="仿宋" w:hAnsi="仿宋" w:eastAsia="仿宋" w:cstheme="minorEastAsia"/>
          <w:bCs/>
          <w:sz w:val="24"/>
          <w:highlight w:val="none"/>
          <w:lang w:val="en-US" w:eastAsia="zh-CN"/>
        </w:rPr>
      </w:pPr>
      <w:r>
        <w:rPr>
          <w:rFonts w:hint="eastAsia" w:ascii="仿宋" w:hAnsi="仿宋" w:eastAsia="仿宋" w:cstheme="minorEastAsia"/>
          <w:bCs/>
          <w:sz w:val="24"/>
          <w:highlight w:val="none"/>
          <w:lang w:eastAsia="zh-CN"/>
        </w:rPr>
        <w:t>保证人</w:t>
      </w:r>
      <w:r>
        <w:rPr>
          <w:rFonts w:hint="eastAsia" w:ascii="仿宋" w:hAnsi="仿宋" w:eastAsia="仿宋" w:cstheme="minorEastAsia"/>
          <w:bCs/>
          <w:sz w:val="24"/>
          <w:highlight w:val="none"/>
          <w:lang w:val="en-US" w:eastAsia="zh-CN"/>
        </w:rPr>
        <w:t>1：河南同盟国资集团有限公司</w:t>
      </w:r>
    </w:p>
    <w:p w14:paraId="31C58575">
      <w:pPr>
        <w:pStyle w:val="8"/>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仿宋" w:hAnsi="仿宋" w:eastAsia="仿宋" w:cstheme="minorEastAsia"/>
          <w:bCs/>
          <w:color w:val="FF0000"/>
          <w:sz w:val="24"/>
          <w:highlight w:val="none"/>
          <w:lang w:eastAsia="zh-CN"/>
        </w:rPr>
      </w:pPr>
      <w:r>
        <w:rPr>
          <w:rFonts w:hint="eastAsia" w:ascii="仿宋" w:hAnsi="仿宋" w:eastAsia="仿宋" w:cstheme="minorEastAsia"/>
          <w:bCs/>
          <w:sz w:val="24"/>
          <w:highlight w:val="none"/>
          <w:lang w:val="en-US" w:eastAsia="zh-CN"/>
        </w:rPr>
        <w:t>河南同盟国资集团有限公司成立于2011年1月5日，法定代表人：张光玉，注册资本20000万元，注册地址：河南省新乡市获嘉县凤翔路8号产学研中心院内综合楼，经营范围：许可项目：房地产开发经营；建设工程施工；食品销售；酒类经营（依法须经批准的项目，经相关部门批准后方可开展经营活动，具体经营项目以相关部门批准文件或许可证件为准）一般项目：以自有资金从事投资活动；土石方工程施工；园林绿化工程施工；对外承包工程；土地使用权租赁；土地整治服务；土地调查评估服务；文化场馆管理服务；城市公园管理；游览景区管理；电力设施器材销售；建筑材料销售；林业产品销售；智能农业管理；农业机械销售；污水处理及其再生利用；农村生活垃圾经营性服务；充电桩销售；停车场服务；文具用品零售；文具用品批发；办公用品销售；玩具、动漫及游艺用品销售；文艺创作（除依法须经批准的项目外，凭营业执照依法自主开展经营活动）</w:t>
      </w:r>
      <w:r>
        <w:rPr>
          <w:rFonts w:hint="eastAsia" w:ascii="仿宋" w:hAnsi="仿宋" w:eastAsia="仿宋" w:cstheme="minorEastAsia"/>
          <w:bCs/>
          <w:kern w:val="2"/>
          <w:sz w:val="24"/>
          <w:szCs w:val="24"/>
          <w:highlight w:val="none"/>
          <w:lang w:val="en-US" w:eastAsia="zh-CN" w:bidi="ar-SA"/>
        </w:rPr>
        <w:t>。</w:t>
      </w:r>
    </w:p>
    <w:p w14:paraId="7B121C6A">
      <w:pPr>
        <w:autoSpaceDE w:val="0"/>
        <w:spacing w:line="360" w:lineRule="auto"/>
        <w:ind w:firstLine="562" w:firstLineChars="200"/>
        <w:jc w:val="left"/>
        <w:rPr>
          <w:rFonts w:ascii="仿宋" w:hAnsi="仿宋" w:eastAsia="仿宋" w:cstheme="minorEastAsia"/>
          <w:b/>
          <w:bCs/>
          <w:sz w:val="28"/>
          <w:szCs w:val="28"/>
          <w:highlight w:val="none"/>
        </w:rPr>
      </w:pPr>
      <w:r>
        <w:rPr>
          <w:rFonts w:hint="eastAsia" w:ascii="仿宋" w:hAnsi="仿宋" w:eastAsia="仿宋" w:cstheme="minorEastAsia"/>
          <w:b/>
          <w:bCs/>
          <w:sz w:val="28"/>
          <w:szCs w:val="28"/>
          <w:highlight w:val="none"/>
        </w:rPr>
        <w:t>五、抵质押物</w:t>
      </w:r>
    </w:p>
    <w:p w14:paraId="18C4CCBF">
      <w:pPr>
        <w:autoSpaceDE w:val="0"/>
        <w:snapToGrid w:val="0"/>
        <w:spacing w:line="360" w:lineRule="auto"/>
        <w:ind w:firstLine="480" w:firstLineChars="200"/>
        <w:jc w:val="left"/>
      </w:pPr>
      <w:r>
        <w:rPr>
          <w:rFonts w:hint="eastAsia" w:ascii="仿宋" w:hAnsi="仿宋" w:eastAsia="仿宋" w:cstheme="minorEastAsia"/>
          <w:bCs/>
          <w:sz w:val="24"/>
          <w:highlight w:val="none"/>
          <w:lang w:val="en-US" w:eastAsia="zh-CN"/>
        </w:rPr>
        <w:t>本项目采用应收账款质押并追加信用担保方式进行担保押。</w:t>
      </w:r>
    </w:p>
    <w:p w14:paraId="7EBCB4F0">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六、本章小结</w:t>
      </w:r>
    </w:p>
    <w:p w14:paraId="5B33DFF7">
      <w:pPr>
        <w:keepNext w:val="0"/>
        <w:keepLines w:val="0"/>
        <w:pageBreakBefore w:val="0"/>
        <w:widowControl w:val="0"/>
        <w:kinsoku/>
        <w:wordWrap/>
        <w:overflowPunct w:val="0"/>
        <w:topLinePunct w:val="0"/>
        <w:autoSpaceDE/>
        <w:autoSpaceDN/>
        <w:bidi w:val="0"/>
        <w:adjustRightInd/>
        <w:snapToGrid w:val="0"/>
        <w:spacing w:line="360" w:lineRule="auto"/>
        <w:ind w:firstLine="480" w:firstLineChars="200"/>
        <w:textAlignment w:val="bottom"/>
        <w:rPr>
          <w:rFonts w:hint="eastAsia" w:ascii="仿宋" w:hAnsi="仿宋" w:eastAsia="仿宋"/>
          <w:kern w:val="0"/>
          <w:sz w:val="24"/>
          <w:szCs w:val="24"/>
          <w:highlight w:val="none"/>
          <w:lang w:val="en-US" w:eastAsia="zh-CN"/>
        </w:rPr>
      </w:pPr>
      <w:r>
        <w:rPr>
          <w:rFonts w:hint="eastAsia" w:ascii="仿宋" w:hAnsi="仿宋" w:eastAsia="仿宋"/>
          <w:kern w:val="0"/>
          <w:sz w:val="24"/>
          <w:szCs w:val="24"/>
          <w:lang w:val="en-US" w:eastAsia="zh-CN"/>
        </w:rPr>
        <w:t>保证人河南同盟国资集团有限公司为本项目提供信用担保，保证</w:t>
      </w:r>
      <w:r>
        <w:rPr>
          <w:rFonts w:hint="eastAsia" w:ascii="仿宋" w:hAnsi="仿宋" w:eastAsia="仿宋"/>
          <w:kern w:val="0"/>
          <w:sz w:val="24"/>
          <w:szCs w:val="24"/>
          <w:highlight w:val="none"/>
          <w:lang w:val="en-US" w:eastAsia="zh-CN"/>
        </w:rPr>
        <w:t>人为既有法人（国资背景），主要从工程建设等，根据经营单位反馈，可以为本项目提供一定现金流支持。河南同盟国资集团有限公司负债率较高，风险缓释能力有限。</w:t>
      </w:r>
    </w:p>
    <w:p w14:paraId="4700D2FF">
      <w:pPr>
        <w:rPr>
          <w:rFonts w:hint="eastAsia"/>
        </w:rPr>
      </w:pPr>
    </w:p>
    <w:p w14:paraId="6E1009E9">
      <w:pPr>
        <w:rPr>
          <w:rFonts w:hint="eastAsia"/>
        </w:rPr>
      </w:pPr>
    </w:p>
    <w:p w14:paraId="23EC4ACA">
      <w:pPr>
        <w:rPr>
          <w:rFonts w:hint="eastAsia"/>
        </w:rPr>
      </w:pPr>
    </w:p>
    <w:p w14:paraId="1331CAEB">
      <w:pPr>
        <w:rPr>
          <w:rFonts w:hint="eastAsia"/>
        </w:rPr>
      </w:pPr>
    </w:p>
    <w:p w14:paraId="5C78A669">
      <w:pPr>
        <w:rPr>
          <w:rFonts w:hint="eastAsia"/>
        </w:rPr>
      </w:pPr>
    </w:p>
    <w:p w14:paraId="5D607F09">
      <w:pPr>
        <w:rPr>
          <w:rFonts w:hint="eastAsia"/>
        </w:rPr>
      </w:pPr>
    </w:p>
    <w:p w14:paraId="12CED299">
      <w:pPr>
        <w:rPr>
          <w:rFonts w:hint="eastAsia"/>
        </w:rPr>
      </w:pPr>
    </w:p>
    <w:p w14:paraId="5ADBFE2F">
      <w:pPr>
        <w:rPr>
          <w:rFonts w:hint="eastAsia"/>
        </w:rPr>
      </w:pPr>
    </w:p>
    <w:p w14:paraId="5AD00AB8">
      <w:pPr>
        <w:rPr>
          <w:rFonts w:hint="eastAsia"/>
        </w:rPr>
      </w:pPr>
    </w:p>
    <w:p w14:paraId="7B5196F0">
      <w:pPr>
        <w:rPr>
          <w:rFonts w:hint="eastAsia"/>
        </w:rPr>
      </w:pPr>
    </w:p>
    <w:p w14:paraId="5862C09B">
      <w:pPr>
        <w:rPr>
          <w:rFonts w:hint="eastAsia"/>
        </w:rPr>
      </w:pPr>
    </w:p>
    <w:p w14:paraId="280A9EBE">
      <w:pPr>
        <w:rPr>
          <w:rFonts w:hint="eastAsia"/>
        </w:rPr>
      </w:pPr>
    </w:p>
    <w:p w14:paraId="6D837876">
      <w:pPr>
        <w:rPr>
          <w:rFonts w:hint="eastAsia"/>
        </w:rPr>
      </w:pPr>
    </w:p>
    <w:p w14:paraId="1CC9CB2D">
      <w:pPr>
        <w:rPr>
          <w:rFonts w:hint="eastAsia"/>
        </w:rPr>
      </w:pPr>
    </w:p>
    <w:p w14:paraId="7F32F5DC">
      <w:pPr>
        <w:rPr>
          <w:rFonts w:hint="eastAsia"/>
        </w:rPr>
      </w:pPr>
    </w:p>
    <w:p w14:paraId="3D65689E">
      <w:pPr>
        <w:rPr>
          <w:rFonts w:hint="eastAsia"/>
        </w:rPr>
      </w:pPr>
    </w:p>
    <w:p w14:paraId="7738418F">
      <w:pPr>
        <w:rPr>
          <w:rFonts w:hint="eastAsia"/>
        </w:rPr>
      </w:pPr>
    </w:p>
    <w:p w14:paraId="3396B758">
      <w:pPr>
        <w:rPr>
          <w:rFonts w:hint="eastAsia"/>
        </w:rPr>
      </w:pPr>
    </w:p>
    <w:p w14:paraId="59A89FDB">
      <w:pPr>
        <w:rPr>
          <w:rFonts w:hint="eastAsia"/>
        </w:rPr>
      </w:pPr>
    </w:p>
    <w:p w14:paraId="080AB04E">
      <w:pPr>
        <w:rPr>
          <w:rFonts w:hint="eastAsia"/>
        </w:rPr>
      </w:pPr>
    </w:p>
    <w:p w14:paraId="49A1CB37">
      <w:pPr>
        <w:pStyle w:val="2"/>
        <w:spacing w:before="0" w:after="0" w:line="360" w:lineRule="auto"/>
        <w:jc w:val="center"/>
        <w:rPr>
          <w:rFonts w:hint="eastAsia" w:ascii="仿宋" w:hAnsi="仿宋" w:eastAsia="仿宋" w:cstheme="majorEastAsia"/>
          <w:color w:val="000000"/>
          <w:kern w:val="0"/>
          <w:sz w:val="36"/>
          <w:szCs w:val="36"/>
          <w:highlight w:val="none"/>
        </w:rPr>
      </w:pPr>
      <w:r>
        <w:rPr>
          <w:rFonts w:hint="eastAsia" w:ascii="仿宋" w:hAnsi="仿宋" w:eastAsia="仿宋" w:cstheme="majorEastAsia"/>
          <w:color w:val="000000"/>
          <w:kern w:val="0"/>
          <w:sz w:val="36"/>
          <w:szCs w:val="36"/>
          <w:highlight w:val="none"/>
        </w:rPr>
        <w:t>第三章 项目概况与回报模式评估</w:t>
      </w:r>
    </w:p>
    <w:p w14:paraId="14285B15">
      <w:p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一、项目基本情况</w:t>
      </w:r>
    </w:p>
    <w:p w14:paraId="4544475D">
      <w:p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（一）项目内容</w:t>
      </w:r>
    </w:p>
    <w:p w14:paraId="64B35987">
      <w:pPr>
        <w:autoSpaceDE w:val="0"/>
        <w:snapToGrid w:val="0"/>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eastAsia="zh-CN"/>
        </w:rPr>
        <w:t>项目名称：河南大成包装材料有限公司源网荷储一体化项目</w:t>
      </w:r>
    </w:p>
    <w:p w14:paraId="285F1C5E">
      <w:pPr>
        <w:autoSpaceDE w:val="0"/>
        <w:snapToGrid w:val="0"/>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val="en-US" w:eastAsia="zh-CN"/>
        </w:rPr>
        <w:t>建设</w:t>
      </w:r>
      <w:r>
        <w:rPr>
          <w:rFonts w:hint="eastAsia" w:ascii="仿宋" w:hAnsi="仿宋" w:eastAsia="仿宋" w:cstheme="minorEastAsia"/>
          <w:bCs/>
          <w:sz w:val="24"/>
          <w:lang w:eastAsia="zh-CN"/>
        </w:rPr>
        <w:t>单位：河南中原智慧冷链物流园管理运营有限公司</w:t>
      </w:r>
    </w:p>
    <w:p w14:paraId="07830C35">
      <w:pPr>
        <w:pBdr>
          <w:bottom w:val="none" w:color="auto" w:sz="0" w:space="0"/>
        </w:pBdr>
        <w:autoSpaceDE w:val="0"/>
        <w:snapToGrid w:val="0"/>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eastAsia="zh-CN"/>
        </w:rPr>
        <w:t>建设地点：新乡市获嘉县先进制造业开发区梧桐路与安王公路交叉口东南角，位于现状获嘉县县县产业集聚区创业孵化园区内。</w:t>
      </w:r>
    </w:p>
    <w:p w14:paraId="38A5B17A">
      <w:pPr>
        <w:pBdr>
          <w:bottom w:val="none" w:color="auto" w:sz="0" w:space="0"/>
        </w:pBdr>
        <w:autoSpaceDE w:val="0"/>
        <w:snapToGrid w:val="0"/>
        <w:spacing w:line="360" w:lineRule="auto"/>
        <w:ind w:firstLine="480" w:firstLineChars="200"/>
        <w:jc w:val="left"/>
        <w:rPr>
          <w:rFonts w:hint="eastAsia" w:ascii="仿宋" w:hAnsi="仿宋" w:eastAsia="仿宋" w:cstheme="minorEastAsia"/>
          <w:bCs/>
          <w:sz w:val="24"/>
          <w:lang w:eastAsia="zh-CN"/>
        </w:rPr>
      </w:pPr>
      <w:r>
        <w:rPr>
          <w:rFonts w:hint="eastAsia" w:ascii="仿宋" w:hAnsi="仿宋" w:eastAsia="仿宋" w:cstheme="minorEastAsia"/>
          <w:bCs/>
          <w:sz w:val="24"/>
          <w:lang w:eastAsia="zh-CN"/>
        </w:rPr>
        <w:t>建设规模及内容：本项目在获嘉县产业集聚区创业孵化园区内工业厂房屋顶部署</w:t>
      </w:r>
      <w:r>
        <w:rPr>
          <w:rFonts w:hint="eastAsia" w:ascii="仿宋" w:hAnsi="仿宋" w:eastAsia="仿宋" w:cstheme="minorEastAsia"/>
          <w:bCs/>
          <w:color w:val="000000"/>
          <w:sz w:val="24"/>
          <w:lang w:eastAsia="zh-CN"/>
        </w:rPr>
        <w:t>5956KW的分布式光伏发电系统，并配套安装用户侧储能设</w:t>
      </w:r>
      <w:r>
        <w:rPr>
          <w:rFonts w:hint="eastAsia" w:ascii="仿宋" w:hAnsi="仿宋" w:eastAsia="仿宋" w:cstheme="minorEastAsia"/>
          <w:bCs/>
          <w:sz w:val="24"/>
          <w:lang w:eastAsia="zh-CN"/>
        </w:rPr>
        <w:t>施，总规模达到10MW/20MWh用户侧储能设施（包含3MW充换点储能设备），安装</w:t>
      </w:r>
      <w:r>
        <w:rPr>
          <w:rFonts w:hint="eastAsia" w:ascii="仿宋" w:hAnsi="仿宋" w:eastAsia="仿宋" w:cstheme="minorEastAsia"/>
          <w:bCs/>
          <w:sz w:val="24"/>
          <w:lang w:val="en-US" w:eastAsia="zh-CN"/>
        </w:rPr>
        <w:t>5</w:t>
      </w:r>
      <w:r>
        <w:rPr>
          <w:rFonts w:hint="eastAsia" w:ascii="仿宋" w:hAnsi="仿宋" w:eastAsia="仿宋" w:cstheme="minorEastAsia"/>
          <w:bCs/>
          <w:sz w:val="24"/>
          <w:lang w:eastAsia="zh-CN"/>
        </w:rPr>
        <w:t>个600kw液冷光伏充电桩，</w:t>
      </w:r>
      <w:r>
        <w:rPr>
          <w:rFonts w:hint="eastAsia" w:ascii="仿宋" w:hAnsi="仿宋" w:eastAsia="仿宋" w:cstheme="minorEastAsia"/>
          <w:bCs/>
          <w:sz w:val="24"/>
          <w:lang w:eastAsia="zh-CN"/>
        </w:rPr>
        <w:t>并同步实施园区其他相关配套工程。通过源网荷储一体化方案，项目所产出的新能源电力将直供给大成包装使用。</w:t>
      </w:r>
    </w:p>
    <w:p w14:paraId="1620558A">
      <w:pPr>
        <w:autoSpaceDE w:val="0"/>
        <w:snapToGrid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（二）项目合规性</w:t>
      </w:r>
    </w:p>
    <w:tbl>
      <w:tblPr>
        <w:tblStyle w:val="22"/>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6"/>
        <w:gridCol w:w="1296"/>
        <w:gridCol w:w="2469"/>
        <w:gridCol w:w="2857"/>
      </w:tblGrid>
      <w:tr w14:paraId="0F36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706" w:type="dxa"/>
            <w:shd w:val="clear" w:color="auto" w:fill="FFFFFF" w:themeFill="background1"/>
            <w:vAlign w:val="center"/>
          </w:tcPr>
          <w:p w14:paraId="5461333A">
            <w:pPr>
              <w:jc w:val="center"/>
              <w:rPr>
                <w:rFonts w:ascii="仿宋" w:hAnsi="仿宋" w:eastAsia="仿宋"/>
                <w:b/>
                <w:color w:val="000000"/>
                <w:szCs w:val="21"/>
              </w:rPr>
            </w:pPr>
            <w:r>
              <w:rPr>
                <w:rFonts w:hint="eastAsia" w:ascii="仿宋" w:hAnsi="仿宋" w:eastAsia="仿宋"/>
                <w:b/>
                <w:color w:val="000000"/>
                <w:szCs w:val="21"/>
              </w:rPr>
              <w:t>文件名称</w:t>
            </w:r>
          </w:p>
        </w:tc>
        <w:tc>
          <w:tcPr>
            <w:tcW w:w="1296" w:type="dxa"/>
            <w:shd w:val="clear" w:color="auto" w:fill="FFFFFF" w:themeFill="background1"/>
            <w:vAlign w:val="center"/>
          </w:tcPr>
          <w:p w14:paraId="760E0B5C">
            <w:pPr>
              <w:jc w:val="center"/>
              <w:rPr>
                <w:rFonts w:ascii="仿宋" w:hAnsi="仿宋" w:eastAsia="仿宋"/>
                <w:b/>
                <w:color w:val="000000"/>
                <w:szCs w:val="21"/>
              </w:rPr>
            </w:pPr>
            <w:r>
              <w:rPr>
                <w:rFonts w:hint="eastAsia" w:ascii="仿宋" w:hAnsi="仿宋" w:eastAsia="仿宋"/>
                <w:b/>
                <w:color w:val="000000"/>
                <w:szCs w:val="21"/>
              </w:rPr>
              <w:t>是否具备</w:t>
            </w:r>
            <w:r>
              <w:rPr>
                <w:rStyle w:val="28"/>
                <w:rFonts w:hint="eastAsia" w:ascii="仿宋" w:hAnsi="仿宋" w:eastAsia="仿宋"/>
                <w:b/>
                <w:color w:val="000000"/>
                <w:szCs w:val="21"/>
              </w:rPr>
              <w:footnoteReference w:id="0"/>
            </w:r>
          </w:p>
        </w:tc>
        <w:tc>
          <w:tcPr>
            <w:tcW w:w="5326" w:type="dxa"/>
            <w:gridSpan w:val="2"/>
            <w:shd w:val="clear" w:color="auto" w:fill="FFFFFF" w:themeFill="background1"/>
            <w:vAlign w:val="center"/>
          </w:tcPr>
          <w:p w14:paraId="13F275D7">
            <w:pPr>
              <w:jc w:val="center"/>
              <w:rPr>
                <w:rFonts w:ascii="仿宋" w:hAnsi="仿宋" w:eastAsia="仿宋"/>
                <w:b/>
                <w:color w:val="000000"/>
                <w:szCs w:val="21"/>
              </w:rPr>
            </w:pPr>
            <w:r>
              <w:rPr>
                <w:rFonts w:hint="eastAsia" w:ascii="仿宋" w:hAnsi="仿宋" w:eastAsia="仿宋"/>
                <w:b/>
                <w:color w:val="000000"/>
                <w:szCs w:val="21"/>
              </w:rPr>
              <w:t>内容</w:t>
            </w:r>
          </w:p>
        </w:tc>
      </w:tr>
      <w:tr w14:paraId="16E5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706" w:type="dxa"/>
            <w:shd w:val="clear" w:color="auto" w:fill="auto"/>
            <w:vAlign w:val="center"/>
          </w:tcPr>
          <w:p w14:paraId="5398C5AD">
            <w:pPr>
              <w:rPr>
                <w:rFonts w:hint="eastAsia" w:ascii="仿宋" w:hAnsi="仿宋" w:eastAsia="仿宋"/>
                <w:color w:val="000000"/>
                <w:szCs w:val="21"/>
                <w:lang w:eastAsia="zh-CN"/>
              </w:rPr>
            </w:pPr>
            <w:r>
              <w:rPr>
                <w:rFonts w:hint="eastAsia" w:ascii="仿宋" w:hAnsi="仿宋" w:eastAsia="仿宋"/>
                <w:color w:val="000000"/>
                <w:szCs w:val="21"/>
                <w:lang w:eastAsia="zh-CN"/>
              </w:rPr>
              <w:t>建设用地规划许可证</w:t>
            </w:r>
          </w:p>
        </w:tc>
        <w:tc>
          <w:tcPr>
            <w:tcW w:w="1296" w:type="dxa"/>
            <w:tcBorders>
              <w:bottom w:val="single" w:color="000000" w:sz="4" w:space="0"/>
            </w:tcBorders>
            <w:shd w:val="clear" w:color="auto" w:fill="F1F1F1" w:themeFill="background1" w:themeFillShade="F2"/>
            <w:vAlign w:val="center"/>
          </w:tcPr>
          <w:p w14:paraId="3F3162BD">
            <w:pPr>
              <w:rPr>
                <w:rFonts w:hint="eastAsia" w:ascii="仿宋" w:hAnsi="仿宋" w:eastAsia="仿宋"/>
                <w:color w:val="000000"/>
                <w:szCs w:val="21"/>
                <w:lang w:eastAsia="zh-CN"/>
              </w:rPr>
            </w:pPr>
            <w:r>
              <w:rPr>
                <w:rFonts w:hint="eastAsia" w:ascii="仿宋" w:hAnsi="仿宋" w:eastAsia="仿宋"/>
                <w:color w:val="000000"/>
                <w:szCs w:val="21"/>
                <w:lang w:eastAsia="zh-CN"/>
              </w:rPr>
              <w:t>是</w:t>
            </w:r>
          </w:p>
        </w:tc>
        <w:tc>
          <w:tcPr>
            <w:tcW w:w="2469" w:type="dxa"/>
            <w:tcBorders>
              <w:bottom w:val="single" w:color="000000" w:sz="4" w:space="0"/>
            </w:tcBorders>
            <w:shd w:val="clear" w:color="auto" w:fill="auto"/>
            <w:vAlign w:val="center"/>
          </w:tcPr>
          <w:p w14:paraId="3552F3CD">
            <w:pPr>
              <w:rPr>
                <w:rFonts w:ascii="仿宋" w:hAnsi="仿宋" w:eastAsia="仿宋" w:cstheme="minorBidi"/>
                <w:color w:val="000000"/>
                <w:kern w:val="2"/>
                <w:sz w:val="21"/>
                <w:szCs w:val="21"/>
                <w:highlight w:val="none"/>
                <w:lang w:val="en-US" w:eastAsia="zh-CN" w:bidi="ar-SA"/>
              </w:rPr>
            </w:pPr>
            <w:r>
              <w:rPr>
                <w:rFonts w:ascii="仿宋" w:hAnsi="仿宋" w:eastAsia="仿宋"/>
                <w:color w:val="000000"/>
                <w:szCs w:val="21"/>
                <w:highlight w:val="none"/>
              </w:rPr>
              <w:t>批复部门、文件名称及文号</w:t>
            </w:r>
          </w:p>
        </w:tc>
        <w:tc>
          <w:tcPr>
            <w:tcW w:w="2857" w:type="dxa"/>
            <w:tcBorders>
              <w:bottom w:val="single" w:color="000000" w:sz="4" w:space="0"/>
            </w:tcBorders>
            <w:shd w:val="clear" w:color="auto" w:fill="F1F1F1" w:themeFill="background1" w:themeFillShade="F2"/>
            <w:vAlign w:val="center"/>
          </w:tcPr>
          <w:p w14:paraId="3BD03FEB">
            <w:pPr>
              <w:pBdr>
                <w:bottom w:val="none" w:color="auto" w:sz="0" w:space="0"/>
              </w:pBdr>
              <w:rPr>
                <w:rFonts w:hint="default" w:ascii="仿宋" w:hAnsi="仿宋" w:eastAsia="仿宋"/>
                <w:color w:val="000000"/>
                <w:szCs w:val="21"/>
                <w:lang w:val="en-US" w:eastAsia="zh-CN"/>
              </w:rPr>
            </w:pPr>
            <w:r>
              <w:rPr>
                <w:rFonts w:hint="default" w:ascii="仿宋" w:hAnsi="仿宋" w:eastAsia="仿宋"/>
                <w:color w:val="000000"/>
                <w:szCs w:val="21"/>
                <w:lang w:val="en-US" w:eastAsia="zh-CN"/>
              </w:rPr>
              <w:t>2020年9月16日取得</w:t>
            </w:r>
            <w:r>
              <w:rPr>
                <w:rFonts w:hint="eastAsia" w:ascii="仿宋" w:hAnsi="仿宋" w:eastAsia="仿宋"/>
                <w:color w:val="000000"/>
                <w:szCs w:val="21"/>
                <w:lang w:eastAsia="zh-CN"/>
              </w:rPr>
              <w:t>建设用地规划许可证</w:t>
            </w:r>
            <w:r>
              <w:rPr>
                <w:rFonts w:hint="default" w:ascii="仿宋" w:hAnsi="仿宋" w:eastAsia="仿宋"/>
                <w:color w:val="000000"/>
                <w:szCs w:val="21"/>
                <w:lang w:val="en-US" w:eastAsia="zh-CN"/>
              </w:rPr>
              <w:t>，编号：地字第410724202000064号；</w:t>
            </w:r>
          </w:p>
          <w:p w14:paraId="16A95754">
            <w:pPr>
              <w:pBdr>
                <w:bottom w:val="none" w:color="auto" w:sz="0" w:space="0"/>
              </w:pBdr>
              <w:rPr>
                <w:rFonts w:hint="default" w:ascii="仿宋" w:hAnsi="仿宋" w:eastAsia="仿宋"/>
                <w:color w:val="000000"/>
                <w:szCs w:val="21"/>
                <w:lang w:val="en-US" w:eastAsia="zh-CN"/>
              </w:rPr>
            </w:pPr>
            <w:r>
              <w:rPr>
                <w:rFonts w:hint="default" w:ascii="仿宋" w:hAnsi="仿宋" w:eastAsia="仿宋"/>
                <w:color w:val="000000"/>
                <w:szCs w:val="21"/>
                <w:lang w:val="en-US" w:eastAsia="zh-CN"/>
              </w:rPr>
              <w:t>2021年9月9日取得</w:t>
            </w:r>
            <w:r>
              <w:rPr>
                <w:rFonts w:hint="eastAsia" w:ascii="仿宋" w:hAnsi="仿宋" w:eastAsia="仿宋"/>
                <w:color w:val="000000"/>
                <w:szCs w:val="21"/>
                <w:lang w:eastAsia="zh-CN"/>
              </w:rPr>
              <w:t>建设用地规划许可证</w:t>
            </w:r>
            <w:r>
              <w:rPr>
                <w:rFonts w:hint="default" w:ascii="仿宋" w:hAnsi="仿宋" w:eastAsia="仿宋"/>
                <w:color w:val="000000"/>
                <w:szCs w:val="21"/>
                <w:lang w:val="en-US" w:eastAsia="zh-CN"/>
              </w:rPr>
              <w:t>，编号：地字第410724202100041号；</w:t>
            </w:r>
          </w:p>
        </w:tc>
      </w:tr>
      <w:tr w14:paraId="0032A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706" w:type="dxa"/>
            <w:shd w:val="clear" w:color="auto" w:fill="auto"/>
            <w:vAlign w:val="center"/>
          </w:tcPr>
          <w:p w14:paraId="6657C875">
            <w:pPr>
              <w:rPr>
                <w:rFonts w:hint="eastAsia" w:ascii="仿宋" w:hAnsi="仿宋" w:eastAsia="仿宋"/>
                <w:color w:val="000000"/>
                <w:szCs w:val="21"/>
                <w:lang w:eastAsia="zh-CN"/>
              </w:rPr>
            </w:pPr>
            <w:r>
              <w:rPr>
                <w:rFonts w:hint="eastAsia" w:ascii="仿宋" w:hAnsi="仿宋" w:eastAsia="仿宋"/>
                <w:color w:val="000000"/>
                <w:szCs w:val="21"/>
                <w:lang w:eastAsia="zh-CN"/>
              </w:rPr>
              <w:t>土地使用权证</w:t>
            </w:r>
          </w:p>
        </w:tc>
        <w:tc>
          <w:tcPr>
            <w:tcW w:w="1296" w:type="dxa"/>
            <w:tcBorders>
              <w:bottom w:val="single" w:color="000000" w:sz="4" w:space="0"/>
            </w:tcBorders>
            <w:shd w:val="clear" w:color="auto" w:fill="F1F1F1" w:themeFill="background1" w:themeFillShade="F2"/>
            <w:vAlign w:val="center"/>
          </w:tcPr>
          <w:p w14:paraId="0CE833E8">
            <w:pPr>
              <w:rPr>
                <w:rFonts w:hint="eastAsia" w:ascii="仿宋" w:hAnsi="仿宋" w:eastAsia="仿宋"/>
                <w:color w:val="000000"/>
                <w:szCs w:val="21"/>
                <w:lang w:eastAsia="zh-CN"/>
              </w:rPr>
            </w:pPr>
            <w:r>
              <w:rPr>
                <w:rFonts w:hint="eastAsia" w:ascii="仿宋" w:hAnsi="仿宋" w:eastAsia="仿宋"/>
                <w:color w:val="000000"/>
                <w:szCs w:val="21"/>
                <w:lang w:eastAsia="zh-CN"/>
              </w:rPr>
              <w:t>是</w:t>
            </w:r>
          </w:p>
        </w:tc>
        <w:tc>
          <w:tcPr>
            <w:tcW w:w="2469" w:type="dxa"/>
            <w:tcBorders>
              <w:bottom w:val="single" w:color="000000" w:sz="4" w:space="0"/>
            </w:tcBorders>
            <w:shd w:val="clear" w:color="auto" w:fill="auto"/>
            <w:vAlign w:val="center"/>
          </w:tcPr>
          <w:p w14:paraId="5E4FD0C7">
            <w:pPr>
              <w:pBdr>
                <w:bottom w:val="none" w:color="auto" w:sz="0" w:space="0"/>
              </w:pBdr>
              <w:rPr>
                <w:rFonts w:ascii="仿宋" w:hAnsi="仿宋" w:eastAsia="仿宋" w:cstheme="minorBidi"/>
                <w:color w:val="000000"/>
                <w:kern w:val="2"/>
                <w:sz w:val="21"/>
                <w:szCs w:val="21"/>
                <w:highlight w:val="none"/>
                <w:lang w:val="en-US" w:eastAsia="zh-CN" w:bidi="ar-SA"/>
              </w:rPr>
            </w:pPr>
            <w:r>
              <w:rPr>
                <w:rFonts w:ascii="仿宋" w:hAnsi="仿宋" w:eastAsia="仿宋"/>
                <w:color w:val="000000"/>
                <w:szCs w:val="21"/>
                <w:highlight w:val="none"/>
              </w:rPr>
              <w:t>批复部门、文件名称及文号</w:t>
            </w:r>
          </w:p>
        </w:tc>
        <w:tc>
          <w:tcPr>
            <w:tcW w:w="2857" w:type="dxa"/>
            <w:tcBorders>
              <w:bottom w:val="single" w:color="000000" w:sz="4" w:space="0"/>
            </w:tcBorders>
            <w:shd w:val="clear" w:color="auto" w:fill="F1F1F1" w:themeFill="background1" w:themeFillShade="F2"/>
            <w:vAlign w:val="center"/>
          </w:tcPr>
          <w:p w14:paraId="17017DB5">
            <w:pPr>
              <w:jc w:val="left"/>
              <w:rPr>
                <w:rFonts w:hint="default" w:ascii="仿宋" w:hAnsi="仿宋" w:eastAsia="仿宋"/>
                <w:color w:val="000000"/>
                <w:szCs w:val="21"/>
                <w:lang w:val="en-US" w:eastAsia="zh-CN"/>
              </w:rPr>
            </w:pPr>
            <w:r>
              <w:rPr>
                <w:rFonts w:hint="default" w:ascii="仿宋" w:hAnsi="仿宋" w:eastAsia="仿宋"/>
                <w:color w:val="000000"/>
                <w:szCs w:val="21"/>
                <w:lang w:val="en-US" w:eastAsia="zh-CN"/>
              </w:rPr>
              <w:t>2022年3月16日取得土地使用权证书，编号：豫（2022）获嘉县不动产权第0003613号</w:t>
            </w:r>
          </w:p>
          <w:p w14:paraId="5E89D1DB">
            <w:pPr>
              <w:pBdr>
                <w:bottom w:val="none" w:color="auto" w:sz="0" w:space="0"/>
              </w:pBdr>
              <w:jc w:val="left"/>
              <w:rPr>
                <w:rFonts w:hint="default" w:ascii="仿宋" w:hAnsi="仿宋" w:eastAsia="仿宋"/>
                <w:color w:val="000000"/>
                <w:szCs w:val="21"/>
                <w:lang w:val="en-US" w:eastAsia="zh-CN"/>
              </w:rPr>
            </w:pPr>
          </w:p>
        </w:tc>
      </w:tr>
      <w:tr w14:paraId="6F508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706" w:type="dxa"/>
            <w:shd w:val="clear" w:color="auto" w:fill="auto"/>
            <w:vAlign w:val="center"/>
          </w:tcPr>
          <w:p w14:paraId="20F94A2B">
            <w:pPr>
              <w:pBdr>
                <w:bottom w:val="none" w:color="auto" w:sz="0" w:space="0"/>
              </w:pBdr>
              <w:rPr>
                <w:rFonts w:hint="default" w:ascii="仿宋" w:hAnsi="仿宋" w:eastAsia="仿宋"/>
                <w:color w:val="000000"/>
                <w:szCs w:val="21"/>
                <w:lang w:val="en-US" w:eastAsia="zh-CN"/>
              </w:rPr>
            </w:pPr>
            <w:r>
              <w:rPr>
                <w:rFonts w:hint="default" w:ascii="仿宋" w:hAnsi="仿宋" w:eastAsia="仿宋"/>
                <w:color w:val="000000"/>
                <w:szCs w:val="21"/>
                <w:lang w:val="en-US" w:eastAsia="zh-CN"/>
              </w:rPr>
              <w:t>项目可行性研究报告</w:t>
            </w:r>
          </w:p>
        </w:tc>
        <w:tc>
          <w:tcPr>
            <w:tcW w:w="1296" w:type="dxa"/>
            <w:tcBorders>
              <w:top w:val="single" w:color="000000" w:sz="4" w:space="0"/>
              <w:bottom w:val="single" w:color="000000" w:sz="4" w:space="0"/>
            </w:tcBorders>
            <w:shd w:val="clear" w:color="auto" w:fill="F1F1F1" w:themeFill="background1" w:themeFillShade="F2"/>
            <w:vAlign w:val="center"/>
          </w:tcPr>
          <w:p w14:paraId="532DC8D2">
            <w:pPr>
              <w:rPr>
                <w:rFonts w:hint="eastAsia" w:ascii="仿宋" w:hAnsi="仿宋" w:eastAsia="仿宋"/>
                <w:color w:val="000000"/>
                <w:szCs w:val="21"/>
                <w:lang w:eastAsia="zh-CN"/>
              </w:rPr>
            </w:pPr>
            <w:r>
              <w:rPr>
                <w:rFonts w:hint="eastAsia" w:ascii="仿宋" w:hAnsi="仿宋" w:eastAsia="仿宋"/>
                <w:color w:val="000000"/>
                <w:szCs w:val="21"/>
                <w:lang w:eastAsia="zh-CN"/>
              </w:rPr>
              <w:t>是</w:t>
            </w:r>
          </w:p>
        </w:tc>
        <w:tc>
          <w:tcPr>
            <w:tcW w:w="2469" w:type="dxa"/>
            <w:tcBorders>
              <w:top w:val="single" w:color="000000" w:sz="4" w:space="0"/>
              <w:bottom w:val="single" w:color="000000" w:sz="4" w:space="0"/>
            </w:tcBorders>
            <w:shd w:val="clear" w:color="auto" w:fill="auto"/>
            <w:vAlign w:val="center"/>
          </w:tcPr>
          <w:p w14:paraId="65F0167A">
            <w:pPr>
              <w:pBdr>
                <w:bottom w:val="none" w:color="auto" w:sz="0" w:space="0"/>
              </w:pBdr>
              <w:rPr>
                <w:rFonts w:ascii="仿宋" w:hAnsi="仿宋" w:eastAsia="仿宋" w:cstheme="minorBidi"/>
                <w:color w:val="000000"/>
                <w:kern w:val="2"/>
                <w:sz w:val="21"/>
                <w:szCs w:val="21"/>
                <w:highlight w:val="none"/>
                <w:lang w:val="en-US" w:eastAsia="zh-CN" w:bidi="ar-SA"/>
              </w:rPr>
            </w:pPr>
            <w:r>
              <w:rPr>
                <w:rFonts w:ascii="仿宋" w:hAnsi="仿宋" w:eastAsia="仿宋"/>
                <w:color w:val="000000"/>
                <w:szCs w:val="21"/>
                <w:highlight w:val="none"/>
              </w:rPr>
              <w:t>批复部门、文件名称及文号</w:t>
            </w:r>
          </w:p>
        </w:tc>
        <w:tc>
          <w:tcPr>
            <w:tcW w:w="2857" w:type="dxa"/>
            <w:tcBorders>
              <w:top w:val="single" w:color="000000" w:sz="4" w:space="0"/>
              <w:bottom w:val="single" w:color="000000" w:sz="4" w:space="0"/>
            </w:tcBorders>
            <w:shd w:val="clear" w:color="auto" w:fill="F1F1F1" w:themeFill="background1" w:themeFillShade="F2"/>
            <w:vAlign w:val="center"/>
          </w:tcPr>
          <w:p w14:paraId="5E8BBE1F">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2025年5月完成可行性研究报告制作</w:t>
            </w:r>
          </w:p>
          <w:p w14:paraId="2FD4B07E">
            <w:pPr>
              <w:rPr>
                <w:rFonts w:hint="default" w:ascii="仿宋" w:hAnsi="仿宋" w:eastAsia="仿宋"/>
                <w:color w:val="000000"/>
                <w:szCs w:val="21"/>
                <w:lang w:val="en-US" w:eastAsia="zh-CN"/>
              </w:rPr>
            </w:pPr>
          </w:p>
        </w:tc>
      </w:tr>
      <w:tr w14:paraId="44FE8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706" w:type="dxa"/>
            <w:shd w:val="clear" w:color="auto" w:fill="auto"/>
            <w:vAlign w:val="center"/>
          </w:tcPr>
          <w:p w14:paraId="7402C225">
            <w:pPr>
              <w:rPr>
                <w:rFonts w:hint="default" w:ascii="仿宋" w:hAnsi="仿宋" w:eastAsia="仿宋"/>
                <w:color w:val="000000"/>
                <w:szCs w:val="21"/>
                <w:lang w:val="en-US" w:eastAsia="zh-CN"/>
              </w:rPr>
            </w:pPr>
            <w:r>
              <w:rPr>
                <w:rFonts w:hint="eastAsia" w:ascii="仿宋" w:hAnsi="仿宋" w:eastAsia="仿宋"/>
                <w:color w:val="000000"/>
                <w:szCs w:val="21"/>
                <w:lang w:val="en-US" w:eastAsia="zh-CN"/>
              </w:rPr>
              <w:t>项目备案</w:t>
            </w:r>
          </w:p>
        </w:tc>
        <w:tc>
          <w:tcPr>
            <w:tcW w:w="1296" w:type="dxa"/>
            <w:tcBorders>
              <w:top w:val="single" w:color="000000" w:sz="4" w:space="0"/>
              <w:bottom w:val="single" w:color="000000" w:sz="4" w:space="0"/>
            </w:tcBorders>
            <w:shd w:val="clear" w:color="auto" w:fill="F1F1F1" w:themeFill="background1" w:themeFillShade="F2"/>
            <w:vAlign w:val="center"/>
          </w:tcPr>
          <w:p w14:paraId="7FA5C64A">
            <w:pPr>
              <w:rPr>
                <w:rFonts w:hint="eastAsia" w:ascii="仿宋" w:hAnsi="仿宋" w:eastAsia="仿宋"/>
                <w:color w:val="000000"/>
                <w:szCs w:val="21"/>
                <w:lang w:eastAsia="zh-CN"/>
              </w:rPr>
            </w:pPr>
            <w:r>
              <w:rPr>
                <w:rFonts w:hint="eastAsia" w:ascii="仿宋" w:hAnsi="仿宋" w:eastAsia="仿宋"/>
                <w:color w:val="000000"/>
                <w:szCs w:val="21"/>
                <w:lang w:eastAsia="zh-CN"/>
              </w:rPr>
              <w:t>是</w:t>
            </w:r>
          </w:p>
        </w:tc>
        <w:tc>
          <w:tcPr>
            <w:tcW w:w="2469" w:type="dxa"/>
            <w:tcBorders>
              <w:top w:val="single" w:color="000000" w:sz="4" w:space="0"/>
              <w:bottom w:val="single" w:color="000000" w:sz="4" w:space="0"/>
            </w:tcBorders>
            <w:shd w:val="clear" w:color="auto" w:fill="auto"/>
            <w:vAlign w:val="center"/>
          </w:tcPr>
          <w:p w14:paraId="1078E826">
            <w:pPr>
              <w:rPr>
                <w:rFonts w:ascii="仿宋" w:hAnsi="仿宋" w:eastAsia="仿宋" w:cstheme="minorBidi"/>
                <w:color w:val="000000"/>
                <w:kern w:val="2"/>
                <w:sz w:val="21"/>
                <w:szCs w:val="21"/>
                <w:highlight w:val="none"/>
                <w:lang w:val="en-US" w:eastAsia="zh-CN" w:bidi="ar-SA"/>
              </w:rPr>
            </w:pPr>
            <w:r>
              <w:rPr>
                <w:rFonts w:ascii="仿宋" w:hAnsi="仿宋" w:eastAsia="仿宋"/>
                <w:color w:val="000000"/>
                <w:szCs w:val="21"/>
                <w:highlight w:val="none"/>
              </w:rPr>
              <w:t>批复部门、文件名称及文号</w:t>
            </w:r>
          </w:p>
        </w:tc>
        <w:tc>
          <w:tcPr>
            <w:tcW w:w="2857" w:type="dxa"/>
            <w:tcBorders>
              <w:top w:val="single" w:color="000000" w:sz="4" w:space="0"/>
              <w:bottom w:val="single" w:color="000000" w:sz="4" w:space="0"/>
            </w:tcBorders>
            <w:shd w:val="clear" w:color="auto" w:fill="F1F1F1" w:themeFill="background1" w:themeFillShade="F2"/>
            <w:vAlign w:val="center"/>
          </w:tcPr>
          <w:p w14:paraId="5173EB8E">
            <w:pPr>
              <w:rPr>
                <w:rFonts w:hint="default" w:ascii="仿宋" w:hAnsi="仿宋" w:eastAsia="仿宋"/>
                <w:color w:val="000000"/>
                <w:szCs w:val="21"/>
                <w:lang w:val="en-US" w:eastAsia="zh-CN"/>
              </w:rPr>
            </w:pPr>
            <w:r>
              <w:rPr>
                <w:rFonts w:hint="default" w:ascii="仿宋" w:hAnsi="仿宋" w:eastAsia="仿宋"/>
                <w:color w:val="000000"/>
                <w:szCs w:val="21"/>
                <w:lang w:val="en-US" w:eastAsia="zh-CN"/>
              </w:rPr>
              <w:t>2025年5月30日由获嘉县发改委取得项目备案证明</w:t>
            </w:r>
          </w:p>
        </w:tc>
      </w:tr>
      <w:tr w14:paraId="55CB2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1706" w:type="dxa"/>
            <w:shd w:val="clear" w:color="auto" w:fill="auto"/>
            <w:vAlign w:val="center"/>
          </w:tcPr>
          <w:p w14:paraId="0EB9A40F">
            <w:pPr>
              <w:rPr>
                <w:rFonts w:hint="default" w:ascii="仿宋" w:hAnsi="仿宋" w:eastAsia="仿宋"/>
                <w:color w:val="FF0000"/>
                <w:szCs w:val="21"/>
                <w:lang w:val="en-US" w:eastAsia="zh-CN"/>
              </w:rPr>
            </w:pPr>
            <w:r>
              <w:rPr>
                <w:rFonts w:hint="eastAsia" w:ascii="仿宋" w:hAnsi="仿宋" w:eastAsia="仿宋"/>
                <w:color w:val="FF0000"/>
                <w:szCs w:val="21"/>
                <w:lang w:val="en-US" w:eastAsia="zh-CN"/>
              </w:rPr>
              <w:t>环评登记</w:t>
            </w:r>
          </w:p>
        </w:tc>
        <w:tc>
          <w:tcPr>
            <w:tcW w:w="1296" w:type="dxa"/>
            <w:tcBorders>
              <w:top w:val="single" w:color="000000" w:sz="4" w:space="0"/>
              <w:bottom w:val="single" w:color="000000" w:sz="4" w:space="0"/>
            </w:tcBorders>
            <w:shd w:val="clear" w:color="auto" w:fill="F1F1F1" w:themeFill="background1" w:themeFillShade="F2"/>
            <w:vAlign w:val="center"/>
          </w:tcPr>
          <w:p w14:paraId="54505A8C">
            <w:pPr>
              <w:rPr>
                <w:rFonts w:hint="default" w:ascii="仿宋" w:hAnsi="仿宋" w:eastAsia="仿宋"/>
                <w:color w:val="FF0000"/>
                <w:szCs w:val="21"/>
                <w:lang w:val="en-US" w:eastAsia="zh-CN"/>
              </w:rPr>
            </w:pPr>
            <w:r>
              <w:rPr>
                <w:rFonts w:hint="eastAsia" w:ascii="仿宋" w:hAnsi="仿宋" w:eastAsia="仿宋"/>
                <w:color w:val="FF0000"/>
                <w:szCs w:val="21"/>
                <w:lang w:val="en-US" w:eastAsia="zh-CN"/>
              </w:rPr>
              <w:t>是</w:t>
            </w:r>
          </w:p>
        </w:tc>
        <w:tc>
          <w:tcPr>
            <w:tcW w:w="2469" w:type="dxa"/>
            <w:tcBorders>
              <w:top w:val="single" w:color="000000" w:sz="4" w:space="0"/>
              <w:bottom w:val="single" w:color="000000" w:sz="4" w:space="0"/>
            </w:tcBorders>
            <w:shd w:val="clear" w:color="auto" w:fill="auto"/>
            <w:vAlign w:val="center"/>
          </w:tcPr>
          <w:p w14:paraId="29A46CBF">
            <w:pPr>
              <w:rPr>
                <w:rFonts w:ascii="仿宋" w:hAnsi="仿宋" w:eastAsia="仿宋" w:cstheme="minorBidi"/>
                <w:color w:val="FF0000"/>
                <w:kern w:val="2"/>
                <w:sz w:val="21"/>
                <w:szCs w:val="21"/>
                <w:highlight w:val="none"/>
                <w:lang w:val="en-US" w:eastAsia="zh-CN" w:bidi="ar-SA"/>
              </w:rPr>
            </w:pPr>
            <w:r>
              <w:rPr>
                <w:rFonts w:ascii="仿宋" w:hAnsi="仿宋" w:eastAsia="仿宋"/>
                <w:color w:val="FF0000"/>
                <w:szCs w:val="21"/>
                <w:highlight w:val="none"/>
              </w:rPr>
              <w:t>批复部门、文件名称及文号</w:t>
            </w:r>
          </w:p>
          <w:p w14:paraId="34922B3D">
            <w:pPr>
              <w:rPr>
                <w:rFonts w:ascii="仿宋" w:hAnsi="仿宋" w:eastAsia="仿宋" w:cstheme="minorBidi"/>
                <w:color w:val="FF0000"/>
                <w:kern w:val="2"/>
                <w:sz w:val="21"/>
                <w:szCs w:val="21"/>
                <w:highlight w:val="none"/>
                <w:lang w:val="en-US" w:eastAsia="zh-CN" w:bidi="ar-SA"/>
              </w:rPr>
            </w:pPr>
          </w:p>
        </w:tc>
        <w:tc>
          <w:tcPr>
            <w:tcW w:w="2857" w:type="dxa"/>
            <w:tcBorders>
              <w:top w:val="single" w:color="000000" w:sz="4" w:space="0"/>
              <w:bottom w:val="single" w:color="000000" w:sz="4" w:space="0"/>
            </w:tcBorders>
            <w:shd w:val="clear" w:color="auto" w:fill="F1F1F1" w:themeFill="background1" w:themeFillShade="F2"/>
            <w:vAlign w:val="center"/>
          </w:tcPr>
          <w:p w14:paraId="6278C6D9">
            <w:pPr>
              <w:rPr>
                <w:rFonts w:hint="eastAsia" w:ascii="仿宋" w:hAnsi="仿宋" w:eastAsia="仿宋"/>
                <w:color w:val="FF0000"/>
                <w:szCs w:val="21"/>
                <w:lang w:val="en-US" w:eastAsia="zh-CN"/>
              </w:rPr>
            </w:pPr>
          </w:p>
        </w:tc>
      </w:tr>
    </w:tbl>
    <w:p w14:paraId="00752BFE">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（三）项目回报模式及评价</w:t>
      </w:r>
    </w:p>
    <w:p w14:paraId="452DB2E8">
      <w:pPr>
        <w:keepNext w:val="0"/>
        <w:keepLines w:val="0"/>
        <w:pageBreakBefore w:val="0"/>
        <w:widowControl w:val="0"/>
        <w:kinsoku/>
        <w:wordWrap/>
        <w:overflowPunct/>
        <w:topLinePunct w:val="0"/>
        <w:autoSpaceDE w:val="0"/>
        <w:autoSpaceDN/>
        <w:bidi w:val="0"/>
        <w:adjustRightInd/>
        <w:spacing w:line="360" w:lineRule="auto"/>
        <w:ind w:firstLine="480" w:firstLineChars="200"/>
        <w:jc w:val="left"/>
        <w:textAlignment w:val="auto"/>
        <w:rPr>
          <w:rFonts w:hint="default" w:ascii="仿宋" w:hAnsi="仿宋" w:eastAsia="仿宋" w:cstheme="minorEastAsia"/>
          <w:bCs/>
          <w:sz w:val="24"/>
          <w:highlight w:val="none"/>
          <w:lang w:val="en-US" w:eastAsia="zh-CN"/>
        </w:rPr>
      </w:pPr>
      <w:r>
        <w:rPr>
          <w:rFonts w:hint="eastAsia" w:ascii="仿宋" w:hAnsi="仿宋" w:eastAsia="仿宋" w:cstheme="minorEastAsia"/>
          <w:bCs/>
          <w:sz w:val="24"/>
          <w:highlight w:val="none"/>
          <w:lang w:val="en-US" w:eastAsia="zh-CN"/>
        </w:rPr>
        <w:t>本项目建成后所产出的新能源电力将直接出售给</w:t>
      </w:r>
      <w:r>
        <w:rPr>
          <w:rFonts w:hint="eastAsia" w:ascii="仿宋" w:hAnsi="仿宋" w:eastAsia="仿宋" w:cstheme="minorEastAsia"/>
          <w:bCs/>
          <w:sz w:val="24"/>
          <w:lang w:eastAsia="zh-CN"/>
        </w:rPr>
        <w:t>大成包装材料有限公司</w:t>
      </w:r>
      <w:r>
        <w:rPr>
          <w:rFonts w:hint="eastAsia" w:ascii="仿宋" w:hAnsi="仿宋" w:eastAsia="仿宋" w:cstheme="minorEastAsia"/>
          <w:bCs/>
          <w:sz w:val="24"/>
          <w:highlight w:val="none"/>
          <w:lang w:val="en-US" w:eastAsia="zh-CN"/>
        </w:rPr>
        <w:t>使用，从而降低企业生产经营成本，本项目所产出电能足以完全消纳。项目收入主要由光伏售电收入、储能峰谷套利收入、光储充电桩收入三部分构成，项目收入来源明确，回报模式清晰。</w:t>
      </w:r>
    </w:p>
    <w:p w14:paraId="2FFB6B35">
      <w:pPr>
        <w:keepNext w:val="0"/>
        <w:keepLines w:val="0"/>
        <w:pageBreakBefore w:val="0"/>
        <w:widowControl w:val="0"/>
        <w:kinsoku/>
        <w:wordWrap/>
        <w:overflowPunct/>
        <w:topLinePunct w:val="0"/>
        <w:autoSpaceDE w:val="0"/>
        <w:autoSpaceDN/>
        <w:bidi w:val="0"/>
        <w:adjustRightInd/>
        <w:snapToGrid w:val="0"/>
        <w:spacing w:line="360" w:lineRule="auto"/>
        <w:ind w:firstLine="562" w:firstLineChars="200"/>
        <w:jc w:val="left"/>
        <w:textAlignment w:val="auto"/>
        <w:rPr>
          <w:rFonts w:ascii="仿宋" w:hAnsi="仿宋" w:eastAsia="仿宋" w:cstheme="minorEastAsia"/>
          <w:b/>
          <w:bCs/>
          <w:sz w:val="28"/>
          <w:szCs w:val="28"/>
        </w:rPr>
      </w:pPr>
      <w:r>
        <w:rPr>
          <w:rFonts w:hint="eastAsia" w:ascii="仿宋" w:hAnsi="仿宋" w:eastAsia="仿宋" w:cstheme="minorEastAsia"/>
          <w:b/>
          <w:bCs/>
          <w:sz w:val="28"/>
          <w:szCs w:val="28"/>
        </w:rPr>
        <w:t>（四）项目建设进度评估</w:t>
      </w:r>
    </w:p>
    <w:p w14:paraId="3CE7DCC7">
      <w:pPr>
        <w:keepNext w:val="0"/>
        <w:keepLines w:val="0"/>
        <w:pageBreakBefore w:val="0"/>
        <w:widowControl w:val="0"/>
        <w:kinsoku/>
        <w:wordWrap/>
        <w:overflowPunct/>
        <w:topLinePunct w:val="0"/>
        <w:autoSpaceDE w:val="0"/>
        <w:autoSpaceDN/>
        <w:bidi w:val="0"/>
        <w:adjustRightInd/>
        <w:snapToGrid w:val="0"/>
        <w:spacing w:line="360" w:lineRule="auto"/>
        <w:ind w:firstLine="480" w:firstLineChars="200"/>
        <w:jc w:val="left"/>
        <w:textAlignment w:val="auto"/>
        <w:rPr>
          <w:rFonts w:hint="eastAsia" w:ascii="仿宋" w:hAnsi="仿宋" w:eastAsia="仿宋" w:cstheme="minorEastAsia"/>
          <w:b w:val="0"/>
          <w:bCs w:val="0"/>
          <w:sz w:val="24"/>
          <w:szCs w:val="24"/>
          <w:highlight w:val="none"/>
          <w:lang w:val="en-US" w:eastAsia="zh-CN"/>
        </w:rPr>
      </w:pPr>
      <w:r>
        <w:rPr>
          <w:rFonts w:hint="eastAsia" w:ascii="仿宋" w:hAnsi="仿宋" w:eastAsia="仿宋" w:cstheme="minorEastAsia"/>
          <w:b w:val="0"/>
          <w:bCs w:val="0"/>
          <w:sz w:val="24"/>
          <w:szCs w:val="24"/>
          <w:highlight w:val="none"/>
          <w:lang w:val="en-US" w:eastAsia="zh-CN"/>
        </w:rPr>
        <w:t>该项目计划建设期为6个月。项目目前属于前期准备阶段，尚未完成招投标手续，项目尚未开工建设。</w:t>
      </w:r>
    </w:p>
    <w:p w14:paraId="7663A1A6">
      <w:pPr>
        <w:numPr>
          <w:ilvl w:val="0"/>
          <w:numId w:val="0"/>
        </w:num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二、</w:t>
      </w:r>
      <w:r>
        <w:rPr>
          <w:rFonts w:hint="eastAsia" w:ascii="仿宋" w:hAnsi="仿宋" w:eastAsia="仿宋" w:cstheme="minorEastAsia"/>
          <w:b/>
          <w:bCs/>
          <w:sz w:val="28"/>
          <w:szCs w:val="28"/>
        </w:rPr>
        <w:t>建设及生产条件评估</w:t>
      </w:r>
    </w:p>
    <w:p w14:paraId="1CB716EB">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Theme="minorEastAsia"/>
          <w:lang w:val="en-US" w:eastAsia="zh-CN"/>
        </w:rPr>
      </w:pPr>
      <w:r>
        <w:rPr>
          <w:rFonts w:hint="eastAsia" w:ascii="仿宋" w:hAnsi="仿宋" w:eastAsia="仿宋" w:cstheme="minorEastAsia"/>
          <w:bCs/>
          <w:kern w:val="2"/>
          <w:sz w:val="24"/>
          <w:szCs w:val="24"/>
          <w:highlight w:val="none"/>
          <w:lang w:val="en-US" w:eastAsia="zh-CN" w:bidi="ar-SA"/>
        </w:rPr>
        <w:t>获嘉县位于河南省新乡市西部地区，项目所在地处于获嘉县产业集聚区，交通便利，供电、通信、网络等设施齐备。</w:t>
      </w:r>
    </w:p>
    <w:p w14:paraId="32244CFE">
      <w:pPr>
        <w:numPr>
          <w:ilvl w:val="0"/>
          <w:numId w:val="0"/>
        </w:numPr>
        <w:autoSpaceDE w:val="0"/>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三、</w:t>
      </w:r>
      <w:r>
        <w:rPr>
          <w:rFonts w:hint="eastAsia" w:ascii="仿宋" w:hAnsi="仿宋" w:eastAsia="仿宋" w:cstheme="minorEastAsia"/>
          <w:b/>
          <w:bCs/>
          <w:sz w:val="28"/>
          <w:szCs w:val="28"/>
        </w:rPr>
        <w:t>项目工艺技术评估</w:t>
      </w:r>
    </w:p>
    <w:p w14:paraId="663A15E3">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theme="minorEastAsia"/>
          <w:bCs/>
          <w:kern w:val="2"/>
          <w:sz w:val="24"/>
          <w:szCs w:val="24"/>
          <w:highlight w:val="none"/>
          <w:lang w:val="en-US" w:eastAsia="zh-CN" w:bidi="ar-SA"/>
        </w:rPr>
      </w:pPr>
      <w:r>
        <w:rPr>
          <w:rFonts w:hint="eastAsia" w:ascii="仿宋" w:hAnsi="仿宋" w:eastAsia="仿宋" w:cstheme="minorEastAsia"/>
          <w:bCs/>
          <w:kern w:val="2"/>
          <w:sz w:val="24"/>
          <w:szCs w:val="24"/>
          <w:highlight w:val="none"/>
          <w:lang w:val="en-US" w:eastAsia="zh-CN" w:bidi="ar-SA"/>
        </w:rPr>
        <w:t>根据可研及经营单位反馈，该项目为屋顶分布式光伏及配套用户侧储能及充电桩安装，不涉及特殊工艺。</w:t>
      </w:r>
    </w:p>
    <w:p w14:paraId="047573C6">
      <w:pPr>
        <w:numPr>
          <w:ilvl w:val="0"/>
          <w:numId w:val="0"/>
        </w:numPr>
        <w:autoSpaceDE w:val="0"/>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四、</w:t>
      </w:r>
      <w:r>
        <w:rPr>
          <w:rFonts w:hint="eastAsia" w:ascii="仿宋" w:hAnsi="仿宋" w:eastAsia="仿宋" w:cstheme="minorEastAsia"/>
          <w:b/>
          <w:bCs/>
          <w:sz w:val="28"/>
          <w:szCs w:val="28"/>
        </w:rPr>
        <w:t>项目选用主要设备评估</w:t>
      </w:r>
    </w:p>
    <w:p w14:paraId="7542B482">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theme="minorEastAsia"/>
          <w:bCs/>
          <w:kern w:val="2"/>
          <w:sz w:val="24"/>
          <w:szCs w:val="24"/>
          <w:highlight w:val="none"/>
          <w:lang w:val="en-US" w:eastAsia="zh-CN" w:bidi="ar-SA"/>
        </w:rPr>
      </w:pPr>
      <w:r>
        <w:rPr>
          <w:rFonts w:hint="eastAsia" w:ascii="仿宋" w:hAnsi="仿宋" w:eastAsia="仿宋" w:cstheme="minorEastAsia"/>
          <w:bCs/>
          <w:kern w:val="2"/>
          <w:sz w:val="24"/>
          <w:szCs w:val="24"/>
          <w:highlight w:val="none"/>
          <w:lang w:val="en-US" w:eastAsia="zh-CN" w:bidi="ar-SA"/>
        </w:rPr>
        <w:t>非制造型企业，不涉及。</w:t>
      </w:r>
    </w:p>
    <w:p w14:paraId="2B9861F3">
      <w:pPr>
        <w:numPr>
          <w:ilvl w:val="0"/>
          <w:numId w:val="0"/>
        </w:numPr>
        <w:autoSpaceDE w:val="0"/>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五、</w:t>
      </w:r>
      <w:r>
        <w:rPr>
          <w:rFonts w:hint="eastAsia" w:ascii="仿宋" w:hAnsi="仿宋" w:eastAsia="仿宋" w:cstheme="minorEastAsia"/>
          <w:b/>
          <w:bCs/>
          <w:sz w:val="28"/>
          <w:szCs w:val="28"/>
        </w:rPr>
        <w:t>绿色金融评估</w:t>
      </w:r>
    </w:p>
    <w:p w14:paraId="2BE72FFB">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eastAsiaTheme="minorEastAsia"/>
          <w:lang w:val="en-US" w:eastAsia="zh-CN"/>
        </w:rPr>
      </w:pPr>
      <w:r>
        <w:rPr>
          <w:rFonts w:hint="eastAsia"/>
          <w:lang w:val="en-US" w:eastAsia="zh-CN"/>
        </w:rPr>
        <w:t xml:space="preserve"> </w:t>
      </w:r>
      <w:r>
        <w:rPr>
          <w:rFonts w:hint="eastAsia" w:ascii="仿宋" w:hAnsi="仿宋" w:eastAsia="仿宋" w:cs="宋体"/>
          <w:b w:val="0"/>
          <w:bCs w:val="0"/>
          <w:kern w:val="2"/>
          <w:sz w:val="24"/>
          <w:szCs w:val="24"/>
          <w:highlight w:val="none"/>
          <w:lang w:val="en-US" w:eastAsia="zh-CN" w:bidi="ar-SA"/>
        </w:rPr>
        <w:t>该项目施工设计方案不涉及绿色金融，但项目行业属于新能源售电，该项目融资属于绿色金融范畴。</w:t>
      </w:r>
    </w:p>
    <w:p w14:paraId="5986FF39">
      <w:pPr>
        <w:numPr>
          <w:ilvl w:val="0"/>
          <w:numId w:val="0"/>
        </w:numPr>
        <w:autoSpaceDE w:val="0"/>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六、</w:t>
      </w:r>
      <w:r>
        <w:rPr>
          <w:rFonts w:hint="eastAsia" w:ascii="仿宋" w:hAnsi="仿宋" w:eastAsia="仿宋" w:cstheme="minorEastAsia"/>
          <w:b/>
          <w:bCs/>
          <w:sz w:val="28"/>
          <w:szCs w:val="28"/>
        </w:rPr>
        <w:t>本章小结</w:t>
      </w:r>
    </w:p>
    <w:p w14:paraId="2D143645">
      <w:pPr>
        <w:pStyle w:val="20"/>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heme="minorEastAsia"/>
          <w:bCs/>
          <w:kern w:val="2"/>
          <w:sz w:val="24"/>
          <w:szCs w:val="24"/>
          <w:highlight w:val="none"/>
          <w:lang w:val="en-US" w:eastAsia="zh-CN" w:bidi="ar-SA"/>
        </w:rPr>
      </w:pPr>
      <w:r>
        <w:rPr>
          <w:rFonts w:hint="eastAsia" w:ascii="仿宋" w:hAnsi="仿宋" w:eastAsia="仿宋" w:cstheme="minorEastAsia"/>
          <w:bCs/>
          <w:kern w:val="2"/>
          <w:sz w:val="24"/>
          <w:szCs w:val="24"/>
          <w:highlight w:val="none"/>
          <w:lang w:val="en-US" w:eastAsia="zh-CN" w:bidi="ar-SA"/>
        </w:rPr>
        <w:t>本项目在获嘉县产业集聚区创业孵化园区内工业厂房屋顶部署5956KW的分布式光伏发电系统，并配套安装用户侧储能设施，总规模达到10MW/20MWh用户侧储能设施（包含3MW充换点储能设备），安装5个600kw液冷光伏充电桩，并同步实施园区其他相关配套工程。通过源网荷储一体化方案，项目所产出的新能源电力将直供给大成包装有限公司使用。项目规划利用获嘉县产业集聚区创业孵化园闲置屋顶面积31530.09㎡，园区内可使用道路区域面积12267.68㎡，合计可使用面积为42807.95㎡。项目主要收入为光伏售电收入、储能峰谷套利收入、及光储充电桩收入。本项目已经取得备案等合规性手续，其他手续正在办理。</w:t>
      </w:r>
    </w:p>
    <w:p w14:paraId="2A1C3BF6">
      <w:pPr>
        <w:rPr>
          <w:rFonts w:hint="eastAsia"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br w:type="page"/>
      </w:r>
    </w:p>
    <w:p w14:paraId="6BFFCDF1">
      <w:pPr>
        <w:pStyle w:val="2"/>
        <w:spacing w:before="0" w:after="0" w:line="360" w:lineRule="auto"/>
        <w:jc w:val="center"/>
        <w:rPr>
          <w:rFonts w:ascii="仿宋" w:hAnsi="仿宋" w:eastAsia="仿宋" w:cstheme="majorEastAsia"/>
          <w:kern w:val="0"/>
          <w:sz w:val="36"/>
          <w:szCs w:val="36"/>
          <w:highlight w:val="none"/>
        </w:rPr>
      </w:pPr>
      <w:r>
        <w:rPr>
          <w:rFonts w:hint="eastAsia" w:ascii="仿宋" w:hAnsi="仿宋" w:eastAsia="仿宋" w:cstheme="majorEastAsia"/>
          <w:kern w:val="0"/>
          <w:sz w:val="36"/>
          <w:szCs w:val="36"/>
          <w:highlight w:val="none"/>
        </w:rPr>
        <w:t>第四章 项目市场评估</w:t>
      </w:r>
    </w:p>
    <w:p w14:paraId="0B991F34">
      <w:p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（一）</w:t>
      </w:r>
      <w:r>
        <w:rPr>
          <w:rFonts w:hint="eastAsia" w:ascii="仿宋" w:hAnsi="仿宋" w:eastAsia="仿宋" w:cstheme="minorEastAsia"/>
          <w:b/>
          <w:bCs/>
          <w:sz w:val="28"/>
          <w:szCs w:val="28"/>
        </w:rPr>
        <w:t>市场容量现状分析</w:t>
      </w:r>
    </w:p>
    <w:p w14:paraId="5014AE66">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1、源网荷储市场容量分析</w:t>
      </w:r>
    </w:p>
    <w:p w14:paraId="3A3D970C">
      <w:pPr>
        <w:pStyle w:val="2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随着当地经济的稳步前行，各产业尤其是工业领域呈现出蓬勃发 展态势，用电需求持续攀升。众多中小企业不断发展壮大，其生产运 营对电力的依赖程度与日俱增，为源网荷储一体化项目提供了坚实的市场基础。在当前能源转型的大趋势下，绿色能源成为降低企业运营 成本、提高生产效率的关键要素。对于获嘉县的中小企业而言，源网 荷储一体化项目所提供的清洁电能，不仅能满足其日益增长的电力需 求，保障生产活动的稳定开展，还能借助绿电的价格优势以及储能系 统对峰谷电价差的有效利用，大幅降低用电成本，增强市场竞争力。 从长期来看，随着技术的不断进步与完善，源网荷储一体化项目的应 用范围将进一步拓展，无论是工业园区、商业综合体还是居民社区， 都将成为潜在的市场增长点，其市场容量有望持续扩充，在满足获嘉 县能源需求、推动绿色发展的道路上发挥关键作用。</w:t>
      </w:r>
    </w:p>
    <w:p w14:paraId="2646DC8D">
      <w:pPr>
        <w:pStyle w:val="21"/>
        <w:rPr>
          <w:rFonts w:hint="default" w:ascii="仿宋" w:hAnsi="仿宋" w:eastAsia="仿宋" w:cs="宋体"/>
          <w:b w:val="0"/>
          <w:bCs w:val="0"/>
          <w:kern w:val="2"/>
          <w:sz w:val="24"/>
          <w:szCs w:val="24"/>
          <w:highlight w:val="none"/>
          <w:lang w:val="en-US" w:eastAsia="zh-CN" w:bidi="ar-SA"/>
        </w:rPr>
      </w:pPr>
      <w:r>
        <w:rPr>
          <w:rFonts w:hint="eastAsia" w:ascii="仿宋" w:hAnsi="仿宋" w:eastAsia="仿宋" w:cs="仿宋"/>
          <w:sz w:val="24"/>
          <w:szCs w:val="24"/>
          <w:lang w:val="en-US" w:eastAsia="zh-CN"/>
        </w:rPr>
        <w:t xml:space="preserve">项目分布式光伏发电年产出绿电约为718.07万KWH、用户侧储能年充放电量约为662.4万KWH。经调查，目前河南大成包装材料有限公司年用电量约为6889.68万KWH，该企业是24小时不间断生产，相应每天用电时段用电量平均，本项目光伏发电将直接供应至河南大成包装材料有限公司平谷时段用电，项目储能将满足该公司在高峰时段电力稳定供应。低谷时段国网电价较低，国网压力较小，用电企业可直接向国网购买，平谷用电不足部分将直接向国网购买。本项目所产出绿色电力能源销售价格低于国网销售价格。另外，在项目周边半径20公里范围内，还有众多用电量较大的企业，例如：河南金天化工有限公司年用电量约9000万KWH、新乡中新化工有限责任公司年用电量约6000万KWH、河南宏一纺织有限公司年用电量约4000万KWH，以上企业都可以作为本项目消纳客户。目标市场环境较好，容量缺口较大。 </w:t>
      </w:r>
    </w:p>
    <w:p w14:paraId="525432B2">
      <w:pPr>
        <w:numPr>
          <w:ilvl w:val="0"/>
          <w:numId w:val="0"/>
        </w:numPr>
        <w:autoSpaceDE w:val="0"/>
        <w:spacing w:line="360" w:lineRule="auto"/>
        <w:ind w:leftChars="0" w:firstLine="562" w:firstLineChars="200"/>
        <w:jc w:val="left"/>
        <w:rPr>
          <w:rFonts w:hint="eastAsia" w:ascii="仿宋" w:hAnsi="仿宋" w:eastAsia="仿宋" w:cstheme="minorEastAsia"/>
          <w:b/>
          <w:bCs/>
          <w:color w:val="auto"/>
          <w:sz w:val="28"/>
          <w:szCs w:val="28"/>
        </w:rPr>
      </w:pPr>
      <w:r>
        <w:rPr>
          <w:rFonts w:hint="eastAsia" w:ascii="仿宋" w:hAnsi="仿宋" w:eastAsia="仿宋" w:cstheme="minorEastAsia"/>
          <w:b/>
          <w:bCs/>
          <w:color w:val="auto"/>
          <w:sz w:val="28"/>
          <w:szCs w:val="28"/>
          <w:lang w:eastAsia="zh-CN"/>
        </w:rPr>
        <w:t>（</w:t>
      </w:r>
      <w:r>
        <w:rPr>
          <w:rFonts w:hint="eastAsia" w:ascii="仿宋" w:hAnsi="仿宋" w:eastAsia="仿宋" w:cstheme="minorEastAsia"/>
          <w:b/>
          <w:bCs/>
          <w:color w:val="auto"/>
          <w:sz w:val="28"/>
          <w:szCs w:val="28"/>
          <w:lang w:val="en-US" w:eastAsia="zh-CN"/>
        </w:rPr>
        <w:t>二</w:t>
      </w:r>
      <w:r>
        <w:rPr>
          <w:rFonts w:hint="eastAsia" w:ascii="仿宋" w:hAnsi="仿宋" w:eastAsia="仿宋" w:cstheme="minorEastAsia"/>
          <w:b/>
          <w:bCs/>
          <w:color w:val="auto"/>
          <w:sz w:val="28"/>
          <w:szCs w:val="28"/>
          <w:lang w:eastAsia="zh-CN"/>
        </w:rPr>
        <w:t>）</w:t>
      </w:r>
      <w:r>
        <w:rPr>
          <w:rFonts w:hint="eastAsia" w:ascii="仿宋" w:hAnsi="仿宋" w:eastAsia="仿宋" w:cstheme="minorEastAsia"/>
          <w:b/>
          <w:bCs/>
          <w:color w:val="auto"/>
          <w:sz w:val="28"/>
          <w:szCs w:val="28"/>
        </w:rPr>
        <w:t>价格现状分析</w:t>
      </w:r>
    </w:p>
    <w:p w14:paraId="60B81849">
      <w:pPr>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spacing w:line="360" w:lineRule="auto"/>
        <w:ind w:firstLine="480" w:firstLineChars="200"/>
        <w:textAlignment w:val="auto"/>
        <w:rPr>
          <w:rFonts w:ascii="仿宋" w:hAnsi="仿宋" w:eastAsia="仿宋" w:cstheme="minorEastAsia"/>
          <w:b/>
          <w:bCs/>
          <w:color w:val="000000"/>
          <w:sz w:val="28"/>
          <w:szCs w:val="28"/>
          <w:highlight w:val="none"/>
        </w:rPr>
      </w:pPr>
      <w:r>
        <w:rPr>
          <w:rFonts w:hint="eastAsia" w:ascii="仿宋" w:hAnsi="仿宋" w:eastAsia="仿宋" w:cs="宋体"/>
          <w:b w:val="0"/>
          <w:bCs w:val="0"/>
          <w:color w:val="000000"/>
          <w:kern w:val="2"/>
          <w:sz w:val="24"/>
          <w:szCs w:val="24"/>
          <w:highlight w:val="none"/>
          <w:lang w:val="en-US" w:eastAsia="zh-CN" w:bidi="ar-SA"/>
        </w:rPr>
        <w:t>根据《国网河南省电力公司代理购电工商用户电价表（执行时间：2025年7月1日-2025年7月31日）》，两部制工商业用电（1-10千伏）高峰电价为1.10元/度、平时段电价为0.687元/度、低估时段电价为0.372元/度，大成包装企业为24小时生产企业，其中平时用电约1976.64万kwh，峰时用电约675.19万kwh。本项目提供的绿色电力能源售电价格为暂定为0.57元/度，在不含尖峰电价情况下本项目售电价格比国网便宜0.117元/度，储能售电价格为0.61元/度，教国网电价便宜0.49元/度，降低企业用电成本比较可观。</w:t>
      </w:r>
    </w:p>
    <w:p w14:paraId="249709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theme="minorEastAsia"/>
          <w:b/>
          <w:bCs/>
          <w:color w:val="auto"/>
          <w:sz w:val="28"/>
          <w:szCs w:val="28"/>
          <w:highlight w:val="none"/>
          <w:lang w:eastAsia="zh-CN"/>
        </w:rPr>
      </w:pPr>
      <w:r>
        <w:rPr>
          <w:rFonts w:hint="eastAsia" w:ascii="仿宋" w:hAnsi="仿宋" w:eastAsia="仿宋" w:cstheme="minorEastAsia"/>
          <w:b/>
          <w:bCs/>
          <w:color w:val="auto"/>
          <w:sz w:val="28"/>
          <w:szCs w:val="28"/>
          <w:highlight w:val="none"/>
        </w:rPr>
        <w:t>二、项目</w:t>
      </w:r>
      <w:r>
        <w:rPr>
          <w:rFonts w:hint="eastAsia" w:ascii="仿宋" w:hAnsi="仿宋" w:eastAsia="仿宋" w:cstheme="minorEastAsia"/>
          <w:b/>
          <w:bCs/>
          <w:color w:val="auto"/>
          <w:sz w:val="28"/>
          <w:szCs w:val="28"/>
          <w:highlight w:val="none"/>
          <w:lang w:val="en-US" w:eastAsia="zh-CN"/>
        </w:rPr>
        <w:t>现阶段发展趋势</w:t>
      </w:r>
    </w:p>
    <w:p w14:paraId="02763EC6">
      <w:pPr>
        <w:keepNext w:val="0"/>
        <w:keepLines w:val="0"/>
        <w:pageBreakBefore w:val="0"/>
        <w:widowControl w:val="0"/>
        <w:kinsoku/>
        <w:wordWrap/>
        <w:overflowPunct/>
        <w:topLinePunct w:val="0"/>
        <w:autoSpaceDE w:val="0"/>
        <w:autoSpaceDN/>
        <w:bidi w:val="0"/>
        <w:adjustRightInd/>
        <w:snapToGrid/>
        <w:spacing w:line="360" w:lineRule="auto"/>
        <w:ind w:firstLine="480" w:firstLineChars="200"/>
        <w:jc w:val="left"/>
        <w:textAlignment w:val="auto"/>
        <w:rPr>
          <w:rFonts w:hint="default" w:ascii="仿宋" w:hAnsi="仿宋" w:eastAsia="仿宋" w:cs="宋体"/>
          <w:b w:val="0"/>
          <w:bCs w:val="0"/>
          <w:color w:val="auto"/>
          <w:kern w:val="2"/>
          <w:sz w:val="24"/>
          <w:szCs w:val="24"/>
          <w:highlight w:val="none"/>
          <w:lang w:val="en-US" w:eastAsia="zh-CN" w:bidi="ar-SA"/>
        </w:rPr>
      </w:pPr>
      <w:r>
        <w:rPr>
          <w:rFonts w:hint="default" w:ascii="仿宋" w:hAnsi="仿宋" w:eastAsia="仿宋" w:cs="宋体"/>
          <w:b w:val="0"/>
          <w:bCs w:val="0"/>
          <w:color w:val="auto"/>
          <w:kern w:val="2"/>
          <w:sz w:val="24"/>
          <w:szCs w:val="24"/>
          <w:highlight w:val="none"/>
          <w:lang w:val="en-US" w:eastAsia="zh-CN" w:bidi="ar-SA"/>
        </w:rPr>
        <w:t>参与市场竞争，在成本的约束下尽量为中小企业提供低价能源</w:t>
      </w:r>
    </w:p>
    <w:p w14:paraId="2DBAFC1C">
      <w:pPr>
        <w:keepNext w:val="0"/>
        <w:keepLines w:val="0"/>
        <w:pageBreakBefore w:val="0"/>
        <w:widowControl w:val="0"/>
        <w:kinsoku/>
        <w:wordWrap/>
        <w:overflowPunct/>
        <w:topLinePunct w:val="0"/>
        <w:autoSpaceDE w:val="0"/>
        <w:autoSpaceDN/>
        <w:bidi w:val="0"/>
        <w:adjustRightInd/>
        <w:snapToGrid/>
        <w:spacing w:line="360" w:lineRule="auto"/>
        <w:ind w:firstLine="480" w:firstLineChars="200"/>
        <w:jc w:val="left"/>
        <w:textAlignment w:val="auto"/>
        <w:rPr>
          <w:rFonts w:hint="default" w:ascii="仿宋" w:hAnsi="仿宋" w:eastAsia="仿宋" w:cs="宋体"/>
          <w:b w:val="0"/>
          <w:bCs w:val="0"/>
          <w:color w:val="auto"/>
          <w:kern w:val="2"/>
          <w:sz w:val="24"/>
          <w:szCs w:val="24"/>
          <w:highlight w:val="none"/>
          <w:lang w:val="en-US" w:eastAsia="zh-CN" w:bidi="ar-SA"/>
        </w:rPr>
      </w:pPr>
      <w:r>
        <w:rPr>
          <w:rFonts w:hint="default" w:ascii="仿宋" w:hAnsi="仿宋" w:eastAsia="仿宋" w:cs="宋体"/>
          <w:b w:val="0"/>
          <w:bCs w:val="0"/>
          <w:color w:val="auto"/>
          <w:kern w:val="2"/>
          <w:sz w:val="24"/>
          <w:szCs w:val="24"/>
          <w:highlight w:val="none"/>
          <w:lang w:val="en-US" w:eastAsia="zh-CN" w:bidi="ar-SA"/>
        </w:rPr>
        <w:t>项目建成后，因为光伏发电的度电成本较低，所以项目产出的绿色电能将投入市场参与市场竞争是非常</w:t>
      </w:r>
      <w:r>
        <w:rPr>
          <w:rFonts w:hint="eastAsia" w:ascii="仿宋" w:hAnsi="仿宋" w:eastAsia="仿宋" w:cs="宋体"/>
          <w:b w:val="0"/>
          <w:bCs w:val="0"/>
          <w:color w:val="auto"/>
          <w:kern w:val="2"/>
          <w:sz w:val="24"/>
          <w:szCs w:val="24"/>
          <w:highlight w:val="none"/>
          <w:lang w:val="en-US" w:eastAsia="zh-CN" w:bidi="ar-SA"/>
        </w:rPr>
        <w:t>具有竞争力</w:t>
      </w:r>
      <w:r>
        <w:rPr>
          <w:rFonts w:hint="default" w:ascii="仿宋" w:hAnsi="仿宋" w:eastAsia="仿宋" w:cs="宋体"/>
          <w:b w:val="0"/>
          <w:bCs w:val="0"/>
          <w:color w:val="auto"/>
          <w:kern w:val="2"/>
          <w:sz w:val="24"/>
          <w:szCs w:val="24"/>
          <w:highlight w:val="none"/>
          <w:lang w:val="en-US" w:eastAsia="zh-CN" w:bidi="ar-SA"/>
        </w:rPr>
        <w:t>的。本项目光伏发电+储能可以提高中小企业用电的稳定性和可靠性，为企业的运营带来稳定的电力保障，促进中小企业朝着绿色企业转型。通过光伏发电，所生产的绿电不仅环保而且可再生，企业购买绿电不仅可以满足自身电力需求，还能够树立起环保、绿色、可持续发展的品牌形象。这种品牌形象的树立将在消费者心中建立起企业的环保形象，从而提升产品和服务的竞争力，使企业在市场上占据更有利的地位。</w:t>
      </w:r>
    </w:p>
    <w:p w14:paraId="733C8E2D">
      <w:pPr>
        <w:numPr>
          <w:ilvl w:val="0"/>
          <w:numId w:val="0"/>
        </w:num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三、</w:t>
      </w:r>
      <w:r>
        <w:rPr>
          <w:rFonts w:hint="eastAsia" w:ascii="仿宋" w:hAnsi="仿宋" w:eastAsia="仿宋" w:cstheme="minorEastAsia"/>
          <w:b/>
          <w:bCs/>
          <w:sz w:val="28"/>
          <w:szCs w:val="28"/>
        </w:rPr>
        <w:t>竞争力分析</w:t>
      </w:r>
    </w:p>
    <w:p w14:paraId="19272D0E">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（1）</w:t>
      </w:r>
      <w:r>
        <w:rPr>
          <w:rFonts w:hint="default" w:ascii="仿宋" w:hAnsi="仿宋" w:eastAsia="仿宋" w:cs="宋体"/>
          <w:b w:val="0"/>
          <w:bCs w:val="0"/>
          <w:kern w:val="2"/>
          <w:sz w:val="24"/>
          <w:szCs w:val="24"/>
          <w:highlight w:val="none"/>
          <w:lang w:val="en-US" w:eastAsia="zh-CN" w:bidi="ar-SA"/>
        </w:rPr>
        <w:t>项目供电价格低于传统供电价格</w:t>
      </w:r>
    </w:p>
    <w:p w14:paraId="690CA275">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宋体"/>
          <w:b w:val="0"/>
          <w:bCs w:val="0"/>
          <w:kern w:val="2"/>
          <w:sz w:val="24"/>
          <w:szCs w:val="24"/>
          <w:highlight w:val="none"/>
          <w:lang w:val="en-US" w:eastAsia="zh-CN" w:bidi="ar-SA"/>
        </w:rPr>
      </w:pPr>
      <w:r>
        <w:rPr>
          <w:rFonts w:hint="default" w:ascii="仿宋" w:hAnsi="仿宋" w:eastAsia="仿宋" w:cs="宋体"/>
          <w:b w:val="0"/>
          <w:bCs w:val="0"/>
          <w:kern w:val="2"/>
          <w:sz w:val="24"/>
          <w:szCs w:val="24"/>
          <w:highlight w:val="none"/>
          <w:lang w:val="en-US" w:eastAsia="zh-CN" w:bidi="ar-SA"/>
        </w:rPr>
        <w:t>本项目具备显著的市场竞争力，核心优势在于产出的绿色电力能源价格显著低于国网电价。以2025年</w:t>
      </w:r>
      <w:r>
        <w:rPr>
          <w:rFonts w:hint="eastAsia" w:ascii="仿宋" w:hAnsi="仿宋" w:eastAsia="仿宋" w:cs="宋体"/>
          <w:b w:val="0"/>
          <w:bCs w:val="0"/>
          <w:kern w:val="2"/>
          <w:sz w:val="24"/>
          <w:szCs w:val="24"/>
          <w:highlight w:val="none"/>
          <w:lang w:val="en-US" w:eastAsia="zh-CN" w:bidi="ar-SA"/>
        </w:rPr>
        <w:t>7</w:t>
      </w:r>
      <w:r>
        <w:rPr>
          <w:rFonts w:hint="default" w:ascii="仿宋" w:hAnsi="仿宋" w:eastAsia="仿宋" w:cs="宋体"/>
          <w:b w:val="0"/>
          <w:bCs w:val="0"/>
          <w:kern w:val="2"/>
          <w:sz w:val="24"/>
          <w:szCs w:val="24"/>
          <w:highlight w:val="none"/>
          <w:lang w:val="en-US" w:eastAsia="zh-CN" w:bidi="ar-SA"/>
        </w:rPr>
        <w:t>月工商业代理电价两部制1-10千伏为例，国网高峰电价为1.10元/度、</w:t>
      </w:r>
      <w:r>
        <w:rPr>
          <w:rFonts w:hint="eastAsia" w:ascii="仿宋" w:hAnsi="仿宋" w:eastAsia="仿宋" w:cs="宋体"/>
          <w:b w:val="0"/>
          <w:bCs w:val="0"/>
          <w:color w:val="000000"/>
          <w:kern w:val="2"/>
          <w:sz w:val="24"/>
          <w:szCs w:val="24"/>
          <w:highlight w:val="none"/>
          <w:lang w:val="en-US" w:eastAsia="zh-CN" w:bidi="ar-SA"/>
        </w:rPr>
        <w:t>平时段电价为0.687元/度、低估时段电价为0.372元/度</w:t>
      </w:r>
      <w:r>
        <w:rPr>
          <w:rFonts w:hint="default" w:ascii="仿宋" w:hAnsi="仿宋" w:eastAsia="仿宋" w:cs="宋体"/>
          <w:b w:val="0"/>
          <w:bCs w:val="0"/>
          <w:kern w:val="2"/>
          <w:sz w:val="24"/>
          <w:szCs w:val="24"/>
          <w:highlight w:val="none"/>
          <w:lang w:val="en-US" w:eastAsia="zh-CN" w:bidi="ar-SA"/>
        </w:rPr>
        <w:t>，而大成包装作为24小时生产企业，</w:t>
      </w:r>
      <w:r>
        <w:rPr>
          <w:rFonts w:hint="eastAsia" w:ascii="仿宋" w:hAnsi="仿宋" w:eastAsia="仿宋" w:cs="宋体"/>
          <w:b w:val="0"/>
          <w:bCs w:val="0"/>
          <w:kern w:val="2"/>
          <w:sz w:val="24"/>
          <w:szCs w:val="24"/>
          <w:highlight w:val="none"/>
          <w:lang w:val="en-US" w:eastAsia="zh-CN" w:bidi="ar-SA"/>
        </w:rPr>
        <w:t>本项目对大成包装的峰时和平时供电，均低于国网电价</w:t>
      </w:r>
      <w:r>
        <w:rPr>
          <w:rFonts w:hint="default" w:ascii="仿宋" w:hAnsi="仿宋" w:eastAsia="仿宋" w:cs="宋体"/>
          <w:b w:val="0"/>
          <w:bCs w:val="0"/>
          <w:kern w:val="2"/>
          <w:sz w:val="24"/>
          <w:szCs w:val="24"/>
          <w:highlight w:val="none"/>
          <w:lang w:val="en-US" w:eastAsia="zh-CN" w:bidi="ar-SA"/>
        </w:rPr>
        <w:t>。本项目绿色电力能源售电价格暂定为0.57元/度，在不含尖峰电价的情况下，每度电比国网便宜0.1</w:t>
      </w:r>
      <w:r>
        <w:rPr>
          <w:rFonts w:hint="eastAsia" w:ascii="仿宋" w:hAnsi="仿宋" w:eastAsia="仿宋" w:cs="宋体"/>
          <w:b w:val="0"/>
          <w:bCs w:val="0"/>
          <w:kern w:val="2"/>
          <w:sz w:val="24"/>
          <w:szCs w:val="24"/>
          <w:highlight w:val="none"/>
          <w:lang w:val="en-US" w:eastAsia="zh-CN" w:bidi="ar-SA"/>
        </w:rPr>
        <w:t>17</w:t>
      </w:r>
      <w:r>
        <w:rPr>
          <w:rFonts w:hint="default" w:ascii="仿宋" w:hAnsi="仿宋" w:eastAsia="仿宋" w:cs="宋体"/>
          <w:b w:val="0"/>
          <w:bCs w:val="0"/>
          <w:kern w:val="2"/>
          <w:sz w:val="24"/>
          <w:szCs w:val="24"/>
          <w:highlight w:val="none"/>
          <w:lang w:val="en-US" w:eastAsia="zh-CN" w:bidi="ar-SA"/>
        </w:rPr>
        <w:t>元。大成包装年用电量约</w:t>
      </w:r>
      <w:r>
        <w:rPr>
          <w:rFonts w:hint="eastAsia" w:ascii="仿宋" w:hAnsi="仿宋" w:eastAsia="仿宋" w:cs="宋体"/>
          <w:b w:val="0"/>
          <w:bCs w:val="0"/>
          <w:kern w:val="2"/>
          <w:sz w:val="24"/>
          <w:szCs w:val="24"/>
          <w:highlight w:val="none"/>
          <w:lang w:val="en-US" w:eastAsia="zh-CN" w:bidi="ar-SA"/>
        </w:rPr>
        <w:t>6889.68</w:t>
      </w:r>
      <w:r>
        <w:rPr>
          <w:rFonts w:hint="default" w:ascii="仿宋" w:hAnsi="仿宋" w:eastAsia="仿宋" w:cs="宋体"/>
          <w:b w:val="0"/>
          <w:bCs w:val="0"/>
          <w:kern w:val="2"/>
          <w:sz w:val="24"/>
          <w:szCs w:val="24"/>
          <w:highlight w:val="none"/>
          <w:lang w:val="en-US" w:eastAsia="zh-CN" w:bidi="ar-SA"/>
        </w:rPr>
        <w:t>万度，据此计算，本项目每年可为其节约电费约为</w:t>
      </w:r>
      <w:r>
        <w:rPr>
          <w:rFonts w:hint="eastAsia" w:ascii="仿宋" w:hAnsi="仿宋" w:eastAsia="仿宋" w:cs="宋体"/>
          <w:b w:val="0"/>
          <w:bCs w:val="0"/>
          <w:kern w:val="2"/>
          <w:sz w:val="24"/>
          <w:szCs w:val="24"/>
          <w:highlight w:val="none"/>
          <w:lang w:val="en-US" w:eastAsia="zh-CN" w:bidi="ar-SA"/>
        </w:rPr>
        <w:t>406</w:t>
      </w:r>
      <w:r>
        <w:rPr>
          <w:rFonts w:hint="default" w:ascii="仿宋" w:hAnsi="仿宋" w:eastAsia="仿宋" w:cs="宋体"/>
          <w:b w:val="0"/>
          <w:bCs w:val="0"/>
          <w:kern w:val="2"/>
          <w:sz w:val="24"/>
          <w:szCs w:val="24"/>
          <w:highlight w:val="none"/>
          <w:lang w:val="en-US" w:eastAsia="zh-CN" w:bidi="ar-SA"/>
        </w:rPr>
        <w:t>万元。这一价格优势不仅能大幅降低企业生产成本，提升其市场竞争力，还能吸引周边如河南金天化工、新乡中新化工等用电量较大的企业作为消纳客户，目标市场容量缺口大，同时项目采用源网荷储一体化模式，保障电力稳定供应，进一步增强了对用户的吸引力，市场前景广阔。</w:t>
      </w:r>
      <w:r>
        <w:rPr>
          <w:rFonts w:hint="eastAsia" w:ascii="仿宋" w:hAnsi="仿宋" w:eastAsia="仿宋" w:cs="宋体"/>
          <w:b w:val="0"/>
          <w:bCs w:val="0"/>
          <w:kern w:val="2"/>
          <w:sz w:val="24"/>
          <w:szCs w:val="24"/>
          <w:highlight w:val="none"/>
          <w:lang w:val="en-US" w:eastAsia="zh-CN" w:bidi="ar-SA"/>
        </w:rPr>
        <w:t xml:space="preserve"> </w:t>
      </w:r>
    </w:p>
    <w:p w14:paraId="17CBF61D">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（2）</w:t>
      </w:r>
      <w:r>
        <w:rPr>
          <w:rFonts w:hint="default" w:ascii="仿宋" w:hAnsi="仿宋" w:eastAsia="仿宋" w:cs="宋体"/>
          <w:b w:val="0"/>
          <w:bCs w:val="0"/>
          <w:kern w:val="2"/>
          <w:sz w:val="24"/>
          <w:szCs w:val="24"/>
          <w:highlight w:val="none"/>
          <w:lang w:val="en-US" w:eastAsia="zh-CN" w:bidi="ar-SA"/>
        </w:rPr>
        <w:t>绿色电力可以协同中小企业绿色转型</w:t>
      </w:r>
    </w:p>
    <w:p w14:paraId="2E777693">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仿宋" w:hAnsi="仿宋" w:eastAsia="仿宋" w:cs="宋体"/>
          <w:b w:val="0"/>
          <w:bCs w:val="0"/>
          <w:kern w:val="2"/>
          <w:sz w:val="24"/>
          <w:szCs w:val="24"/>
          <w:highlight w:val="none"/>
          <w:lang w:val="en-US" w:eastAsia="zh-CN" w:bidi="ar-SA"/>
        </w:rPr>
      </w:pPr>
      <w:r>
        <w:rPr>
          <w:rFonts w:hint="default" w:ascii="仿宋" w:hAnsi="仿宋" w:eastAsia="仿宋" w:cs="宋体"/>
          <w:b w:val="0"/>
          <w:bCs w:val="0"/>
          <w:kern w:val="2"/>
          <w:sz w:val="24"/>
          <w:szCs w:val="24"/>
          <w:highlight w:val="none"/>
          <w:lang w:val="en-US" w:eastAsia="zh-CN" w:bidi="ar-SA"/>
        </w:rPr>
        <w:t>绿色电力的采用可以在多个层面协助中小企业实现绿色转型。首先，绿色电力供应商通常提供与可再生能源相关的技术和咨询服务，帮助企业评估其能源使用情况，并提出有效的节能方案，从而降低能源消耗和成本。其次，通过与绿色电力供应商建立合作关系，企业可以获得政府的奖励和认可，如绿色证书或减排配额，进而提升其品牌形象和市场竞争力。此外，一些绿色电力供应商还提供灵活的购电方式和定制化的解决方案，满足不同企业的需求，特别是中小企业，使其更容易实施绿色能源转型。另外，作为绿色供应链的一部分，采用绿色电力还可以激励企业的供应商和合作伙伴跟随其步伐，共同推动整个产业链的绿色化转型。最重要的是，绿色电力的使用符合当今社会对环保和可持续发展的迫切需求，中小企业选择绿色电力不仅可以降低环境风险，还可以吸引更多的消费者和投资者，促进企业的长期可持续发展。因此，通过与绿色电力供应商合作，中小企业可以获得技术支持、市场优势和社会认可，实现可持续发展的双赢局面。</w:t>
      </w:r>
    </w:p>
    <w:p w14:paraId="0F93879A">
      <w:p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四、本章小结</w:t>
      </w:r>
    </w:p>
    <w:p w14:paraId="6155EF19">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宋体"/>
          <w:b w:val="0"/>
          <w:bCs w:val="0"/>
          <w:kern w:val="2"/>
          <w:sz w:val="24"/>
          <w:szCs w:val="24"/>
          <w:highlight w:val="none"/>
          <w:lang w:val="en-US" w:eastAsia="zh-CN" w:bidi="ar-SA"/>
        </w:rPr>
      </w:pPr>
      <w:r>
        <w:rPr>
          <w:rFonts w:hint="eastAsia" w:ascii="仿宋" w:hAnsi="仿宋" w:eastAsia="仿宋" w:cs="宋体"/>
          <w:b w:val="0"/>
          <w:bCs w:val="0"/>
          <w:kern w:val="2"/>
          <w:sz w:val="24"/>
          <w:szCs w:val="24"/>
          <w:highlight w:val="none"/>
          <w:lang w:val="en-US" w:eastAsia="zh-CN" w:bidi="ar-SA"/>
        </w:rPr>
        <w:t>该项目市场容量和前景较好切稳定，服务价格竞争力较强，符合国家政策和地方需要。</w:t>
      </w:r>
    </w:p>
    <w:p w14:paraId="1A759BDC">
      <w:pPr>
        <w:pStyle w:val="2"/>
        <w:pageBreakBefore/>
        <w:spacing w:before="0" w:after="0" w:line="360" w:lineRule="auto"/>
        <w:jc w:val="center"/>
        <w:rPr>
          <w:rFonts w:ascii="仿宋" w:hAnsi="仿宋" w:eastAsia="仿宋" w:cstheme="majorEastAsia"/>
          <w:kern w:val="0"/>
          <w:sz w:val="36"/>
          <w:szCs w:val="36"/>
        </w:rPr>
      </w:pPr>
      <w:r>
        <w:rPr>
          <w:rFonts w:hint="eastAsia" w:ascii="仿宋" w:hAnsi="仿宋" w:eastAsia="仿宋" w:cstheme="majorEastAsia"/>
          <w:kern w:val="0"/>
          <w:sz w:val="36"/>
          <w:szCs w:val="36"/>
        </w:rPr>
        <w:t>第五章 投资估算与筹资方案评估</w:t>
      </w:r>
    </w:p>
    <w:p w14:paraId="111D67C1">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一、投资估算</w:t>
      </w:r>
    </w:p>
    <w:p w14:paraId="7071EB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i w:val="0"/>
          <w:strike w:val="0"/>
          <w:color w:val="000000"/>
          <w:kern w:val="2"/>
          <w:sz w:val="24"/>
          <w:szCs w:val="22"/>
          <w:lang w:val="en-US" w:eastAsia="zh-CN" w:bidi="ar-SA"/>
        </w:rPr>
        <w:t>项目总总投资5816.94万元，其中项目工程费用5234.91万元，占总投资的89.99%；工程建设其它费用255.75万元，占总投资的4.40%；预备费274.53万元，占总投资的4.72%；建设期利息51.75万元，占总投资的0.89%</w:t>
      </w:r>
      <w:r>
        <w:rPr>
          <w:rFonts w:hint="default" w:ascii="仿宋" w:hAnsi="仿宋" w:eastAsia="仿宋" w:cs="仿宋"/>
          <w:b w:val="0"/>
          <w:bCs w:val="0"/>
          <w:color w:val="auto"/>
          <w:sz w:val="24"/>
          <w:szCs w:val="24"/>
          <w:lang w:val="en-US" w:eastAsia="zh-CN"/>
        </w:rPr>
        <w:t>。</w:t>
      </w:r>
    </w:p>
    <w:p w14:paraId="3E9887DE">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二、项目筹资方案评价</w:t>
      </w:r>
    </w:p>
    <w:p w14:paraId="5F4F41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theme="minorEastAsia"/>
          <w:b/>
          <w:bCs/>
          <w:sz w:val="28"/>
          <w:szCs w:val="28"/>
        </w:rPr>
      </w:pPr>
      <w:r>
        <w:rPr>
          <w:rFonts w:hint="eastAsia" w:ascii="仿宋" w:hAnsi="仿宋" w:eastAsia="仿宋" w:cs="宋体"/>
          <w:b w:val="0"/>
          <w:bCs w:val="0"/>
          <w:kern w:val="2"/>
          <w:sz w:val="24"/>
          <w:szCs w:val="24"/>
          <w:lang w:val="en-US" w:eastAsia="zh-CN" w:bidi="ar-SA"/>
        </w:rPr>
        <w:t>根据可研及经营单位上报方案，该项目计划融资4600万元，剩余</w:t>
      </w:r>
      <w:r>
        <w:rPr>
          <w:rFonts w:hint="eastAsia" w:ascii="仿宋" w:hAnsi="仿宋" w:eastAsia="仿宋" w:cs="仿宋"/>
          <w:i w:val="0"/>
          <w:strike w:val="0"/>
          <w:color w:val="000000"/>
          <w:kern w:val="2"/>
          <w:sz w:val="24"/>
          <w:szCs w:val="22"/>
          <w:lang w:val="en-US" w:eastAsia="zh-CN" w:bidi="ar-SA"/>
        </w:rPr>
        <w:t>1216.94</w:t>
      </w:r>
      <w:r>
        <w:rPr>
          <w:rFonts w:hint="eastAsia" w:ascii="仿宋" w:hAnsi="仿宋" w:eastAsia="仿宋" w:cs="宋体"/>
          <w:b w:val="0"/>
          <w:bCs w:val="0"/>
          <w:kern w:val="2"/>
          <w:sz w:val="24"/>
          <w:szCs w:val="24"/>
          <w:lang w:val="en-US" w:eastAsia="zh-CN" w:bidi="ar-SA"/>
        </w:rPr>
        <w:t>万元为项目资本金，截至目前，项目属于前期准备阶段，暂无借款人已投入数据。</w:t>
      </w:r>
    </w:p>
    <w:p w14:paraId="0CBDCF94">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三、融资方案与资金成本评价</w:t>
      </w:r>
    </w:p>
    <w:p w14:paraId="37FE24D7">
      <w:pPr>
        <w:autoSpaceDE w:val="0"/>
        <w:spacing w:line="360" w:lineRule="auto"/>
        <w:ind w:firstLine="480" w:firstLineChars="200"/>
        <w:jc w:val="left"/>
        <w:rPr>
          <w:rFonts w:hint="eastAsia" w:ascii="仿宋" w:hAnsi="仿宋" w:eastAsia="仿宋" w:cstheme="minorEastAsia"/>
          <w:b/>
          <w:bCs/>
          <w:sz w:val="28"/>
          <w:szCs w:val="28"/>
          <w:highlight w:val="none"/>
        </w:rPr>
      </w:pPr>
      <w:r>
        <w:rPr>
          <w:rFonts w:hint="eastAsia" w:ascii="仿宋" w:hAnsi="仿宋" w:eastAsia="仿宋" w:cs="宋体"/>
          <w:b w:val="0"/>
          <w:bCs w:val="0"/>
          <w:sz w:val="24"/>
          <w:szCs w:val="24"/>
        </w:rPr>
        <w:t>经评估，</w:t>
      </w:r>
      <w:r>
        <w:rPr>
          <w:rFonts w:hint="eastAsia" w:ascii="仿宋" w:hAnsi="仿宋" w:eastAsia="仿宋" w:cs="宋体"/>
          <w:b w:val="0"/>
          <w:bCs w:val="0"/>
          <w:sz w:val="24"/>
          <w:szCs w:val="24"/>
          <w:lang w:val="en-US" w:eastAsia="zh-CN"/>
        </w:rPr>
        <w:t>该项目资本金</w:t>
      </w:r>
      <w:r>
        <w:rPr>
          <w:rFonts w:hint="eastAsia" w:ascii="仿宋" w:hAnsi="仿宋" w:eastAsia="仿宋" w:cs="仿宋"/>
          <w:i w:val="0"/>
          <w:strike w:val="0"/>
          <w:color w:val="000000"/>
          <w:kern w:val="2"/>
          <w:sz w:val="24"/>
          <w:szCs w:val="22"/>
          <w:lang w:val="en-US" w:eastAsia="zh-CN" w:bidi="ar-SA"/>
        </w:rPr>
        <w:t>1216.94</w:t>
      </w:r>
      <w:r>
        <w:rPr>
          <w:rFonts w:hint="eastAsia" w:ascii="仿宋" w:hAnsi="仿宋" w:eastAsia="仿宋" w:cs="宋体"/>
          <w:b w:val="0"/>
          <w:bCs w:val="0"/>
          <w:sz w:val="24"/>
          <w:szCs w:val="24"/>
          <w:lang w:val="en-US" w:eastAsia="zh-CN"/>
        </w:rPr>
        <w:t>万元，占总投资的20.92%，银行融资4600.00万元，占总投资的79.08%，</w:t>
      </w:r>
      <w:r>
        <w:rPr>
          <w:rFonts w:hint="eastAsia" w:ascii="仿宋" w:hAnsi="仿宋" w:eastAsia="仿宋" w:cs="宋体"/>
          <w:b w:val="0"/>
          <w:bCs w:val="0"/>
          <w:sz w:val="24"/>
          <w:szCs w:val="24"/>
          <w:highlight w:val="none"/>
          <w:lang w:val="en-US" w:eastAsia="zh-CN"/>
        </w:rPr>
        <w:t>融资可行</w:t>
      </w:r>
      <w:r>
        <w:rPr>
          <w:rFonts w:hint="eastAsia" w:ascii="仿宋" w:hAnsi="仿宋" w:eastAsia="仿宋" w:cs="宋体"/>
          <w:b w:val="0"/>
          <w:bCs w:val="0"/>
          <w:sz w:val="24"/>
          <w:szCs w:val="24"/>
          <w:highlight w:val="none"/>
        </w:rPr>
        <w:t>。</w:t>
      </w:r>
    </w:p>
    <w:p w14:paraId="611B70AF">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四、本章小结</w:t>
      </w:r>
    </w:p>
    <w:p w14:paraId="27A5B8A1">
      <w:pPr>
        <w:autoSpaceDE w:val="0"/>
        <w:spacing w:line="360" w:lineRule="auto"/>
        <w:ind w:firstLine="480" w:firstLineChars="200"/>
        <w:jc w:val="left"/>
        <w:rPr>
          <w:rFonts w:ascii="仿宋" w:hAnsi="仿宋" w:eastAsia="仿宋" w:cstheme="minorEastAsia"/>
          <w:b/>
          <w:bCs/>
          <w:sz w:val="28"/>
          <w:szCs w:val="28"/>
          <w:highlight w:val="red"/>
        </w:rPr>
      </w:pPr>
      <w:r>
        <w:rPr>
          <w:rFonts w:hint="eastAsia" w:ascii="仿宋" w:hAnsi="仿宋" w:eastAsia="仿宋" w:cs="宋体"/>
          <w:b w:val="0"/>
          <w:bCs w:val="0"/>
          <w:color w:val="auto"/>
          <w:sz w:val="24"/>
          <w:szCs w:val="24"/>
          <w:highlight w:val="none"/>
          <w:lang w:val="en-US" w:eastAsia="zh-CN"/>
        </w:rPr>
        <w:t>经测算，该项目总投资</w:t>
      </w:r>
      <w:r>
        <w:rPr>
          <w:rFonts w:hint="eastAsia" w:ascii="仿宋" w:hAnsi="仿宋" w:eastAsia="仿宋" w:cs="仿宋"/>
          <w:i w:val="0"/>
          <w:strike w:val="0"/>
          <w:color w:val="000000"/>
          <w:kern w:val="2"/>
          <w:sz w:val="24"/>
          <w:szCs w:val="22"/>
          <w:lang w:val="en-US" w:eastAsia="zh-CN" w:bidi="ar-SA"/>
        </w:rPr>
        <w:t>5816.94</w:t>
      </w:r>
      <w:r>
        <w:rPr>
          <w:rFonts w:hint="eastAsia" w:ascii="仿宋" w:hAnsi="仿宋" w:eastAsia="仿宋" w:cs="宋体"/>
          <w:b w:val="0"/>
          <w:bCs w:val="0"/>
          <w:color w:val="auto"/>
          <w:sz w:val="24"/>
          <w:szCs w:val="24"/>
          <w:highlight w:val="none"/>
          <w:lang w:val="en-US" w:eastAsia="zh-CN"/>
        </w:rPr>
        <w:t>万元，资本金</w:t>
      </w:r>
      <w:r>
        <w:rPr>
          <w:rFonts w:hint="eastAsia" w:ascii="仿宋" w:hAnsi="仿宋" w:eastAsia="仿宋" w:cs="仿宋"/>
          <w:i w:val="0"/>
          <w:strike w:val="0"/>
          <w:color w:val="000000"/>
          <w:kern w:val="2"/>
          <w:sz w:val="24"/>
          <w:szCs w:val="22"/>
          <w:lang w:val="en-US" w:eastAsia="zh-CN" w:bidi="ar-SA"/>
        </w:rPr>
        <w:t>1216.94</w:t>
      </w:r>
      <w:r>
        <w:rPr>
          <w:rFonts w:hint="eastAsia" w:ascii="仿宋" w:hAnsi="仿宋" w:eastAsia="仿宋" w:cs="宋体"/>
          <w:b w:val="0"/>
          <w:bCs w:val="0"/>
          <w:color w:val="auto"/>
          <w:sz w:val="24"/>
          <w:szCs w:val="24"/>
          <w:highlight w:val="none"/>
          <w:lang w:val="en-US" w:eastAsia="zh-CN"/>
        </w:rPr>
        <w:t>万元，资本金比例</w:t>
      </w:r>
      <w:r>
        <w:rPr>
          <w:rFonts w:hint="eastAsia" w:ascii="仿宋" w:hAnsi="仿宋" w:eastAsia="仿宋" w:cs="宋体"/>
          <w:b w:val="0"/>
          <w:bCs w:val="0"/>
          <w:sz w:val="24"/>
          <w:szCs w:val="24"/>
          <w:lang w:val="en-US" w:eastAsia="zh-CN"/>
        </w:rPr>
        <w:t>20.92</w:t>
      </w:r>
      <w:r>
        <w:rPr>
          <w:rFonts w:hint="eastAsia" w:ascii="仿宋" w:hAnsi="仿宋" w:eastAsia="仿宋" w:cs="宋体"/>
          <w:b w:val="0"/>
          <w:bCs w:val="0"/>
          <w:color w:val="auto"/>
          <w:sz w:val="24"/>
          <w:szCs w:val="24"/>
          <w:highlight w:val="none"/>
          <w:lang w:val="en-US" w:eastAsia="zh-CN"/>
        </w:rPr>
        <w:t>%，符合资本金比例相关要求。</w:t>
      </w:r>
    </w:p>
    <w:p w14:paraId="7005EB61">
      <w:pPr>
        <w:pStyle w:val="2"/>
        <w:pageBreakBefore/>
        <w:spacing w:before="0" w:after="0" w:line="360" w:lineRule="auto"/>
        <w:jc w:val="center"/>
        <w:rPr>
          <w:rFonts w:ascii="仿宋" w:hAnsi="仿宋" w:eastAsia="仿宋" w:cstheme="majorEastAsia"/>
          <w:kern w:val="0"/>
          <w:sz w:val="36"/>
          <w:szCs w:val="36"/>
          <w:highlight w:val="none"/>
        </w:rPr>
      </w:pPr>
      <w:r>
        <w:rPr>
          <w:rFonts w:hint="eastAsia" w:ascii="仿宋" w:hAnsi="仿宋" w:eastAsia="仿宋" w:cstheme="majorEastAsia"/>
          <w:bCs/>
          <w:snapToGrid w:val="0"/>
          <w:kern w:val="0"/>
          <w:sz w:val="36"/>
          <w:szCs w:val="36"/>
          <w:highlight w:val="none"/>
        </w:rPr>
        <w:t>第六章 财务效益与偿债能力评估</w:t>
      </w:r>
    </w:p>
    <w:p w14:paraId="6735E9A4">
      <w:pPr>
        <w:autoSpaceDE w:val="0"/>
        <w:spacing w:line="360" w:lineRule="auto"/>
        <w:ind w:firstLine="562" w:firstLineChars="200"/>
        <w:jc w:val="left"/>
        <w:rPr>
          <w:rFonts w:ascii="仿宋" w:hAnsi="仿宋" w:eastAsia="仿宋" w:cstheme="minorEastAsia"/>
          <w:b/>
          <w:bCs/>
          <w:sz w:val="28"/>
          <w:szCs w:val="28"/>
        </w:rPr>
      </w:pPr>
      <w:r>
        <w:rPr>
          <w:rFonts w:hint="eastAsia" w:ascii="仿宋" w:hAnsi="仿宋" w:eastAsia="仿宋" w:cstheme="minorEastAsia"/>
          <w:b/>
          <w:bCs/>
          <w:sz w:val="28"/>
          <w:szCs w:val="28"/>
        </w:rPr>
        <w:t>一、基础数据与参数表</w:t>
      </w:r>
    </w:p>
    <w:tbl>
      <w:tblPr>
        <w:tblStyle w:val="22"/>
        <w:tblW w:w="0" w:type="auto"/>
        <w:tblInd w:w="0" w:type="dxa"/>
        <w:tblLayout w:type="fixed"/>
        <w:tblCellMar>
          <w:top w:w="0" w:type="dxa"/>
          <w:left w:w="0" w:type="dxa"/>
          <w:bottom w:w="0" w:type="dxa"/>
          <w:right w:w="0" w:type="dxa"/>
        </w:tblCellMar>
      </w:tblPr>
      <w:tblGrid>
        <w:gridCol w:w="2584"/>
        <w:gridCol w:w="2778"/>
        <w:gridCol w:w="3080"/>
      </w:tblGrid>
      <w:tr w14:paraId="7C754C22">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5D27EB2A">
            <w:pPr>
              <w:jc w:val="center"/>
              <w:rPr>
                <w:rFonts w:ascii="仿宋" w:hAnsi="仿宋" w:eastAsia="仿宋" w:cs="宋体"/>
                <w:szCs w:val="21"/>
                <w:highlight w:val="none"/>
              </w:rPr>
            </w:pPr>
            <w:r>
              <w:rPr>
                <w:rFonts w:hint="eastAsia" w:ascii="仿宋" w:hAnsi="仿宋" w:eastAsia="仿宋"/>
                <w:b/>
                <w:szCs w:val="21"/>
                <w:highlight w:val="none"/>
              </w:rPr>
              <w:t>指标名称</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6AA5E3D6">
            <w:pPr>
              <w:jc w:val="center"/>
              <w:rPr>
                <w:rFonts w:ascii="仿宋" w:hAnsi="仿宋" w:eastAsia="仿宋" w:cs="宋体"/>
                <w:szCs w:val="21"/>
                <w:highlight w:val="none"/>
              </w:rPr>
            </w:pPr>
            <w:r>
              <w:rPr>
                <w:rFonts w:hint="eastAsia" w:ascii="仿宋" w:hAnsi="仿宋" w:eastAsia="仿宋"/>
                <w:b/>
                <w:szCs w:val="21"/>
                <w:highlight w:val="none"/>
              </w:rPr>
              <w:t>选定值或区间值</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159BBE36">
            <w:pPr>
              <w:jc w:val="center"/>
              <w:rPr>
                <w:rFonts w:ascii="仿宋" w:hAnsi="仿宋" w:eastAsia="仿宋" w:cs="宋体"/>
                <w:szCs w:val="21"/>
                <w:highlight w:val="none"/>
              </w:rPr>
            </w:pPr>
            <w:r>
              <w:rPr>
                <w:rFonts w:hint="eastAsia" w:ascii="仿宋" w:hAnsi="仿宋" w:eastAsia="仿宋"/>
                <w:b/>
                <w:szCs w:val="21"/>
                <w:highlight w:val="none"/>
              </w:rPr>
              <w:t>选定依据</w:t>
            </w:r>
          </w:p>
        </w:tc>
      </w:tr>
      <w:tr w14:paraId="7F2C6668">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71477F96">
            <w:pPr>
              <w:jc w:val="center"/>
              <w:rPr>
                <w:rFonts w:hint="eastAsia" w:ascii="仿宋" w:hAnsi="仿宋" w:eastAsia="仿宋" w:cs="宋体"/>
                <w:szCs w:val="21"/>
                <w:highlight w:val="none"/>
              </w:rPr>
            </w:pPr>
            <w:r>
              <w:rPr>
                <w:rFonts w:hint="eastAsia" w:ascii="仿宋" w:hAnsi="仿宋" w:eastAsia="仿宋" w:cs="宋体"/>
                <w:szCs w:val="21"/>
                <w:highlight w:val="none"/>
              </w:rPr>
              <w:t>工程费用</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0EE3B1A0">
            <w:pPr>
              <w:jc w:val="center"/>
              <w:rPr>
                <w:rFonts w:hint="default" w:ascii="仿宋" w:hAnsi="仿宋" w:eastAsia="仿宋" w:cs="宋体"/>
                <w:szCs w:val="21"/>
                <w:highlight w:val="none"/>
                <w:lang w:val="en-US" w:eastAsia="zh-CN"/>
              </w:rPr>
            </w:pPr>
            <w:r>
              <w:rPr>
                <w:rFonts w:hint="eastAsia" w:ascii="宋体" w:hAnsi="宋体" w:eastAsia="宋体" w:cs="宋体"/>
                <w:color w:val="auto"/>
                <w:sz w:val="21"/>
                <w:szCs w:val="21"/>
                <w:lang w:val="en-US" w:eastAsia="zh-CN"/>
              </w:rPr>
              <w:t>5234.91</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613BD6AD">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可研数据</w:t>
            </w:r>
          </w:p>
        </w:tc>
      </w:tr>
      <w:tr w14:paraId="350E2AD5">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2F777C06">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光伏储能售电增值税率</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4D20B30E">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13%</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2BE1EA6A">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相关税法</w:t>
            </w:r>
          </w:p>
        </w:tc>
      </w:tr>
      <w:tr w14:paraId="641985EE">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7BB76514">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智能充电桩增</w:t>
            </w:r>
            <w:r>
              <w:rPr>
                <w:rFonts w:hint="eastAsia" w:ascii="仿宋" w:hAnsi="仿宋" w:eastAsia="仿宋" w:cs="宋体"/>
                <w:szCs w:val="21"/>
                <w:highlight w:val="none"/>
              </w:rPr>
              <w:t>值税税率</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7B8026DA">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9</w:t>
            </w:r>
            <w:r>
              <w:rPr>
                <w:rFonts w:hint="eastAsia" w:ascii="仿宋" w:hAnsi="仿宋" w:eastAsia="仿宋" w:cs="宋体"/>
                <w:szCs w:val="21"/>
                <w:highlight w:val="none"/>
              </w:rPr>
              <w:t>%</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44410F62">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相关税法</w:t>
            </w:r>
          </w:p>
        </w:tc>
      </w:tr>
      <w:tr w14:paraId="4CC2B3F8">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6950C348">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城市维护建设税率</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34913AA9">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7%</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3D80EBD1">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相关税法</w:t>
            </w:r>
          </w:p>
        </w:tc>
      </w:tr>
      <w:tr w14:paraId="3249A40D">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67034DB8">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教育附加税率（含地方）</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14CA7F83">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3%</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102A7BA9">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相关税法</w:t>
            </w:r>
          </w:p>
        </w:tc>
      </w:tr>
      <w:tr w14:paraId="5511F6D5">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13A709AF">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未分配利润还款比例</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674C7F2B">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95%</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1300C066">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评估设定</w:t>
            </w:r>
          </w:p>
        </w:tc>
      </w:tr>
      <w:tr w14:paraId="00204A37">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1563B5EF">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前三年折旧及摊销还款比例</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33CAC0B6">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100%</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6FC0146E">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评估设定</w:t>
            </w:r>
          </w:p>
        </w:tc>
      </w:tr>
      <w:tr w14:paraId="24FD3DF4">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3AB76E29">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三年后折旧及摊销还款比例</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12CA77B8">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100%</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4951BC02">
            <w:pPr>
              <w:jc w:val="center"/>
              <w:rPr>
                <w:rFonts w:hint="eastAsia" w:ascii="仿宋" w:hAnsi="仿宋" w:eastAsia="仿宋" w:cs="宋体"/>
                <w:szCs w:val="21"/>
                <w:highlight w:val="none"/>
              </w:rPr>
            </w:pPr>
            <w:r>
              <w:rPr>
                <w:rFonts w:hint="eastAsia" w:ascii="仿宋" w:hAnsi="仿宋" w:eastAsia="仿宋" w:cs="宋体"/>
                <w:szCs w:val="21"/>
                <w:highlight w:val="none"/>
                <w:lang w:val="en-US" w:eastAsia="zh-CN"/>
              </w:rPr>
              <w:t>评估设定</w:t>
            </w:r>
          </w:p>
        </w:tc>
      </w:tr>
      <w:tr w14:paraId="24503BF0">
        <w:tblPrEx>
          <w:tblCellMar>
            <w:top w:w="0" w:type="dxa"/>
            <w:left w:w="0" w:type="dxa"/>
            <w:bottom w:w="0" w:type="dxa"/>
            <w:right w:w="0" w:type="dxa"/>
          </w:tblCellMar>
        </w:tblPrEx>
        <w:tc>
          <w:tcPr>
            <w:tcW w:w="2584" w:type="dxa"/>
            <w:tcBorders>
              <w:top w:val="outset" w:color="auto" w:sz="6" w:space="0"/>
              <w:left w:val="outset" w:color="auto" w:sz="6" w:space="0"/>
              <w:bottom w:val="outset" w:color="auto" w:sz="6" w:space="0"/>
              <w:right w:val="outset" w:color="auto" w:sz="6" w:space="0"/>
            </w:tcBorders>
            <w:noWrap w:val="0"/>
            <w:vAlign w:val="center"/>
          </w:tcPr>
          <w:p w14:paraId="1004A442">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所得税率</w:t>
            </w:r>
          </w:p>
        </w:tc>
        <w:tc>
          <w:tcPr>
            <w:tcW w:w="2778" w:type="dxa"/>
            <w:tcBorders>
              <w:top w:val="outset" w:color="auto" w:sz="6" w:space="0"/>
              <w:left w:val="outset" w:color="auto" w:sz="6" w:space="0"/>
              <w:bottom w:val="outset" w:color="auto" w:sz="6" w:space="0"/>
              <w:right w:val="single" w:color="auto" w:sz="4" w:space="0"/>
            </w:tcBorders>
            <w:noWrap w:val="0"/>
            <w:vAlign w:val="center"/>
          </w:tcPr>
          <w:p w14:paraId="45B927FD">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25%</w:t>
            </w:r>
          </w:p>
        </w:tc>
        <w:tc>
          <w:tcPr>
            <w:tcW w:w="3080" w:type="dxa"/>
            <w:tcBorders>
              <w:top w:val="outset" w:color="auto" w:sz="6" w:space="0"/>
              <w:left w:val="single" w:color="auto" w:sz="4" w:space="0"/>
              <w:bottom w:val="outset" w:color="auto" w:sz="6" w:space="0"/>
              <w:right w:val="outset" w:color="auto" w:sz="6" w:space="0"/>
            </w:tcBorders>
            <w:noWrap w:val="0"/>
            <w:vAlign w:val="center"/>
          </w:tcPr>
          <w:p w14:paraId="4FC9ED15">
            <w:pPr>
              <w:jc w:val="center"/>
              <w:rPr>
                <w:rFonts w:hint="default" w:ascii="仿宋" w:hAnsi="仿宋" w:eastAsia="仿宋" w:cs="宋体"/>
                <w:szCs w:val="21"/>
                <w:highlight w:val="none"/>
                <w:lang w:val="en-US" w:eastAsia="zh-CN"/>
              </w:rPr>
            </w:pPr>
            <w:r>
              <w:rPr>
                <w:rFonts w:hint="eastAsia" w:ascii="仿宋" w:hAnsi="仿宋" w:eastAsia="仿宋" w:cs="宋体"/>
                <w:szCs w:val="21"/>
                <w:highlight w:val="none"/>
                <w:lang w:val="en-US" w:eastAsia="zh-CN"/>
              </w:rPr>
              <w:t>相关税法</w:t>
            </w:r>
          </w:p>
        </w:tc>
      </w:tr>
    </w:tbl>
    <w:p w14:paraId="1A9B885A">
      <w:pPr>
        <w:numPr>
          <w:ilvl w:val="0"/>
          <w:numId w:val="0"/>
        </w:num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二、</w:t>
      </w:r>
      <w:r>
        <w:rPr>
          <w:rFonts w:hint="eastAsia" w:ascii="仿宋" w:hAnsi="仿宋" w:eastAsia="仿宋" w:cstheme="minorEastAsia"/>
          <w:b/>
          <w:bCs/>
          <w:sz w:val="28"/>
          <w:szCs w:val="28"/>
        </w:rPr>
        <w:t>销售（营业）收入</w:t>
      </w:r>
    </w:p>
    <w:p w14:paraId="4CDFD6D0">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本项目运营收入包含光伏发电收入、储能售电收入及光储充电桩收益等收入。</w:t>
      </w:r>
    </w:p>
    <w:p w14:paraId="1B58F3BC">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1、光伏发电收入</w:t>
      </w:r>
    </w:p>
    <w:p w14:paraId="692753C2">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数量：本项目采用“源网荷储模式”，结合企业河南大成包装材料有限公司2024年7月-2025年6月年用电量6889.68万kWh（详见下表），即年平均用电负荷为55MW左右，根据根据大成包装2025年7-10月份用电负荷曲线显示，该企业在，高峰用电占比9.8%，高峰用电量约是675.19万kWh，平时段用电占比28.69%，平段用电量1976.64kWh，其余为低谷时段，该企业距本项目光伏电站2公里左右（小于20公里），根据测算，光伏电站每年发电量为718.07万kWh（3.349kWh/kWp/天*5956kWp*360天），考虑到该企业是24小时生产，白天平谷时段用电1976.64万kWh，本项目光伏发电将直接由该企业100%消纳。</w:t>
      </w:r>
    </w:p>
    <w:p w14:paraId="60DA6600">
      <w:pPr>
        <w:keepNext w:val="0"/>
        <w:keepLines w:val="0"/>
        <w:pageBreakBefore w:val="0"/>
        <w:widowControl w:val="0"/>
        <w:tabs>
          <w:tab w:val="left" w:pos="0"/>
          <w:tab w:val="left" w:pos="142"/>
        </w:tabs>
        <w:kinsoku/>
        <w:wordWrap/>
        <w:overflowPunct/>
        <w:topLinePunct/>
        <w:autoSpaceDE w:val="0"/>
        <w:autoSpaceDN/>
        <w:bidi w:val="0"/>
        <w:adjustRightInd/>
        <w:snapToGrid/>
        <w:spacing w:before="157" w:beforeLines="50" w:after="157" w:afterLines="50" w:line="360" w:lineRule="auto"/>
        <w:ind w:firstLine="482" w:firstLineChars="200"/>
        <w:jc w:val="center"/>
        <w:textAlignment w:val="auto"/>
        <w:outlineLvl w:val="9"/>
        <w:rPr>
          <w:rFonts w:hint="eastAsia" w:ascii="仿宋" w:hAnsi="仿宋" w:eastAsia="仿宋" w:cs="仿宋"/>
          <w:b/>
          <w:bCs/>
          <w:i w:val="0"/>
          <w:strike w:val="0"/>
          <w:color w:val="000000"/>
          <w:kern w:val="2"/>
          <w:sz w:val="24"/>
          <w:szCs w:val="22"/>
          <w:lang w:val="en-US" w:eastAsia="zh-CN" w:bidi="ar-SA"/>
        </w:rPr>
      </w:pPr>
      <w:r>
        <w:rPr>
          <w:rFonts w:hint="eastAsia" w:ascii="仿宋" w:hAnsi="仿宋" w:eastAsia="仿宋" w:cs="仿宋"/>
          <w:b/>
          <w:bCs/>
          <w:i w:val="0"/>
          <w:strike w:val="0"/>
          <w:color w:val="000000"/>
          <w:kern w:val="2"/>
          <w:sz w:val="24"/>
          <w:szCs w:val="22"/>
          <w:lang w:val="en-US" w:eastAsia="zh-CN" w:bidi="ar-SA"/>
        </w:rPr>
        <w:t>大成包装用电量</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2863"/>
        <w:gridCol w:w="1396"/>
        <w:gridCol w:w="2865"/>
      </w:tblGrid>
      <w:tr w14:paraId="7223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7EA0DEBD">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b/>
                <w:i w:val="0"/>
                <w:strike w:val="0"/>
                <w:color w:val="000000"/>
                <w:spacing w:val="0"/>
                <w:sz w:val="21"/>
                <w:szCs w:val="21"/>
                <w:u w:val="none"/>
              </w:rPr>
              <w:t>2024年</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26D39BD8">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b/>
                <w:i w:val="0"/>
                <w:strike w:val="0"/>
                <w:color w:val="000000"/>
                <w:spacing w:val="0"/>
                <w:sz w:val="21"/>
                <w:szCs w:val="21"/>
                <w:u w:val="none"/>
              </w:rPr>
              <w:t>用电量（万kwh）</w:t>
            </w:r>
          </w:p>
        </w:tc>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7740B4E3">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b/>
                <w:i w:val="0"/>
                <w:strike w:val="0"/>
                <w:color w:val="000000"/>
                <w:spacing w:val="0"/>
                <w:sz w:val="21"/>
                <w:szCs w:val="21"/>
                <w:u w:val="none"/>
              </w:rPr>
              <w:t>2025年</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2FA7CB7D">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b/>
                <w:i w:val="0"/>
                <w:strike w:val="0"/>
                <w:color w:val="000000"/>
                <w:spacing w:val="0"/>
                <w:sz w:val="21"/>
                <w:szCs w:val="21"/>
                <w:u w:val="none"/>
              </w:rPr>
              <w:t>用电量（万kwh）</w:t>
            </w:r>
          </w:p>
        </w:tc>
      </w:tr>
      <w:tr w14:paraId="3FBB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1F9194D8">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7月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60032FD3">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493.99</w:t>
            </w:r>
          </w:p>
        </w:tc>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44013666">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1月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1D39CEDC">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489.21</w:t>
            </w:r>
          </w:p>
        </w:tc>
      </w:tr>
      <w:tr w14:paraId="5595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403FA03D">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8月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6977F70E">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513.83</w:t>
            </w:r>
          </w:p>
        </w:tc>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500F51C3">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2月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36DD10B9">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510.51</w:t>
            </w:r>
          </w:p>
        </w:tc>
      </w:tr>
      <w:tr w14:paraId="2172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33965E59">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9月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41CC571E">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603.61</w:t>
            </w:r>
          </w:p>
        </w:tc>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0370B116">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3月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2B44226B">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686.45</w:t>
            </w:r>
          </w:p>
        </w:tc>
      </w:tr>
      <w:tr w14:paraId="1E92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02BB1096">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10月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6F7CAEE4">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499.38</w:t>
            </w:r>
          </w:p>
        </w:tc>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69B8A61F">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4月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1EB8CDAB">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598.78</w:t>
            </w:r>
          </w:p>
        </w:tc>
      </w:tr>
      <w:tr w14:paraId="19AA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32FAF90A">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11月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0709D507">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618.82</w:t>
            </w:r>
          </w:p>
        </w:tc>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05F16FD6">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5月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009C0CD3">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632.23</w:t>
            </w:r>
          </w:p>
        </w:tc>
      </w:tr>
      <w:tr w14:paraId="0761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32C0A3B3">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12月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34A4BED0">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635.15</w:t>
            </w:r>
          </w:p>
        </w:tc>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1D0B294D">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6月</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21CB8E86">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607.72</w:t>
            </w:r>
          </w:p>
        </w:tc>
      </w:tr>
      <w:tr w14:paraId="2209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253AC3C4">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小计</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3A6787EB">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3364.78</w:t>
            </w:r>
          </w:p>
        </w:tc>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36992607">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小计</w:t>
            </w:r>
          </w:p>
        </w:tc>
        <w:tc>
          <w:tcPr>
            <w:tcW w:w="1680" w:type="pct"/>
            <w:tcBorders>
              <w:top w:val="single" w:color="000000" w:sz="6" w:space="0"/>
              <w:left w:val="single" w:color="000000" w:sz="6" w:space="0"/>
              <w:bottom w:val="single" w:color="000000" w:sz="6" w:space="0"/>
              <w:right w:val="single" w:color="000000" w:sz="6" w:space="0"/>
            </w:tcBorders>
            <w:tcMar>
              <w:bottom w:w="0" w:type="dxa"/>
            </w:tcMar>
            <w:vAlign w:val="center"/>
          </w:tcPr>
          <w:p w14:paraId="2AE7CC6B">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3524.9</w:t>
            </w:r>
          </w:p>
        </w:tc>
      </w:tr>
      <w:tr w14:paraId="4653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9" w:type="pct"/>
            <w:tcBorders>
              <w:top w:val="single" w:color="000000" w:sz="6" w:space="0"/>
              <w:left w:val="single" w:color="000000" w:sz="6" w:space="0"/>
              <w:bottom w:val="single" w:color="000000" w:sz="6" w:space="0"/>
              <w:right w:val="single" w:color="000000" w:sz="6" w:space="0"/>
            </w:tcBorders>
            <w:tcMar>
              <w:bottom w:w="0" w:type="dxa"/>
            </w:tcMar>
            <w:vAlign w:val="center"/>
          </w:tcPr>
          <w:p w14:paraId="5B15304B">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合计</w:t>
            </w:r>
          </w:p>
        </w:tc>
        <w:tc>
          <w:tcPr>
            <w:tcW w:w="4180" w:type="pct"/>
            <w:gridSpan w:val="3"/>
            <w:tcBorders>
              <w:top w:val="single" w:color="000000" w:sz="6" w:space="0"/>
              <w:left w:val="single" w:color="000000" w:sz="6" w:space="0"/>
              <w:bottom w:val="single" w:color="000000" w:sz="6" w:space="0"/>
              <w:right w:val="single" w:color="000000" w:sz="6" w:space="0"/>
            </w:tcBorders>
            <w:tcMar>
              <w:bottom w:w="0" w:type="dxa"/>
            </w:tcMar>
            <w:vAlign w:val="center"/>
          </w:tcPr>
          <w:p w14:paraId="344B3269">
            <w:pPr>
              <w:widowControl w:val="0"/>
              <w:snapToGrid/>
              <w:spacing w:before="0" w:after="0" w:line="240" w:lineRule="auto"/>
              <w:jc w:val="center"/>
              <w:rPr>
                <w:rFonts w:hint="eastAsia" w:ascii="仿宋" w:hAnsi="仿宋" w:eastAsia="仿宋" w:cs="仿宋"/>
                <w:sz w:val="21"/>
                <w:szCs w:val="21"/>
              </w:rPr>
            </w:pPr>
            <w:r>
              <w:rPr>
                <w:rFonts w:hint="eastAsia" w:ascii="仿宋" w:hAnsi="仿宋" w:eastAsia="仿宋" w:cs="仿宋"/>
                <w:i w:val="0"/>
                <w:strike w:val="0"/>
                <w:color w:val="000000"/>
                <w:spacing w:val="0"/>
                <w:sz w:val="21"/>
                <w:szCs w:val="21"/>
                <w:u w:val="none"/>
              </w:rPr>
              <w:t>6889.68</w:t>
            </w:r>
          </w:p>
        </w:tc>
      </w:tr>
    </w:tbl>
    <w:p w14:paraId="4A79469A">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衰减值：光伏发电首年衰减值为1%，剩余每年衰减值为0.4%。</w:t>
      </w:r>
    </w:p>
    <w:p w14:paraId="751D77C2">
      <w:pPr>
        <w:autoSpaceDE w:val="0"/>
        <w:spacing w:line="360" w:lineRule="auto"/>
        <w:ind w:firstLine="480" w:firstLineChars="200"/>
        <w:jc w:val="left"/>
        <w:rPr>
          <w:rFonts w:hint="eastAsia" w:ascii="仿宋" w:hAnsi="仿宋" w:eastAsia="仿宋" w:cs="仿宋"/>
          <w:bCs/>
          <w:szCs w:val="21"/>
        </w:rPr>
      </w:pPr>
      <w:r>
        <w:rPr>
          <w:rFonts w:hint="eastAsia" w:ascii="仿宋" w:hAnsi="仿宋" w:eastAsia="仿宋" w:cs="宋体"/>
          <w:b w:val="0"/>
          <w:bCs w:val="0"/>
          <w:sz w:val="24"/>
          <w:szCs w:val="24"/>
          <w:lang w:val="en-US" w:eastAsia="zh-CN"/>
        </w:rPr>
        <w:t>1KW光伏装机容量平均日发电量：光伏发电时段在8:00-18:00，考虑日照时间、气温、照射角度等因素，根据Global Solar Atlas太阳能资源分析软件进行计算，如下图所示，1KW光伏装机容量每日发电量为3.349kWh/kWp/天,本项目预计年发电量3.349kWh/kWp/天*5956kWp*360天=718.08万kWh。</w:t>
      </w:r>
      <w:r>
        <w:rPr>
          <w:rFonts w:hint="eastAsia" w:ascii="仿宋" w:hAnsi="仿宋" w:eastAsia="仿宋" w:cs="仿宋"/>
          <w:bCs/>
          <w:szCs w:val="21"/>
        </w:rPr>
        <w:drawing>
          <wp:inline distT="0" distB="0" distL="0" distR="0">
            <wp:extent cx="5759450" cy="2684145"/>
            <wp:effectExtent l="0" t="0" r="6350" b="8255"/>
            <wp:docPr id="1" name="picture" descr="descript"/>
            <wp:cNvGraphicFramePr/>
            <a:graphic xmlns:a="http://schemas.openxmlformats.org/drawingml/2006/main">
              <a:graphicData uri="http://schemas.openxmlformats.org/drawingml/2006/picture">
                <pic:pic xmlns:pic="http://schemas.openxmlformats.org/drawingml/2006/picture">
                  <pic:nvPicPr>
                    <pic:cNvPr id="1" name="picture" descr="descript"/>
                    <pic:cNvPicPr/>
                  </pic:nvPicPr>
                  <pic:blipFill>
                    <a:blip r:embed="rId7"/>
                    <a:stretch>
                      <a:fillRect/>
                    </a:stretch>
                  </pic:blipFill>
                  <pic:spPr>
                    <a:xfrm>
                      <a:off x="0" y="0"/>
                      <a:ext cx="5759450" cy="2684419"/>
                    </a:xfrm>
                    <a:prstGeom prst="rect">
                      <a:avLst/>
                    </a:prstGeom>
                  </pic:spPr>
                </pic:pic>
              </a:graphicData>
            </a:graphic>
          </wp:inline>
        </w:drawing>
      </w:r>
    </w:p>
    <w:p w14:paraId="62C40BDB">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工商业用电平均电价：根据国网河南省电力公司代理购电工商业用户电价表，本项目电压等级为1-10千伏区间，根据河南省发展改革委发布了《关于调整工商业分时电价有关事项的通知》规定：高峰段为16--24时，低谷时段为0时-次日7时，其余时段为平段，工商业用电平段电价为0.69元/kWh左右（每月电价有一定浮动），出于谨慎性原则，光伏发电主要用于平段供应，项目平段供应用电电价为0.57元/kWh，暂不考虑电价调幅及尖峰时段电价。</w:t>
      </w:r>
    </w:p>
    <w:p w14:paraId="3BFF42B1">
      <w:pPr>
        <w:keepNext w:val="0"/>
        <w:keepLines w:val="0"/>
        <w:pageBreakBefore w:val="0"/>
        <w:widowControl w:val="0"/>
        <w:kinsoku/>
        <w:wordWrap/>
        <w:overflowPunct/>
        <w:topLinePunct/>
        <w:autoSpaceDE w:val="0"/>
        <w:autoSpaceDN/>
        <w:bidi w:val="0"/>
        <w:adjustRightInd/>
        <w:snapToGrid/>
        <w:spacing w:before="157" w:beforeLines="50" w:after="157" w:afterLines="50" w:line="240" w:lineRule="auto"/>
        <w:ind w:left="0" w:firstLine="480" w:firstLineChars="20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drawing>
          <wp:inline distT="0" distB="0" distL="114300" distR="114300">
            <wp:extent cx="5756275" cy="3179445"/>
            <wp:effectExtent l="0" t="0" r="9525" b="8255"/>
            <wp:docPr id="2" name="图片 2" descr="7月份电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月份电价"/>
                    <pic:cNvPicPr>
                      <a:picLocks noChangeAspect="1"/>
                    </pic:cNvPicPr>
                  </pic:nvPicPr>
                  <pic:blipFill>
                    <a:blip r:embed="rId8"/>
                    <a:stretch>
                      <a:fillRect/>
                    </a:stretch>
                  </pic:blipFill>
                  <pic:spPr>
                    <a:xfrm>
                      <a:off x="0" y="0"/>
                      <a:ext cx="5756275" cy="3179445"/>
                    </a:xfrm>
                    <a:prstGeom prst="rect">
                      <a:avLst/>
                    </a:prstGeom>
                  </pic:spPr>
                </pic:pic>
              </a:graphicData>
            </a:graphic>
          </wp:inline>
        </w:drawing>
      </w:r>
    </w:p>
    <w:p w14:paraId="00BAD002">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根据谨慎性原则，本次测算工商业用电平均电价为0.57元/kWh，则自发自用电费收益=（自用率*装机容量*1KW光伏装机容量平均日发电量*年发电天数-储能日储存电量*360）*工商业用电平均电价，贷款存续期间自用收益经营性收入估算合计为4554.38万元。（装机容量运营期首年衰减1%，以后每年衰减0.4%）详情请见估算表收入部分。</w:t>
      </w:r>
    </w:p>
    <w:p w14:paraId="54BE9FCC">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2、储能售电收入</w:t>
      </w:r>
    </w:p>
    <w:p w14:paraId="457D612B">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峰值需求量：河南大成包装材料有限公司年用电需求6889.68万kWh，考虑到该企业是24小时生产，峰值用电675.19万kWh（高峰段为16--24时），本项目配备储能发电系统总计20MW，其中普通用户侧储能为17MW，剩余3MW分布式换电储能设备，该设备可作储能也可以做二轮或者三轮换电，因二轮或者三轮换电需要专业团队运营，收入存在不确定性，本次测算将换电不作为收入计算，仅计算储能收入。本项目最大储能量为每天4*5000=20000kWh。为谨慎考虑，日出能量按照92%计算为18400kWh。年储能供电量是18400kWh*360=662.4万kWh，可为满足该企业波峰用电需求。</w:t>
      </w:r>
    </w:p>
    <w:p w14:paraId="35FD9F89">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储能销售电价：根据结合近2025年7月份电力公司代理购电工商业用户电价表推算，峰值价差约为0.73元/kwh（未考虑尖峰电价），出于谨慎性原则，项目暂按差价0.61元/kWh测算。</w:t>
      </w:r>
    </w:p>
    <w:p w14:paraId="656AC27A">
      <w:pPr>
        <w:keepNext w:val="0"/>
        <w:keepLines w:val="0"/>
        <w:pageBreakBefore w:val="0"/>
        <w:widowControl w:val="0"/>
        <w:kinsoku/>
        <w:wordWrap/>
        <w:overflowPunct/>
        <w:topLinePunct/>
        <w:autoSpaceDE w:val="0"/>
        <w:autoSpaceDN/>
        <w:bidi w:val="0"/>
        <w:adjustRightInd/>
        <w:snapToGrid/>
        <w:spacing w:before="157" w:beforeLines="50" w:after="157" w:afterLines="50" w:line="240" w:lineRule="auto"/>
        <w:ind w:left="0" w:firstLine="480" w:firstLineChars="200"/>
        <w:textAlignment w:val="auto"/>
        <w:outlineLvl w:val="9"/>
        <w:rPr>
          <w:rFonts w:hint="eastAsia" w:ascii="仿宋" w:hAnsi="仿宋" w:eastAsia="仿宋" w:cs="仿宋"/>
          <w:bCs/>
          <w:sz w:val="24"/>
          <w:szCs w:val="24"/>
          <w:lang w:eastAsia="zh-CN"/>
        </w:rPr>
      </w:pPr>
      <w:r>
        <w:rPr>
          <w:rFonts w:hint="eastAsia" w:ascii="仿宋" w:hAnsi="仿宋" w:eastAsia="仿宋" w:cs="仿宋"/>
          <w:bCs/>
          <w:sz w:val="24"/>
          <w:szCs w:val="24"/>
          <w:lang w:eastAsia="zh-CN"/>
        </w:rPr>
        <w:drawing>
          <wp:inline distT="0" distB="0" distL="114300" distR="114300">
            <wp:extent cx="5756275" cy="3179445"/>
            <wp:effectExtent l="0" t="0" r="9525" b="8255"/>
            <wp:docPr id="3" name="图片 3" descr="7月份电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月份电价"/>
                    <pic:cNvPicPr>
                      <a:picLocks noChangeAspect="1"/>
                    </pic:cNvPicPr>
                  </pic:nvPicPr>
                  <pic:blipFill>
                    <a:blip r:embed="rId8"/>
                    <a:stretch>
                      <a:fillRect/>
                    </a:stretch>
                  </pic:blipFill>
                  <pic:spPr>
                    <a:xfrm>
                      <a:off x="0" y="0"/>
                      <a:ext cx="5756275" cy="3179445"/>
                    </a:xfrm>
                    <a:prstGeom prst="rect">
                      <a:avLst/>
                    </a:prstGeom>
                  </pic:spPr>
                </pic:pic>
              </a:graphicData>
            </a:graphic>
          </wp:inline>
        </w:drawing>
      </w:r>
    </w:p>
    <w:p w14:paraId="134FA02B">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则储能峰谷发电收益=日峰值需求量*峰谷价差*年发电天数，贷款存续期间自用收益及经营性收入估算合计为4646.74万元。</w:t>
      </w:r>
    </w:p>
    <w:p w14:paraId="4A489882">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3、充电桩收入</w:t>
      </w:r>
    </w:p>
    <w:p w14:paraId="1BD9EAA9">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根据《关于加快电动汽车充电基础设施建设的实施意见》以及《河南省发展改革委转发国家发展改革委关于电动汽车用电价格政策有关问题的通知》：充换电设施经营单位可向电动汽车用户收取电费及充电服务费两项费用。结合新乡市市市场价格，目前辖区范围内电动汽车充电服务费按充电的计量单位数(千瓦时)收取，社会车辆充电服务费标准暂定为0.8元/千瓦时。</w:t>
      </w:r>
    </w:p>
    <w:p w14:paraId="4ADBF702">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本项目设置600kw液冷充电桩5个。项目充电桩所使用电力全部由光伏车棚及储能模块提供，考虑到本项目的服务群体和区位，定价不宜过高，本次充电费用将按照0.35元/度充电电费及0.2元/度充电服务费，合计充电桩使用费为0.55元/千瓦时计算，功率为600kw，利用率按照运营期第0.5年使用系数按50%，第二年按60%，第三年按70%，第四年按80%，第五年按90%，第六年及以后按95%计算。每个充电桩每天工作0.5小时，年使用360天，每小时充电600度。贷款存续期间充电桩收入估算合计为294.03万元。</w:t>
      </w:r>
    </w:p>
    <w:p w14:paraId="130199B3">
      <w:pPr>
        <w:autoSpaceDE w:val="0"/>
        <w:spacing w:line="360" w:lineRule="auto"/>
        <w:ind w:firstLine="480" w:firstLineChars="200"/>
        <w:jc w:val="left"/>
        <w:rPr>
          <w:rFonts w:hint="eastAsia" w:ascii="仿宋" w:hAnsi="仿宋" w:eastAsia="仿宋" w:cs="宋体"/>
          <w:b w:val="0"/>
          <w:bCs w:val="0"/>
          <w:sz w:val="24"/>
          <w:szCs w:val="24"/>
          <w:lang w:val="en-US" w:eastAsia="zh-CN"/>
        </w:rPr>
      </w:pPr>
      <w:r>
        <w:rPr>
          <w:rFonts w:hint="eastAsia" w:ascii="仿宋" w:hAnsi="仿宋" w:eastAsia="仿宋" w:cs="宋体"/>
          <w:b w:val="0"/>
          <w:bCs w:val="0"/>
          <w:sz w:val="24"/>
          <w:szCs w:val="24"/>
          <w:lang w:val="en-US" w:eastAsia="zh-CN"/>
        </w:rPr>
        <w:t>综上所述，项目12年运营期内总收入为9495.14万元。</w:t>
      </w:r>
    </w:p>
    <w:p w14:paraId="64EAE248">
      <w:pPr>
        <w:numPr>
          <w:ilvl w:val="0"/>
          <w:numId w:val="0"/>
        </w:numPr>
        <w:autoSpaceDE w:val="0"/>
        <w:spacing w:line="360" w:lineRule="auto"/>
        <w:ind w:firstLine="562" w:firstLineChars="200"/>
        <w:jc w:val="left"/>
        <w:rPr>
          <w:rFonts w:hint="default" w:ascii="仿宋" w:hAnsi="仿宋" w:eastAsia="仿宋" w:cstheme="minorEastAsia"/>
          <w:b/>
          <w:bCs/>
          <w:sz w:val="28"/>
          <w:szCs w:val="28"/>
          <w:lang w:val="en-US" w:eastAsia="zh-CN"/>
        </w:rPr>
      </w:pPr>
      <w:r>
        <w:rPr>
          <w:rFonts w:hint="eastAsia" w:ascii="仿宋" w:hAnsi="仿宋" w:eastAsia="仿宋" w:cstheme="minorEastAsia"/>
          <w:b/>
          <w:bCs/>
          <w:sz w:val="28"/>
          <w:szCs w:val="28"/>
          <w:lang w:val="en-US" w:eastAsia="zh-CN"/>
        </w:rPr>
        <w:t>三、</w:t>
      </w:r>
      <w:r>
        <w:rPr>
          <w:rFonts w:hint="eastAsia" w:ascii="仿宋" w:hAnsi="仿宋" w:eastAsia="仿宋" w:cstheme="minorEastAsia"/>
          <w:b/>
          <w:bCs/>
          <w:sz w:val="28"/>
          <w:szCs w:val="28"/>
        </w:rPr>
        <w:t>成本与费用</w:t>
      </w:r>
    </w:p>
    <w:p w14:paraId="0CE52B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1、燃料动力费</w:t>
      </w:r>
    </w:p>
    <w:p w14:paraId="041A5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项目建设完成后，本项目生产服务用房用电用水由运营方承担。按实际生产量估算，价格依据现行市场确定，当项目达到设计达产能力100%，年成本费用为2.64万元/年，考虑到储能波谷充电，波峰放电，电池充电放每天消耗电能1600kWh，波谷充电成本0.35元/kWh，年消耗电能1600kWh*360*0.35元/kWh=20.16万元。项目运营期内年均燃料动力费成本21.85万元。</w:t>
      </w:r>
    </w:p>
    <w:p w14:paraId="23D00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2、人员工资与福利成本</w:t>
      </w:r>
    </w:p>
    <w:p w14:paraId="6A12B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本项目编制拟定为5人，主要为运营、维修维护管理人员，平均工资标准为100000元/年，经计算，年均职工薪酬及福利费为47.92万元。</w:t>
      </w:r>
    </w:p>
    <w:p w14:paraId="29383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3、保洁维护费</w:t>
      </w:r>
    </w:p>
    <w:p w14:paraId="66C0E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参考市场运维成本，结合项目实际情况，按照年折旧费的8%计取，经计算项目运营期内年均保洁维护费为19.11万元。</w:t>
      </w:r>
    </w:p>
    <w:p w14:paraId="6C9D20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4、折旧与摊销</w:t>
      </w:r>
    </w:p>
    <w:p w14:paraId="7A56E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本项目按直线法计算折旧，本项目主要是光伏设备和储能设备，该设备折旧年限为20年，残值率为5%。项目运营期内年均折旧额为238.82万元。</w:t>
      </w:r>
    </w:p>
    <w:p w14:paraId="19FAF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5、运营及管理费</w:t>
      </w:r>
    </w:p>
    <w:p w14:paraId="15405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主要为光伏发电设备、储能系统管理和光伏充电桩等，结合项目实际情况，按照年营业收入2%计取，则项目合计运营及管理费年均为15.83万元。</w:t>
      </w:r>
    </w:p>
    <w:p w14:paraId="32BFD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6、利息支出</w:t>
      </w:r>
    </w:p>
    <w:p w14:paraId="221029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项目（一期）申请贷款4600万元，年限为12年，其中建设期0.5年，建设期利息计入总投资，利率为4.50%。运营期内每年还本付息，具体情况见《还本付息表》。</w:t>
      </w:r>
    </w:p>
    <w:p w14:paraId="5F873009">
      <w:pPr>
        <w:numPr>
          <w:ilvl w:val="0"/>
          <w:numId w:val="0"/>
        </w:numPr>
        <w:autoSpaceDE w:val="0"/>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四、</w:t>
      </w:r>
      <w:r>
        <w:rPr>
          <w:rFonts w:hint="eastAsia" w:ascii="仿宋" w:hAnsi="仿宋" w:eastAsia="仿宋" w:cstheme="minorEastAsia"/>
          <w:b/>
          <w:bCs/>
          <w:sz w:val="28"/>
          <w:szCs w:val="28"/>
        </w:rPr>
        <w:t xml:space="preserve">税金及附加 </w:t>
      </w:r>
    </w:p>
    <w:p w14:paraId="5DE895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宋体"/>
          <w:bCs/>
          <w:kern w:val="2"/>
          <w:sz w:val="24"/>
          <w:szCs w:val="24"/>
          <w:lang w:val="en-US" w:eastAsia="zh-CN" w:bidi="ar-SA"/>
        </w:rPr>
      </w:pPr>
      <w:r>
        <w:rPr>
          <w:rFonts w:hint="eastAsia"/>
          <w:lang w:val="en-US" w:eastAsia="zh-CN"/>
        </w:rPr>
        <w:t xml:space="preserve"> </w:t>
      </w:r>
      <w:r>
        <w:rPr>
          <w:rFonts w:hint="eastAsia" w:ascii="仿宋" w:hAnsi="仿宋" w:eastAsia="仿宋" w:cs="宋体"/>
          <w:bCs/>
          <w:kern w:val="2"/>
          <w:sz w:val="24"/>
          <w:szCs w:val="24"/>
          <w:lang w:val="en-US" w:eastAsia="zh-CN" w:bidi="ar-SA"/>
        </w:rPr>
        <w:t>根据财政部、税务总局公布的《财政部税务总局海关总署关于深化增值税改革有关政策的公告》（2019年第39号）及税法有关规定，光伏储能售电增值税13%、智能充电桩6%；另外计缴纳城市建设维护税、教育附加、地方教育附加（分别为增值税×7%、3%、2%）。</w:t>
      </w:r>
    </w:p>
    <w:p w14:paraId="7F62CD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增值税=（销项税-进项税-可抵扣进项税）×税率</w:t>
      </w:r>
    </w:p>
    <w:p w14:paraId="785F0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bCs/>
          <w:kern w:val="2"/>
          <w:sz w:val="24"/>
          <w:szCs w:val="24"/>
          <w:lang w:val="en-US" w:eastAsia="zh-CN" w:bidi="ar-SA"/>
        </w:rPr>
      </w:pPr>
      <w:r>
        <w:rPr>
          <w:rFonts w:hint="eastAsia" w:ascii="仿宋" w:hAnsi="仿宋" w:eastAsia="仿宋" w:cs="宋体"/>
          <w:bCs/>
          <w:kern w:val="2"/>
          <w:sz w:val="24"/>
          <w:szCs w:val="24"/>
          <w:lang w:val="en-US" w:eastAsia="zh-CN" w:bidi="ar-SA"/>
        </w:rPr>
        <w:t>销项税=营业收入/（1+税率）*税率</w:t>
      </w:r>
    </w:p>
    <w:p w14:paraId="2EFCF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lang w:val="en-US" w:eastAsia="zh-CN"/>
        </w:rPr>
      </w:pPr>
      <w:r>
        <w:rPr>
          <w:rFonts w:hint="eastAsia" w:ascii="仿宋" w:hAnsi="仿宋" w:eastAsia="仿宋" w:cs="宋体"/>
          <w:bCs/>
          <w:kern w:val="2"/>
          <w:sz w:val="24"/>
          <w:szCs w:val="24"/>
          <w:lang w:val="en-US" w:eastAsia="zh-CN" w:bidi="ar-SA"/>
        </w:rPr>
        <w:t>所得税=税前利润（利润总额）×适用税率=（营业收入－营业税及附加－总成本费用）×适用税率。</w:t>
      </w:r>
    </w:p>
    <w:p w14:paraId="2F6679E5">
      <w:pPr>
        <w:numPr>
          <w:ilvl w:val="0"/>
          <w:numId w:val="0"/>
        </w:numPr>
        <w:autoSpaceDE w:val="0"/>
        <w:spacing w:line="360" w:lineRule="auto"/>
        <w:ind w:leftChars="0"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lang w:val="en-US" w:eastAsia="zh-CN"/>
        </w:rPr>
        <w:t>五、</w:t>
      </w:r>
      <w:r>
        <w:rPr>
          <w:rFonts w:hint="eastAsia" w:ascii="仿宋" w:hAnsi="仿宋" w:eastAsia="仿宋" w:cstheme="minorEastAsia"/>
          <w:b/>
          <w:bCs/>
          <w:sz w:val="28"/>
          <w:szCs w:val="28"/>
        </w:rPr>
        <w:t xml:space="preserve">利润及利润分配 </w:t>
      </w:r>
    </w:p>
    <w:p w14:paraId="005DE4AF">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eastAsiaTheme="minorEastAsia"/>
          <w:lang w:val="en-US" w:eastAsia="zh-CN"/>
        </w:rPr>
      </w:pPr>
      <w:r>
        <w:rPr>
          <w:rFonts w:hint="eastAsia" w:ascii="仿宋" w:hAnsi="仿宋" w:eastAsia="仿宋" w:cs="宋体"/>
          <w:bCs/>
          <w:kern w:val="2"/>
          <w:sz w:val="24"/>
          <w:szCs w:val="24"/>
          <w:lang w:val="en-US" w:eastAsia="zh-CN" w:bidi="ar-SA"/>
        </w:rPr>
        <w:t>经测算，</w:t>
      </w:r>
      <w:r>
        <w:rPr>
          <w:rFonts w:hint="eastAsia" w:ascii="仿宋" w:hAnsi="仿宋" w:eastAsia="仿宋" w:cs="宋体"/>
          <w:bCs/>
          <w:kern w:val="2"/>
          <w:sz w:val="24"/>
          <w:szCs w:val="24"/>
          <w:highlight w:val="none"/>
          <w:lang w:val="en-US" w:eastAsia="zh-CN" w:bidi="ar-SA"/>
        </w:rPr>
        <w:t>运营期年均可供分配利</w:t>
      </w:r>
      <w:r>
        <w:rPr>
          <w:rFonts w:hint="eastAsia" w:ascii="仿宋" w:hAnsi="仿宋" w:eastAsia="仿宋" w:cs="宋体"/>
          <w:bCs/>
          <w:color w:val="000000"/>
          <w:kern w:val="2"/>
          <w:sz w:val="24"/>
          <w:szCs w:val="24"/>
          <w:highlight w:val="none"/>
          <w:lang w:val="en-US" w:eastAsia="zh-CN" w:bidi="ar-SA"/>
        </w:rPr>
        <w:t>润为877.14万</w:t>
      </w:r>
      <w:r>
        <w:rPr>
          <w:rFonts w:hint="eastAsia" w:ascii="仿宋" w:hAnsi="仿宋" w:eastAsia="仿宋" w:cs="宋体"/>
          <w:bCs/>
          <w:kern w:val="2"/>
          <w:sz w:val="24"/>
          <w:szCs w:val="24"/>
          <w:highlight w:val="none"/>
          <w:lang w:val="en-US" w:eastAsia="zh-CN" w:bidi="ar-SA"/>
        </w:rPr>
        <w:t>元</w:t>
      </w:r>
      <w:r>
        <w:rPr>
          <w:rFonts w:hint="eastAsia" w:ascii="仿宋" w:hAnsi="仿宋" w:eastAsia="仿宋" w:cs="宋体"/>
          <w:bCs/>
          <w:kern w:val="2"/>
          <w:sz w:val="24"/>
          <w:szCs w:val="24"/>
          <w:lang w:val="en-US" w:eastAsia="zh-CN" w:bidi="ar-SA"/>
        </w:rPr>
        <w:t>。所得税按利润总额的25%计算，盈余公积金按净利润的10%提取，利润分配比例为90%。</w:t>
      </w:r>
    </w:p>
    <w:p w14:paraId="775678B2">
      <w:pPr>
        <w:autoSpaceDE w:val="0"/>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六、财务效益评估</w:t>
      </w:r>
    </w:p>
    <w:p w14:paraId="35562DED">
      <w:pPr>
        <w:autoSpaceDE w:val="0"/>
        <w:spacing w:line="360" w:lineRule="auto"/>
        <w:ind w:firstLine="562" w:firstLineChars="200"/>
        <w:jc w:val="left"/>
        <w:rPr>
          <w:rFonts w:hint="eastAsia" w:ascii="仿宋" w:hAnsi="仿宋" w:eastAsia="仿宋" w:cstheme="minorEastAsia"/>
          <w:b/>
          <w:bCs/>
          <w:sz w:val="28"/>
          <w:szCs w:val="28"/>
        </w:rPr>
      </w:pPr>
      <w:r>
        <w:rPr>
          <w:rFonts w:hint="eastAsia" w:ascii="仿宋" w:hAnsi="仿宋" w:eastAsia="仿宋" w:cstheme="minorEastAsia"/>
          <w:b/>
          <w:bCs/>
          <w:sz w:val="28"/>
          <w:szCs w:val="28"/>
        </w:rPr>
        <w:t>（一）盈利能力分析</w:t>
      </w:r>
    </w:p>
    <w:p w14:paraId="7E69B166">
      <w:pPr>
        <w:autoSpaceDE w:val="0"/>
        <w:spacing w:line="360" w:lineRule="auto"/>
        <w:ind w:firstLine="561"/>
        <w:jc w:val="left"/>
        <w:rPr>
          <w:rFonts w:hint="default" w:ascii="仿宋" w:hAnsi="仿宋" w:eastAsia="仿宋" w:cs="宋体"/>
          <w:bCs/>
          <w:sz w:val="24"/>
          <w:highlight w:val="none"/>
          <w:lang w:val="en-US" w:eastAsia="zh-CN"/>
        </w:rPr>
      </w:pPr>
      <w:r>
        <w:rPr>
          <w:rFonts w:hint="eastAsia" w:ascii="仿宋" w:hAnsi="仿宋" w:eastAsia="仿宋" w:cs="宋体"/>
          <w:bCs/>
          <w:sz w:val="24"/>
          <w:highlight w:val="none"/>
          <w:lang w:val="en-US" w:eastAsia="zh-CN"/>
        </w:rPr>
        <w:t>该项目运营期内，年平均销售利润率29.38%，具备一定盈利能力；投资利润率47.96%，项目财务内部收益率（税后）7.92%，高于基准收益率4.2%，项目净现值（税后）1402.05万元。</w:t>
      </w:r>
    </w:p>
    <w:p w14:paraId="5BF99D9A">
      <w:pPr>
        <w:autoSpaceDE w:val="0"/>
        <w:spacing w:line="360" w:lineRule="auto"/>
        <w:ind w:firstLine="562" w:firstLineChars="200"/>
        <w:jc w:val="left"/>
        <w:rPr>
          <w:rFonts w:hint="eastAsia" w:ascii="仿宋" w:hAnsi="仿宋" w:eastAsia="仿宋" w:cs="宋体"/>
          <w:bCs/>
          <w:sz w:val="24"/>
          <w:highlight w:val="none"/>
        </w:rPr>
      </w:pPr>
      <w:r>
        <w:rPr>
          <w:rFonts w:hint="eastAsia" w:ascii="仿宋" w:hAnsi="仿宋" w:eastAsia="仿宋" w:cstheme="minorEastAsia"/>
          <w:b/>
          <w:bCs/>
          <w:sz w:val="28"/>
          <w:szCs w:val="28"/>
        </w:rPr>
        <w:t>（二）偿债能力分析</w:t>
      </w:r>
    </w:p>
    <w:p w14:paraId="6DF62247">
      <w:pPr>
        <w:autoSpaceDE w:val="0"/>
        <w:spacing w:line="360" w:lineRule="auto"/>
        <w:ind w:firstLine="561"/>
        <w:jc w:val="left"/>
        <w:rPr>
          <w:rFonts w:ascii="仿宋" w:hAnsi="仿宋" w:eastAsia="仿宋" w:cs="宋体"/>
          <w:color w:val="FF0000"/>
          <w:sz w:val="28"/>
          <w:szCs w:val="28"/>
        </w:rPr>
      </w:pPr>
      <w:r>
        <w:rPr>
          <w:rFonts w:hint="eastAsia" w:ascii="仿宋" w:hAnsi="仿宋" w:eastAsia="仿宋" w:cs="宋体"/>
          <w:bCs/>
          <w:sz w:val="24"/>
          <w:highlight w:val="none"/>
        </w:rPr>
        <w:t>经评估，</w:t>
      </w:r>
      <w:r>
        <w:rPr>
          <w:rFonts w:hint="eastAsia" w:ascii="仿宋" w:hAnsi="仿宋" w:eastAsia="仿宋" w:cs="宋体"/>
          <w:bCs/>
          <w:sz w:val="24"/>
          <w:highlight w:val="none"/>
          <w:lang w:val="en-US" w:eastAsia="zh-CN"/>
        </w:rPr>
        <w:t>项目综合利息备付率5.16，综合偿债备付率1.17，说明企业具有较强的清偿能力。</w:t>
      </w:r>
    </w:p>
    <w:p w14:paraId="516EFA6B">
      <w:pPr>
        <w:spacing w:line="360" w:lineRule="auto"/>
        <w:ind w:firstLine="562" w:firstLineChars="200"/>
        <w:rPr>
          <w:rFonts w:hint="eastAsia" w:ascii="仿宋" w:hAnsi="仿宋" w:eastAsia="仿宋" w:cstheme="minorEastAsia"/>
          <w:b/>
          <w:bCs/>
          <w:sz w:val="28"/>
          <w:szCs w:val="28"/>
        </w:rPr>
      </w:pPr>
      <w:r>
        <w:rPr>
          <w:rFonts w:hint="eastAsia" w:ascii="仿宋" w:hAnsi="仿宋" w:eastAsia="仿宋" w:cstheme="minorEastAsia"/>
          <w:b/>
          <w:bCs/>
          <w:sz w:val="28"/>
          <w:szCs w:val="28"/>
        </w:rPr>
        <w:t>七、本章小结</w:t>
      </w:r>
    </w:p>
    <w:p w14:paraId="4BF27C72">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宋体"/>
          <w:bCs/>
          <w:kern w:val="2"/>
          <w:sz w:val="24"/>
          <w:szCs w:val="24"/>
          <w:highlight w:val="none"/>
          <w:lang w:val="en-US" w:eastAsia="zh-CN" w:bidi="ar-SA"/>
        </w:rPr>
      </w:pPr>
      <w:r>
        <w:rPr>
          <w:rFonts w:hint="eastAsia" w:ascii="仿宋" w:hAnsi="仿宋" w:eastAsia="仿宋" w:cs="宋体"/>
          <w:bCs/>
          <w:color w:val="000000"/>
          <w:kern w:val="2"/>
          <w:sz w:val="24"/>
          <w:szCs w:val="24"/>
          <w:highlight w:val="none"/>
          <w:lang w:val="en-US" w:eastAsia="zh-CN" w:bidi="ar-SA"/>
        </w:rPr>
        <w:t>经评估，项目销售利润率为</w:t>
      </w:r>
      <w:r>
        <w:rPr>
          <w:rFonts w:hint="eastAsia" w:ascii="仿宋" w:hAnsi="仿宋" w:eastAsia="仿宋" w:cs="宋体"/>
          <w:bCs/>
          <w:sz w:val="24"/>
          <w:highlight w:val="none"/>
          <w:lang w:val="en-US" w:eastAsia="zh-CN"/>
        </w:rPr>
        <w:t>29.38%</w:t>
      </w:r>
      <w:r>
        <w:rPr>
          <w:rFonts w:hint="eastAsia" w:ascii="仿宋" w:hAnsi="仿宋" w:eastAsia="仿宋" w:cs="宋体"/>
          <w:bCs/>
          <w:color w:val="000000"/>
          <w:kern w:val="2"/>
          <w:sz w:val="24"/>
          <w:szCs w:val="24"/>
          <w:highlight w:val="none"/>
          <w:lang w:val="en-US" w:eastAsia="zh-CN" w:bidi="ar-SA"/>
        </w:rPr>
        <w:t>；年均投资利润率为</w:t>
      </w:r>
      <w:r>
        <w:rPr>
          <w:rFonts w:hint="eastAsia" w:ascii="仿宋" w:hAnsi="仿宋" w:eastAsia="仿宋" w:cs="宋体"/>
          <w:bCs/>
          <w:sz w:val="24"/>
          <w:highlight w:val="none"/>
          <w:lang w:val="en-US" w:eastAsia="zh-CN"/>
        </w:rPr>
        <w:t>47.96%</w:t>
      </w:r>
      <w:r>
        <w:rPr>
          <w:rFonts w:hint="eastAsia" w:ascii="仿宋" w:hAnsi="仿宋" w:eastAsia="仿宋" w:cs="宋体"/>
          <w:bCs/>
          <w:color w:val="000000"/>
          <w:kern w:val="2"/>
          <w:sz w:val="24"/>
          <w:szCs w:val="24"/>
          <w:highlight w:val="none"/>
          <w:lang w:val="en-US" w:eastAsia="zh-CN" w:bidi="ar-SA"/>
        </w:rPr>
        <w:t>；</w:t>
      </w:r>
      <w:r>
        <w:rPr>
          <w:rFonts w:hint="eastAsia" w:ascii="仿宋" w:hAnsi="仿宋" w:eastAsia="仿宋" w:cs="宋体"/>
          <w:bCs/>
          <w:color w:val="000000" w:themeColor="text1"/>
          <w:kern w:val="2"/>
          <w:sz w:val="24"/>
          <w:szCs w:val="24"/>
          <w:highlight w:val="none"/>
          <w:lang w:val="en-US" w:eastAsia="zh-CN" w:bidi="ar-SA"/>
          <w14:textFill>
            <w14:solidFill>
              <w14:schemeClr w14:val="tx1"/>
            </w14:solidFill>
          </w14:textFill>
        </w:rPr>
        <w:t>全部投资财务内部收益率（税后）为7.92%，财务净现值（税后）为1402.05万元，</w:t>
      </w:r>
      <w:r>
        <w:rPr>
          <w:rFonts w:hint="eastAsia" w:ascii="仿宋" w:hAnsi="仿宋" w:eastAsia="仿宋" w:cs="宋体"/>
          <w:bCs/>
          <w:color w:val="000000" w:themeColor="text1"/>
          <w:sz w:val="24"/>
          <w:highlight w:val="none"/>
          <w:lang w:val="en-US" w:eastAsia="zh-CN"/>
          <w14:textFill>
            <w14:solidFill>
              <w14:schemeClr w14:val="tx1"/>
            </w14:solidFill>
          </w14:textFill>
        </w:rPr>
        <w:t>项目综合利息备付率5.16，综合偿债备付率1.17</w:t>
      </w:r>
      <w:r>
        <w:rPr>
          <w:rFonts w:hint="eastAsia" w:ascii="仿宋" w:hAnsi="仿宋" w:eastAsia="仿宋" w:cs="宋体"/>
          <w:bCs/>
          <w:color w:val="000000" w:themeColor="text1"/>
          <w:kern w:val="2"/>
          <w:sz w:val="24"/>
          <w:szCs w:val="24"/>
          <w:highlight w:val="none"/>
          <w:lang w:val="en-US" w:eastAsia="zh-CN" w:bidi="ar-SA"/>
          <w14:textFill>
            <w14:solidFill>
              <w14:schemeClr w14:val="tx1"/>
            </w14:solidFill>
          </w14:textFill>
        </w:rPr>
        <w:t>，根据可研本项目可</w:t>
      </w:r>
      <w:r>
        <w:rPr>
          <w:rFonts w:hint="eastAsia" w:ascii="仿宋" w:hAnsi="仿宋" w:eastAsia="仿宋" w:cs="宋体"/>
          <w:bCs/>
          <w:kern w:val="2"/>
          <w:sz w:val="24"/>
          <w:szCs w:val="24"/>
          <w:highlight w:val="none"/>
          <w:lang w:val="en-US" w:eastAsia="zh-CN" w:bidi="ar-SA"/>
        </w:rPr>
        <w:t>用14处厂房屋顶及部分闲置空地，经营单位暂未提供相关荷载报告及除可研外的屋顶面积统计相关的佐证材料，若项目建设完工后，实际装机容量小于预测装机容量，将会影响项目整体发电量，导致项目总体收入减少，影响我行还款来源；此外，因屋顶的剩余存续期不明确，若还款期内屋顶所属的建筑物被拆改则我行的还款来源将受不利影响。</w:t>
      </w:r>
    </w:p>
    <w:p w14:paraId="2E7F3FF4">
      <w:pPr>
        <w:pStyle w:val="2"/>
        <w:pageBreakBefore/>
        <w:spacing w:before="0" w:after="0" w:line="360" w:lineRule="auto"/>
        <w:jc w:val="center"/>
        <w:rPr>
          <w:rFonts w:ascii="仿宋" w:hAnsi="仿宋" w:eastAsia="仿宋" w:cstheme="majorEastAsia"/>
          <w:kern w:val="0"/>
          <w:sz w:val="36"/>
          <w:szCs w:val="36"/>
        </w:rPr>
      </w:pPr>
      <w:r>
        <w:rPr>
          <w:rFonts w:hint="eastAsia" w:ascii="仿宋" w:hAnsi="仿宋" w:eastAsia="仿宋" w:cstheme="majorEastAsia"/>
          <w:kern w:val="0"/>
          <w:sz w:val="36"/>
          <w:szCs w:val="36"/>
        </w:rPr>
        <w:t>第七章 不确定性分析与风险评估</w:t>
      </w:r>
    </w:p>
    <w:p w14:paraId="13AD5E2B">
      <w:pPr>
        <w:autoSpaceDE w:val="0"/>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一、盈亏平衡分析</w:t>
      </w:r>
    </w:p>
    <w:p w14:paraId="01AE7357">
      <w:pPr>
        <w:autoSpaceDE w:val="0"/>
        <w:snapToGrid w:val="0"/>
        <w:spacing w:line="360" w:lineRule="auto"/>
        <w:ind w:firstLine="480" w:firstLineChars="200"/>
        <w:jc w:val="left"/>
        <w:rPr>
          <w:rFonts w:hint="eastAsia" w:ascii="仿宋" w:hAnsi="仿宋" w:eastAsia="仿宋" w:cstheme="minorEastAsia"/>
          <w:b/>
          <w:bCs/>
          <w:sz w:val="28"/>
          <w:szCs w:val="28"/>
        </w:rPr>
      </w:pPr>
      <w:r>
        <w:rPr>
          <w:rFonts w:hint="eastAsia" w:ascii="仿宋" w:hAnsi="仿宋" w:eastAsia="仿宋" w:cs="宋体"/>
          <w:bCs/>
          <w:sz w:val="24"/>
          <w:highlight w:val="none"/>
          <w:lang w:val="en-US" w:eastAsia="zh-CN"/>
        </w:rPr>
        <w:t>项目计算期内，</w:t>
      </w:r>
      <w:r>
        <w:rPr>
          <w:rFonts w:hint="eastAsia" w:ascii="仿宋" w:hAnsi="仿宋" w:eastAsia="仿宋" w:cs="宋体"/>
          <w:bCs/>
          <w:sz w:val="24"/>
          <w:highlight w:val="none"/>
        </w:rPr>
        <w:t>盈亏平衡点为</w:t>
      </w:r>
      <w:r>
        <w:rPr>
          <w:rFonts w:hint="eastAsia" w:ascii="仿宋" w:hAnsi="仿宋" w:eastAsia="仿宋" w:cs="宋体"/>
          <w:bCs/>
          <w:sz w:val="24"/>
          <w:highlight w:val="none"/>
          <w:lang w:val="en-US" w:eastAsia="zh-CN"/>
        </w:rPr>
        <w:t>50.93</w:t>
      </w:r>
      <w:r>
        <w:rPr>
          <w:rFonts w:hint="eastAsia" w:ascii="仿宋" w:hAnsi="仿宋" w:eastAsia="仿宋" w:cs="宋体"/>
          <w:bCs/>
          <w:sz w:val="24"/>
          <w:highlight w:val="none"/>
        </w:rPr>
        <w:t>%，</w:t>
      </w:r>
      <w:r>
        <w:rPr>
          <w:rFonts w:hint="eastAsia" w:ascii="仿宋" w:hAnsi="仿宋" w:eastAsia="仿宋" w:cs="宋体"/>
          <w:bCs/>
          <w:sz w:val="24"/>
          <w:highlight w:val="none"/>
          <w:lang w:val="en-US" w:eastAsia="zh-CN"/>
        </w:rPr>
        <w:t>项目具备一定抗风险能力</w:t>
      </w:r>
      <w:r>
        <w:rPr>
          <w:rFonts w:hint="eastAsia" w:ascii="仿宋" w:hAnsi="仿宋" w:eastAsia="仿宋" w:cs="宋体"/>
          <w:bCs/>
          <w:sz w:val="24"/>
          <w:highlight w:val="none"/>
        </w:rPr>
        <w:t>。</w:t>
      </w:r>
    </w:p>
    <w:p w14:paraId="4B78A625">
      <w:pPr>
        <w:autoSpaceDE w:val="0"/>
        <w:spacing w:line="360" w:lineRule="auto"/>
        <w:ind w:firstLine="562" w:firstLineChars="200"/>
        <w:rPr>
          <w:rFonts w:ascii="仿宋" w:hAnsi="仿宋" w:eastAsia="仿宋" w:cstheme="minorEastAsia"/>
          <w:sz w:val="24"/>
        </w:rPr>
      </w:pPr>
      <w:r>
        <w:rPr>
          <w:rFonts w:hint="eastAsia" w:ascii="仿宋" w:hAnsi="仿宋" w:eastAsia="仿宋" w:cstheme="minorEastAsia"/>
          <w:b/>
          <w:bCs/>
          <w:sz w:val="28"/>
          <w:szCs w:val="28"/>
        </w:rPr>
        <w:t>二、敏感性分析</w:t>
      </w:r>
    </w:p>
    <w:p w14:paraId="1530A971">
      <w:pPr>
        <w:keepNext w:val="0"/>
        <w:keepLines w:val="0"/>
        <w:pageBreakBefore w:val="0"/>
        <w:widowControl w:val="0"/>
        <w:kinsoku/>
        <w:wordWrap/>
        <w:overflowPunct/>
        <w:topLinePunct/>
        <w:autoSpaceDE w:val="0"/>
        <w:autoSpaceDN/>
        <w:bidi w:val="0"/>
        <w:adjustRightInd/>
        <w:snapToGrid/>
        <w:spacing w:before="157" w:beforeLines="50" w:after="28" w:line="360" w:lineRule="auto"/>
        <w:ind w:left="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i w:val="0"/>
          <w:strike w:val="0"/>
          <w:color w:val="000000"/>
          <w:spacing w:val="0"/>
          <w:sz w:val="24"/>
          <w:szCs w:val="24"/>
          <w:u w:val="none"/>
        </w:rPr>
        <w:t>本项目主要风险因素包括销售收入、原材料、经营成本、固定资产投资等因素的变化，而投资值的影响。</w:t>
      </w:r>
    </w:p>
    <w:p w14:paraId="2FC15C2F">
      <w:pPr>
        <w:keepNext w:val="0"/>
        <w:keepLines w:val="0"/>
        <w:pageBreakBefore w:val="0"/>
        <w:widowControl w:val="0"/>
        <w:kinsoku/>
        <w:wordWrap/>
        <w:overflowPunct/>
        <w:topLinePunct/>
        <w:autoSpaceDE w:val="0"/>
        <w:autoSpaceDN/>
        <w:bidi w:val="0"/>
        <w:adjustRightInd/>
        <w:snapToGrid/>
        <w:spacing w:before="157" w:beforeLines="50" w:after="28" w:line="360" w:lineRule="auto"/>
        <w:ind w:left="0" w:right="0" w:rightChars="0" w:firstLine="480" w:firstLineChars="200"/>
        <w:jc w:val="both"/>
        <w:textAlignment w:val="baseline"/>
      </w:pPr>
      <w:r>
        <w:rPr>
          <w:rFonts w:hint="eastAsia" w:ascii="仿宋" w:hAnsi="仿宋" w:eastAsia="仿宋" w:cs="仿宋"/>
          <w:i w:val="0"/>
          <w:strike w:val="0"/>
          <w:color w:val="000000"/>
          <w:spacing w:val="0"/>
          <w:sz w:val="24"/>
          <w:szCs w:val="24"/>
          <w:u w:val="none"/>
        </w:rPr>
        <w:t>基本方案的基本指标，满足了财务基准值的要求，考虑项目实施过程中的一些不确定因素的变化，分别对销售价格、销售量(增减幅度分别为5%、10%、15%、-5%、-10%和-15%)、经营成本、固定资产投资进行单因素分析(增减幅度分别为5%、10%、15%、-5%、-10%和-15%)，销售价格与销售量的变化数值从理论上分析应该是一致的，即单因素变化对内部收益率、投资回收期的影响进行敏感性分析。</w:t>
      </w:r>
    </w:p>
    <w:p w14:paraId="5E0926CB">
      <w:pPr>
        <w:keepNext w:val="0"/>
        <w:keepLines w:val="0"/>
        <w:pageBreakBefore w:val="0"/>
        <w:widowControl w:val="0"/>
        <w:pBdr>
          <w:bottom w:val="none" w:color="auto" w:sz="0" w:space="0"/>
        </w:pBdr>
        <w:kinsoku/>
        <w:wordWrap/>
        <w:overflowPunct/>
        <w:topLinePunct/>
        <w:autoSpaceDE w:val="0"/>
        <w:autoSpaceDN/>
        <w:bidi w:val="0"/>
        <w:adjustRightInd/>
        <w:snapToGrid/>
        <w:spacing w:before="157" w:beforeLines="50" w:after="28" w:line="360" w:lineRule="auto"/>
        <w:ind w:right="0" w:rightChars="0"/>
        <w:jc w:val="center"/>
        <w:textAlignment w:val="baseline"/>
        <w:rPr>
          <w:rFonts w:hint="eastAsia" w:ascii="仿宋" w:hAnsi="仿宋" w:eastAsia="仿宋" w:cs="仿宋"/>
          <w:b w:val="0"/>
          <w:bCs/>
          <w:i w:val="0"/>
          <w:strike w:val="0"/>
          <w:color w:val="000000"/>
          <w:spacing w:val="0"/>
          <w:sz w:val="28"/>
          <w:u w:val="none"/>
        </w:rPr>
      </w:pPr>
      <w:r>
        <w:rPr>
          <w:rFonts w:hint="eastAsia" w:ascii="仿宋" w:hAnsi="仿宋" w:eastAsia="仿宋" w:cs="仿宋"/>
          <w:b w:val="0"/>
          <w:bCs/>
          <w:i w:val="0"/>
          <w:strike w:val="0"/>
          <w:color w:val="000000"/>
          <w:spacing w:val="0"/>
          <w:sz w:val="28"/>
          <w:u w:val="none"/>
        </w:rPr>
        <w:t>财务敏感性分析表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1095"/>
        <w:gridCol w:w="990"/>
        <w:gridCol w:w="975"/>
        <w:gridCol w:w="990"/>
        <w:gridCol w:w="975"/>
        <w:gridCol w:w="990"/>
        <w:gridCol w:w="1110"/>
      </w:tblGrid>
      <w:tr w14:paraId="688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084790">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变动幅度</w:t>
            </w:r>
          </w:p>
        </w:tc>
        <w:tc>
          <w:tcPr>
            <w:tcW w:w="109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563F6D">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-15%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D32AD15">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-10%</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87F9C5B">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960D9F1">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0%</w:t>
            </w:r>
          </w:p>
        </w:tc>
        <w:tc>
          <w:tcPr>
            <w:tcW w:w="97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3B4FE03">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5%</w:t>
            </w:r>
          </w:p>
        </w:tc>
        <w:tc>
          <w:tcPr>
            <w:tcW w:w="99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7309056">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10%</w:t>
            </w:r>
          </w:p>
        </w:tc>
        <w:tc>
          <w:tcPr>
            <w:tcW w:w="111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0CFE8F4">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15%</w:t>
            </w:r>
          </w:p>
        </w:tc>
      </w:tr>
      <w:tr w14:paraId="3170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37E1863">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销售收入</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6780993">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5.47</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FF54435">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6.29</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D4EAAB7">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7.10</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48FAB09">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7.92</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75F2FBE">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8.73</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64ACCD2">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9.55</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F7E02B7">
            <w:pPr>
              <w:widowControl w:val="0"/>
              <w:snapToGrid/>
              <w:spacing w:before="0" w:after="0" w:line="240" w:lineRule="auto"/>
              <w:jc w:val="center"/>
              <w:rPr>
                <w:rFonts w:hint="default" w:ascii="仿宋" w:hAnsi="仿宋" w:eastAsia="仿宋" w:cs="仿宋"/>
                <w:color w:val="FF0000"/>
                <w:lang w:val="en-US" w:eastAsia="zh-CN"/>
              </w:rPr>
            </w:pPr>
            <w:r>
              <w:rPr>
                <w:rFonts w:hint="eastAsia" w:ascii="仿宋" w:hAnsi="仿宋" w:eastAsia="仿宋" w:cs="仿宋"/>
                <w:i w:val="0"/>
                <w:strike w:val="0"/>
                <w:color w:val="auto"/>
                <w:spacing w:val="0"/>
                <w:sz w:val="21"/>
                <w:szCs w:val="21"/>
                <w:u w:val="none"/>
              </w:rPr>
              <w:t>10.36</w:t>
            </w:r>
          </w:p>
        </w:tc>
      </w:tr>
      <w:tr w14:paraId="0FAC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F9198F4">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经营成本</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42383DA">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8.25</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4EFA310">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8.14</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42EFC03">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8.03</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8FF909B">
            <w:pPr>
              <w:widowControl w:val="0"/>
              <w:pBdr>
                <w:bottom w:val="none" w:color="auto" w:sz="0" w:space="0"/>
              </w:pBdr>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7.92</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886C8B7">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7.81</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A4812DF">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7.70</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00D4621">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7.59</w:t>
            </w:r>
          </w:p>
        </w:tc>
      </w:tr>
      <w:tr w14:paraId="3905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25"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366EB20">
            <w:pPr>
              <w:widowControl w:val="0"/>
              <w:snapToGrid/>
              <w:spacing w:before="0" w:after="0" w:line="240" w:lineRule="auto"/>
              <w:jc w:val="center"/>
              <w:rPr>
                <w:rFonts w:ascii="仿宋" w:hAnsi="仿宋" w:eastAsia="仿宋" w:cs="仿宋"/>
                <w:color w:val="auto"/>
              </w:rPr>
            </w:pPr>
            <w:r>
              <w:rPr>
                <w:rFonts w:ascii="仿宋" w:hAnsi="仿宋" w:eastAsia="仿宋" w:cs="仿宋"/>
                <w:i w:val="0"/>
                <w:strike w:val="0"/>
                <w:color w:val="auto"/>
                <w:spacing w:val="0"/>
                <w:sz w:val="21"/>
                <w:u w:val="none"/>
              </w:rPr>
              <w:t>建安投资</w:t>
            </w:r>
          </w:p>
        </w:tc>
        <w:tc>
          <w:tcPr>
            <w:tcW w:w="109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125A039">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10.27</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0B4EBCB">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9.40</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FE3FFA">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8.62</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437C71C">
            <w:pPr>
              <w:widowControl w:val="0"/>
              <w:pBdr>
                <w:bottom w:val="none" w:color="auto" w:sz="0" w:space="0"/>
              </w:pBdr>
              <w:snapToGrid/>
              <w:spacing w:before="0" w:after="0" w:line="240" w:lineRule="auto"/>
              <w:jc w:val="center"/>
              <w:rPr>
                <w:rFonts w:hint="default" w:ascii="仿宋" w:hAnsi="仿宋" w:eastAsia="仿宋" w:cs="仿宋"/>
                <w:i w:val="0"/>
                <w:strike w:val="0"/>
                <w:color w:val="auto"/>
                <w:spacing w:val="0"/>
                <w:sz w:val="21"/>
                <w:u w:val="none"/>
                <w:lang w:val="en-US" w:eastAsia="zh-CN"/>
              </w:rPr>
            </w:pPr>
            <w:r>
              <w:rPr>
                <w:rFonts w:hint="eastAsia" w:ascii="仿宋" w:hAnsi="仿宋" w:eastAsia="仿宋" w:cs="仿宋"/>
                <w:i w:val="0"/>
                <w:strike w:val="0"/>
                <w:color w:val="auto"/>
                <w:spacing w:val="0"/>
                <w:sz w:val="21"/>
                <w:szCs w:val="21"/>
                <w:u w:val="none"/>
              </w:rPr>
              <w:t>7.92</w:t>
            </w:r>
          </w:p>
        </w:tc>
        <w:tc>
          <w:tcPr>
            <w:tcW w:w="975"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91D84DC">
            <w:pPr>
              <w:widowControl w:val="0"/>
              <w:snapToGrid/>
              <w:spacing w:before="0" w:after="0" w:line="240" w:lineRule="auto"/>
              <w:jc w:val="center"/>
              <w:rPr>
                <w:rFonts w:hint="default" w:ascii="仿宋" w:hAnsi="仿宋" w:eastAsia="仿宋" w:cs="仿宋"/>
                <w:i w:val="0"/>
                <w:strike w:val="0"/>
                <w:color w:val="auto"/>
                <w:spacing w:val="0"/>
                <w:sz w:val="21"/>
                <w:u w:val="none"/>
                <w:lang w:val="en-US" w:eastAsia="zh-CN"/>
              </w:rPr>
            </w:pPr>
            <w:r>
              <w:rPr>
                <w:rFonts w:hint="eastAsia" w:ascii="仿宋" w:hAnsi="仿宋" w:eastAsia="仿宋" w:cs="仿宋"/>
                <w:i w:val="0"/>
                <w:strike w:val="0"/>
                <w:color w:val="auto"/>
                <w:spacing w:val="0"/>
                <w:sz w:val="21"/>
                <w:szCs w:val="21"/>
                <w:u w:val="none"/>
              </w:rPr>
              <w:t>7.29</w:t>
            </w:r>
          </w:p>
        </w:tc>
        <w:tc>
          <w:tcPr>
            <w:tcW w:w="99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5AE35BB">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6.71</w:t>
            </w:r>
          </w:p>
        </w:tc>
        <w:tc>
          <w:tcPr>
            <w:tcW w:w="1110" w:type="dxa"/>
            <w:tcBorders>
              <w:top w:val="single" w:color="CBCDD1"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F87328E">
            <w:pPr>
              <w:widowControl w:val="0"/>
              <w:snapToGrid/>
              <w:spacing w:before="0" w:after="0" w:line="240" w:lineRule="auto"/>
              <w:jc w:val="center"/>
              <w:rPr>
                <w:rFonts w:hint="default" w:ascii="仿宋" w:hAnsi="仿宋" w:eastAsia="仿宋" w:cs="仿宋"/>
                <w:color w:val="auto"/>
                <w:lang w:val="en-US" w:eastAsia="zh-CN"/>
              </w:rPr>
            </w:pPr>
            <w:r>
              <w:rPr>
                <w:rFonts w:hint="eastAsia" w:ascii="仿宋" w:hAnsi="仿宋" w:eastAsia="仿宋" w:cs="仿宋"/>
                <w:i w:val="0"/>
                <w:strike w:val="0"/>
                <w:color w:val="auto"/>
                <w:spacing w:val="0"/>
                <w:sz w:val="21"/>
                <w:szCs w:val="21"/>
                <w:u w:val="none"/>
              </w:rPr>
              <w:t>6.18</w:t>
            </w:r>
          </w:p>
        </w:tc>
      </w:tr>
    </w:tbl>
    <w:p w14:paraId="3DD2D4BC">
      <w:pPr>
        <w:spacing w:line="360" w:lineRule="auto"/>
        <w:ind w:firstLine="562" w:firstLineChars="200"/>
        <w:rPr>
          <w:rFonts w:ascii="仿宋" w:hAnsi="仿宋" w:eastAsia="仿宋" w:cstheme="minorEastAsia"/>
          <w:b/>
          <w:bCs/>
          <w:sz w:val="28"/>
          <w:szCs w:val="28"/>
        </w:rPr>
      </w:pPr>
      <w:r>
        <w:rPr>
          <w:rFonts w:hint="eastAsia" w:ascii="仿宋" w:hAnsi="仿宋" w:eastAsia="仿宋" w:cstheme="minorEastAsia"/>
          <w:b/>
          <w:bCs/>
          <w:sz w:val="28"/>
          <w:szCs w:val="28"/>
          <w:lang w:val="en-US" w:eastAsia="zh-CN"/>
        </w:rPr>
        <w:t>三</w:t>
      </w:r>
      <w:r>
        <w:rPr>
          <w:rFonts w:hint="eastAsia" w:ascii="仿宋" w:hAnsi="仿宋" w:eastAsia="仿宋" w:cstheme="minorEastAsia"/>
          <w:b/>
          <w:bCs/>
          <w:sz w:val="28"/>
          <w:szCs w:val="28"/>
        </w:rPr>
        <w:t>、本章小结</w:t>
      </w:r>
    </w:p>
    <w:p w14:paraId="5E5A36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宋体"/>
          <w:b w:val="0"/>
          <w:bCs w:val="0"/>
          <w:sz w:val="24"/>
          <w:szCs w:val="24"/>
          <w:highlight w:val="none"/>
          <w:lang w:val="en-US" w:eastAsia="zh-CN"/>
        </w:rPr>
      </w:pPr>
      <w:r>
        <w:rPr>
          <w:rFonts w:hint="eastAsia" w:ascii="仿宋" w:hAnsi="仿宋" w:eastAsia="仿宋" w:cs="仿宋"/>
          <w:kern w:val="2"/>
          <w:sz w:val="24"/>
          <w:szCs w:val="24"/>
          <w:highlight w:val="none"/>
          <w:u w:val="none"/>
          <w:lang w:val="en-US" w:eastAsia="zh-CN" w:bidi="ar-SA"/>
        </w:rPr>
        <w:t>该项目计算期内，盈亏平衡点</w:t>
      </w:r>
      <w:r>
        <w:rPr>
          <w:rFonts w:hint="eastAsia" w:ascii="仿宋" w:hAnsi="仿宋" w:eastAsia="仿宋" w:cs="宋体"/>
          <w:bCs/>
          <w:sz w:val="24"/>
          <w:highlight w:val="none"/>
          <w:lang w:val="en-US" w:eastAsia="zh-CN"/>
        </w:rPr>
        <w:t>50.93</w:t>
      </w:r>
      <w:r>
        <w:rPr>
          <w:rFonts w:hint="eastAsia" w:ascii="仿宋" w:hAnsi="仿宋" w:eastAsia="仿宋" w:cs="宋体"/>
          <w:bCs/>
          <w:sz w:val="24"/>
          <w:highlight w:val="none"/>
          <w:lang w:eastAsia="zh-CN"/>
        </w:rPr>
        <w:t>，</w:t>
      </w:r>
      <w:r>
        <w:rPr>
          <w:rFonts w:hint="eastAsia" w:ascii="仿宋" w:hAnsi="仿宋" w:eastAsia="仿宋" w:cs="宋体"/>
          <w:bCs/>
          <w:sz w:val="24"/>
          <w:highlight w:val="none"/>
          <w:lang w:val="en-US" w:eastAsia="zh-CN"/>
        </w:rPr>
        <w:t>具备一定抗风险能力。项目内部收益率（税后）、贷款偿还期，</w:t>
      </w:r>
      <w:r>
        <w:rPr>
          <w:rFonts w:hint="eastAsia" w:ascii="仿宋" w:hAnsi="仿宋" w:eastAsia="仿宋" w:cs="仿宋"/>
          <w:kern w:val="2"/>
          <w:sz w:val="24"/>
          <w:szCs w:val="24"/>
          <w:highlight w:val="none"/>
          <w:u w:val="none"/>
          <w:lang w:val="en-US" w:eastAsia="zh-CN" w:bidi="ar-SA"/>
        </w:rPr>
        <w:t>受总投资、收入变化影响较大。</w:t>
      </w:r>
    </w:p>
    <w:p w14:paraId="78C4849B">
      <w:pPr>
        <w:rPr>
          <w:rFonts w:ascii="仿宋" w:hAnsi="仿宋" w:eastAsia="仿宋" w:cstheme="minorEastAsia"/>
          <w:b/>
          <w:bCs/>
          <w:sz w:val="28"/>
          <w:szCs w:val="28"/>
        </w:rPr>
      </w:pPr>
    </w:p>
    <w:p w14:paraId="6010D355">
      <w:pPr>
        <w:pageBreakBefore/>
        <w:jc w:val="center"/>
        <w:rPr>
          <w:rFonts w:ascii="仿宋" w:hAnsi="仿宋" w:eastAsia="仿宋" w:cstheme="majorEastAsia"/>
          <w:b/>
          <w:kern w:val="0"/>
          <w:sz w:val="36"/>
          <w:szCs w:val="36"/>
        </w:rPr>
      </w:pPr>
      <w:r>
        <w:rPr>
          <w:rFonts w:hint="eastAsia" w:ascii="仿宋" w:hAnsi="仿宋" w:eastAsia="仿宋" w:cstheme="majorEastAsia"/>
          <w:b/>
          <w:kern w:val="0"/>
          <w:sz w:val="36"/>
          <w:szCs w:val="36"/>
        </w:rPr>
        <w:t>评估人员信息</w:t>
      </w:r>
    </w:p>
    <w:p w14:paraId="05C156FE">
      <w:pPr>
        <w:rPr>
          <w:rFonts w:ascii="仿宋" w:hAnsi="仿宋" w:eastAsia="仿宋" w:cstheme="minorEastAsia"/>
          <w:b/>
          <w:bCs/>
          <w:sz w:val="28"/>
          <w:szCs w:val="28"/>
        </w:rPr>
      </w:pPr>
    </w:p>
    <w:p w14:paraId="581115CD">
      <w:pPr>
        <w:spacing w:line="360" w:lineRule="auto"/>
        <w:rPr>
          <w:rFonts w:ascii="仿宋" w:hAnsi="仿宋" w:eastAsia="仿宋"/>
          <w:sz w:val="28"/>
          <w:szCs w:val="28"/>
        </w:rPr>
      </w:pPr>
      <w:r>
        <w:rPr>
          <w:rFonts w:hint="eastAsia" w:ascii="仿宋" w:hAnsi="仿宋" w:eastAsia="仿宋"/>
          <w:sz w:val="28"/>
          <w:szCs w:val="28"/>
        </w:rPr>
        <w:t>评估组长</w:t>
      </w:r>
    </w:p>
    <w:p w14:paraId="58AE2D97">
      <w:pPr>
        <w:spacing w:line="360" w:lineRule="auto"/>
        <w:rPr>
          <w:rFonts w:ascii="仿宋" w:hAnsi="仿宋" w:eastAsia="仿宋"/>
          <w:u w:val="single"/>
        </w:rPr>
      </w:pPr>
      <w:r>
        <w:rPr>
          <w:rFonts w:hint="eastAsia" w:ascii="仿宋" w:hAnsi="仿宋" w:eastAsia="仿宋"/>
          <w:u w:val="single"/>
        </w:rPr>
        <w:t xml:space="preserve">姓名：           所在单位：   </w:t>
      </w:r>
      <w:r>
        <w:rPr>
          <w:rFonts w:hint="eastAsia" w:ascii="仿宋" w:hAnsi="仿宋" w:eastAsia="仿宋"/>
          <w:u w:val="single"/>
          <w:lang w:val="en-US" w:eastAsia="zh-CN"/>
        </w:rPr>
        <w:t>总行授信管理部</w:t>
      </w:r>
      <w:r>
        <w:rPr>
          <w:rFonts w:hint="eastAsia" w:ascii="仿宋" w:hAnsi="仿宋" w:eastAsia="仿宋"/>
          <w:u w:val="single"/>
        </w:rPr>
        <w:t xml:space="preserve">    </w:t>
      </w:r>
      <w:r>
        <w:rPr>
          <w:rFonts w:ascii="Calibri" w:hAnsi="Calibri" w:eastAsia="仿宋" w:cs="Calibri"/>
          <w:u w:val="single"/>
        </w:rPr>
        <w:t>    </w:t>
      </w:r>
      <w:r>
        <w:rPr>
          <w:rFonts w:hint="eastAsia" w:ascii="仿宋" w:hAnsi="仿宋" w:eastAsia="仿宋"/>
          <w:u w:val="single"/>
        </w:rPr>
        <w:t xml:space="preserve"> </w:t>
      </w:r>
    </w:p>
    <w:p w14:paraId="2A0D1DF4">
      <w:pPr>
        <w:spacing w:line="360" w:lineRule="auto"/>
        <w:rPr>
          <w:rFonts w:ascii="仿宋" w:hAnsi="仿宋" w:eastAsia="仿宋"/>
          <w:u w:val="single"/>
        </w:rPr>
      </w:pPr>
    </w:p>
    <w:p w14:paraId="40097A5E">
      <w:pPr>
        <w:spacing w:line="360" w:lineRule="auto"/>
        <w:rPr>
          <w:rFonts w:ascii="仿宋" w:hAnsi="仿宋" w:eastAsia="仿宋"/>
          <w:sz w:val="28"/>
          <w:szCs w:val="28"/>
        </w:rPr>
      </w:pPr>
      <w:r>
        <w:rPr>
          <w:rFonts w:hint="eastAsia" w:ascii="仿宋" w:hAnsi="仿宋" w:eastAsia="仿宋"/>
          <w:sz w:val="28"/>
          <w:szCs w:val="28"/>
        </w:rPr>
        <w:t>评估小组成员</w:t>
      </w:r>
    </w:p>
    <w:p w14:paraId="1513E383">
      <w:pPr>
        <w:spacing w:line="360" w:lineRule="auto"/>
        <w:rPr>
          <w:rFonts w:ascii="仿宋" w:hAnsi="仿宋" w:eastAsia="仿宋"/>
          <w:u w:val="single"/>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14:paraId="604630B5">
      <w:pPr>
        <w:spacing w:line="360" w:lineRule="auto"/>
        <w:rPr>
          <w:rFonts w:ascii="仿宋" w:hAnsi="仿宋" w:eastAsia="仿宋"/>
          <w:u w:val="single"/>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14:paraId="3C5B9D5F">
      <w:pPr>
        <w:spacing w:line="360" w:lineRule="auto"/>
        <w:rPr>
          <w:rFonts w:ascii="仿宋" w:hAnsi="仿宋" w:eastAsia="仿宋"/>
          <w:u w:val="single"/>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14:paraId="781AA8F4">
      <w:pPr>
        <w:spacing w:line="360" w:lineRule="auto"/>
        <w:rPr>
          <w:rFonts w:ascii="仿宋" w:hAnsi="仿宋" w:eastAsia="仿宋"/>
          <w:sz w:val="28"/>
          <w:szCs w:val="28"/>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14:paraId="16B63F94">
      <w:pPr>
        <w:spacing w:line="360" w:lineRule="auto"/>
        <w:rPr>
          <w:rFonts w:hint="eastAsia" w:ascii="仿宋" w:hAnsi="仿宋" w:eastAsia="仿宋"/>
          <w:sz w:val="28"/>
          <w:szCs w:val="28"/>
        </w:rPr>
      </w:pPr>
      <w:r>
        <w:rPr>
          <w:rFonts w:hint="eastAsia" w:ascii="仿宋" w:hAnsi="仿宋" w:eastAsia="仿宋"/>
          <w:u w:val="single"/>
        </w:rPr>
        <w:t xml:space="preserve">姓名：           所在单位：    </w:t>
      </w:r>
      <w:r>
        <w:rPr>
          <w:rFonts w:hint="eastAsia" w:ascii="仿宋" w:hAnsi="仿宋" w:eastAsia="仿宋"/>
          <w:u w:val="single"/>
          <w:lang w:val="en-US" w:eastAsia="zh-CN"/>
        </w:rPr>
        <w:t>总行授信管理部</w:t>
      </w:r>
      <w:r>
        <w:rPr>
          <w:rFonts w:hint="eastAsia" w:ascii="仿宋" w:hAnsi="仿宋" w:eastAsia="仿宋"/>
          <w:u w:val="single"/>
        </w:rPr>
        <w:t xml:space="preserve">     </w:t>
      </w:r>
    </w:p>
    <w:p w14:paraId="008929A6">
      <w:pPr>
        <w:spacing w:line="360" w:lineRule="auto"/>
        <w:rPr>
          <w:rFonts w:ascii="仿宋" w:hAnsi="仿宋" w:eastAsia="仿宋"/>
          <w:sz w:val="28"/>
          <w:szCs w:val="28"/>
        </w:rPr>
      </w:pPr>
      <w:r>
        <w:rPr>
          <w:rFonts w:hint="eastAsia" w:ascii="仿宋" w:hAnsi="仿宋" w:eastAsia="仿宋"/>
          <w:sz w:val="28"/>
          <w:szCs w:val="28"/>
        </w:rPr>
        <w:t>评估咨询专家（如有）</w:t>
      </w:r>
    </w:p>
    <w:p w14:paraId="0BAB6C34">
      <w:pPr>
        <w:spacing w:line="360" w:lineRule="auto"/>
        <w:rPr>
          <w:rFonts w:ascii="仿宋" w:hAnsi="仿宋" w:eastAsia="仿宋"/>
          <w:u w:val="single"/>
        </w:rPr>
      </w:pPr>
      <w:r>
        <w:rPr>
          <w:rFonts w:hint="eastAsia" w:ascii="仿宋" w:hAnsi="仿宋" w:eastAsia="仿宋"/>
          <w:u w:val="single"/>
        </w:rPr>
        <w:t xml:space="preserve">姓名：           所在单位：                    </w:t>
      </w:r>
      <w:r>
        <w:rPr>
          <w:rFonts w:ascii="Calibri" w:hAnsi="Calibri" w:eastAsia="仿宋" w:cs="Calibri"/>
          <w:u w:val="single"/>
        </w:rPr>
        <w:t>    </w:t>
      </w:r>
      <w:r>
        <w:rPr>
          <w:rFonts w:hint="eastAsia" w:ascii="仿宋" w:hAnsi="仿宋" w:eastAsia="仿宋"/>
          <w:u w:val="single"/>
        </w:rPr>
        <w:t xml:space="preserve"> </w:t>
      </w:r>
    </w:p>
    <w:p w14:paraId="39A5AE18">
      <w:pPr>
        <w:spacing w:line="360" w:lineRule="auto"/>
        <w:rPr>
          <w:rFonts w:ascii="仿宋" w:hAnsi="仿宋" w:eastAsia="仿宋"/>
          <w:sz w:val="28"/>
          <w:szCs w:val="28"/>
        </w:rPr>
      </w:pPr>
    </w:p>
    <w:p w14:paraId="38C8371E">
      <w:pPr>
        <w:spacing w:line="360" w:lineRule="auto"/>
        <w:rPr>
          <w:rFonts w:ascii="仿宋" w:hAnsi="仿宋" w:eastAsia="仿宋"/>
          <w:sz w:val="28"/>
          <w:szCs w:val="28"/>
        </w:rPr>
      </w:pPr>
      <w:r>
        <w:rPr>
          <w:rFonts w:hint="eastAsia" w:ascii="仿宋" w:hAnsi="仿宋" w:eastAsia="仿宋"/>
          <w:sz w:val="28"/>
          <w:szCs w:val="28"/>
        </w:rPr>
        <w:t>评估</w:t>
      </w:r>
      <w:r>
        <w:rPr>
          <w:rStyle w:val="25"/>
          <w:rFonts w:hint="eastAsia" w:ascii="仿宋" w:hAnsi="仿宋" w:eastAsia="仿宋"/>
          <w:b w:val="0"/>
          <w:bCs w:val="0"/>
          <w:sz w:val="28"/>
          <w:szCs w:val="28"/>
        </w:rPr>
        <w:t>报告初</w:t>
      </w:r>
      <w:r>
        <w:rPr>
          <w:rFonts w:hint="eastAsia" w:ascii="仿宋" w:hAnsi="仿宋" w:eastAsia="仿宋"/>
          <w:sz w:val="28"/>
          <w:szCs w:val="28"/>
        </w:rPr>
        <w:t>审人（如有）</w:t>
      </w:r>
    </w:p>
    <w:p w14:paraId="20679F4C">
      <w:pPr>
        <w:spacing w:line="360" w:lineRule="auto"/>
        <w:rPr>
          <w:rFonts w:ascii="仿宋" w:hAnsi="仿宋" w:eastAsia="仿宋"/>
          <w:u w:val="single"/>
        </w:rPr>
      </w:pPr>
      <w:r>
        <w:rPr>
          <w:rFonts w:hint="eastAsia" w:ascii="仿宋" w:hAnsi="仿宋" w:eastAsia="仿宋"/>
          <w:u w:val="single"/>
        </w:rPr>
        <w:t xml:space="preserve">姓名：           所在单位：                  </w:t>
      </w:r>
    </w:p>
    <w:p w14:paraId="0A526917">
      <w:pPr>
        <w:spacing w:line="360" w:lineRule="auto"/>
        <w:rPr>
          <w:rFonts w:ascii="仿宋" w:hAnsi="仿宋" w:eastAsia="仿宋"/>
          <w:sz w:val="24"/>
          <w:u w:val="single"/>
        </w:rPr>
      </w:pPr>
    </w:p>
    <w:p w14:paraId="56FCDC3F">
      <w:pPr>
        <w:spacing w:line="360" w:lineRule="auto"/>
        <w:rPr>
          <w:rFonts w:ascii="仿宋" w:hAnsi="仿宋" w:eastAsia="仿宋"/>
          <w:sz w:val="28"/>
          <w:szCs w:val="28"/>
        </w:rPr>
      </w:pPr>
      <w:r>
        <w:rPr>
          <w:rFonts w:ascii="Calibri" w:hAnsi="Calibri" w:eastAsia="仿宋" w:cs="Calibri"/>
        </w:rPr>
        <w:t> </w:t>
      </w:r>
      <w:r>
        <w:rPr>
          <w:rFonts w:hint="eastAsia" w:ascii="仿宋" w:hAnsi="仿宋" w:eastAsia="仿宋"/>
          <w:sz w:val="28"/>
          <w:szCs w:val="28"/>
        </w:rPr>
        <w:t>评估</w:t>
      </w:r>
      <w:r>
        <w:rPr>
          <w:rStyle w:val="25"/>
          <w:rFonts w:hint="eastAsia" w:ascii="仿宋" w:hAnsi="仿宋" w:eastAsia="仿宋"/>
          <w:b w:val="0"/>
          <w:bCs w:val="0"/>
          <w:sz w:val="28"/>
          <w:szCs w:val="28"/>
        </w:rPr>
        <w:t>报告</w:t>
      </w:r>
      <w:r>
        <w:rPr>
          <w:rFonts w:hint="eastAsia" w:ascii="仿宋" w:hAnsi="仿宋" w:eastAsia="仿宋"/>
          <w:sz w:val="28"/>
          <w:szCs w:val="28"/>
        </w:rPr>
        <w:t>审核人</w:t>
      </w:r>
    </w:p>
    <w:p w14:paraId="302B26B8">
      <w:pPr>
        <w:spacing w:line="360" w:lineRule="auto"/>
        <w:rPr>
          <w:rFonts w:ascii="仿宋" w:hAnsi="仿宋" w:eastAsia="仿宋"/>
          <w:sz w:val="24"/>
          <w:u w:val="single"/>
        </w:rPr>
      </w:pPr>
      <w:r>
        <w:rPr>
          <w:rFonts w:hint="eastAsia" w:ascii="仿宋" w:hAnsi="仿宋" w:eastAsia="仿宋"/>
          <w:u w:val="single"/>
        </w:rPr>
        <w:t xml:space="preserve">姓名：           所在单位：    </w:t>
      </w:r>
      <w:r>
        <w:rPr>
          <w:rFonts w:hint="eastAsia" w:ascii="仿宋" w:hAnsi="仿宋" w:eastAsia="仿宋"/>
          <w:u w:val="single"/>
          <w:lang w:val="en-US" w:eastAsia="zh-CN"/>
        </w:rPr>
        <w:t>总行授信管理部</w:t>
      </w:r>
      <w:r>
        <w:rPr>
          <w:rFonts w:hint="eastAsia" w:ascii="仿宋" w:hAnsi="仿宋" w:eastAsia="仿宋"/>
          <w:u w:val="single"/>
        </w:rPr>
        <w:t xml:space="preserve">   </w:t>
      </w:r>
      <w:r>
        <w:rPr>
          <w:rFonts w:ascii="Calibri" w:hAnsi="Calibri" w:eastAsia="仿宋" w:cs="Calibri"/>
          <w:u w:val="single"/>
        </w:rPr>
        <w:t>   </w:t>
      </w:r>
      <w:r>
        <w:rPr>
          <w:rFonts w:hint="eastAsia" w:ascii="仿宋" w:hAnsi="仿宋" w:eastAsia="仿宋"/>
          <w:u w:val="single"/>
        </w:rPr>
        <w:t xml:space="preserve"> </w:t>
      </w:r>
    </w:p>
    <w:p w14:paraId="4BFA59E5">
      <w:pPr>
        <w:rPr>
          <w:rFonts w:ascii="仿宋" w:hAnsi="仿宋" w:eastAsia="仿宋"/>
        </w:rPr>
      </w:pPr>
    </w:p>
    <w:p w14:paraId="3DA95F96">
      <w:pPr>
        <w:rPr>
          <w:rFonts w:ascii="仿宋" w:hAnsi="仿宋" w:eastAsia="仿宋"/>
          <w:sz w:val="32"/>
        </w:rPr>
      </w:pPr>
    </w:p>
    <w:p w14:paraId="253CB949">
      <w:r>
        <w:rPr>
          <w:rFonts w:ascii="仿宋" w:hAnsi="仿宋" w:eastAsia="仿宋" w:cstheme="minorEastAsia"/>
          <w:sz w:val="24"/>
        </w:rPr>
        <w:br w:type="page"/>
      </w:r>
    </w:p>
    <w:p w14:paraId="009F45E0">
      <w:pPr>
        <w:sectPr>
          <w:footerReference r:id="rId5" w:type="default"/>
          <w:pgSz w:w="11906" w:h="16838"/>
          <w:pgMar w:top="1440" w:right="1800" w:bottom="1440" w:left="1800" w:header="851" w:footer="992" w:gutter="0"/>
          <w:pgNumType w:start="1"/>
          <w:cols w:space="425" w:num="1"/>
          <w:docGrid w:type="lines" w:linePitch="312" w:charSpace="0"/>
        </w:sectPr>
      </w:pPr>
    </w:p>
    <w:p w14:paraId="4AB2A4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i w:val="0"/>
          <w:iCs w:val="0"/>
          <w:color w:val="auto"/>
          <w:kern w:val="0"/>
          <w:sz w:val="28"/>
          <w:szCs w:val="28"/>
          <w:u w:val="none"/>
          <w:lang w:val="en-US" w:eastAsia="zh-CN"/>
        </w:rPr>
      </w:pPr>
      <w:bookmarkStart w:id="1" w:name="_Toc1013"/>
      <w:bookmarkStart w:id="2" w:name="_Toc4429"/>
      <w:bookmarkStart w:id="3" w:name="_Toc10969"/>
      <w:r>
        <w:rPr>
          <w:rFonts w:hint="eastAsia" w:ascii="仿宋" w:hAnsi="仿宋" w:eastAsia="仿宋" w:cs="仿宋"/>
          <w:b/>
          <w:bCs/>
          <w:i w:val="0"/>
          <w:iCs w:val="0"/>
          <w:color w:val="auto"/>
          <w:kern w:val="0"/>
          <w:sz w:val="28"/>
          <w:szCs w:val="28"/>
          <w:u w:val="none"/>
          <w:lang w:val="en-US" w:eastAsia="zh-CN"/>
        </w:rPr>
        <w:t>附表1：建设投资估算表</w:t>
      </w:r>
      <w:bookmarkEnd w:id="1"/>
      <w:bookmarkEnd w:id="2"/>
      <w:bookmarkEnd w:id="3"/>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2982"/>
        <w:gridCol w:w="1412"/>
        <w:gridCol w:w="1412"/>
        <w:gridCol w:w="1412"/>
        <w:gridCol w:w="1176"/>
        <w:gridCol w:w="1060"/>
        <w:gridCol w:w="709"/>
        <w:gridCol w:w="1174"/>
        <w:gridCol w:w="2129"/>
      </w:tblGrid>
      <w:tr w14:paraId="22A1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blHeader/>
        </w:trPr>
        <w:tc>
          <w:tcPr>
            <w:tcW w:w="5000" w:type="pct"/>
            <w:gridSpan w:val="10"/>
            <w:tcBorders>
              <w:top w:val="nil"/>
              <w:left w:val="nil"/>
              <w:bottom w:val="nil"/>
              <w:right w:val="nil"/>
            </w:tcBorders>
            <w:shd w:val="clear" w:color="auto" w:fill="auto"/>
            <w:vAlign w:val="center"/>
          </w:tcPr>
          <w:p w14:paraId="43A2827E">
            <w:pPr>
              <w:keepNext w:val="0"/>
              <w:keepLines w:val="0"/>
              <w:widowControl/>
              <w:suppressLineNumbers w:val="0"/>
              <w:jc w:val="right"/>
              <w:textAlignment w:val="top"/>
              <w:rPr>
                <w:rFonts w:hint="eastAsia" w:ascii="仿宋" w:hAnsi="仿宋" w:eastAsia="仿宋" w:cs="仿宋"/>
                <w:i w:val="0"/>
                <w:iCs w:val="0"/>
                <w:color w:val="000000"/>
                <w:sz w:val="21"/>
                <w:szCs w:val="21"/>
                <w:u w:val="none"/>
              </w:rPr>
            </w:pPr>
            <w:bookmarkStart w:id="4" w:name="_Toc7389"/>
            <w:bookmarkStart w:id="5" w:name="_Toc967"/>
            <w:bookmarkStart w:id="6" w:name="_Toc13313"/>
            <w:r>
              <w:rPr>
                <w:rFonts w:hint="eastAsia" w:ascii="仿宋" w:hAnsi="仿宋" w:eastAsia="仿宋" w:cs="仿宋"/>
                <w:i w:val="0"/>
                <w:iCs w:val="0"/>
                <w:snapToGrid w:val="0"/>
                <w:color w:val="000000"/>
                <w:kern w:val="0"/>
                <w:sz w:val="21"/>
                <w:szCs w:val="21"/>
                <w:u w:val="none"/>
                <w:lang w:val="en-US" w:eastAsia="zh-CN" w:bidi="ar"/>
              </w:rPr>
              <w:t>单位：万元</w:t>
            </w:r>
          </w:p>
        </w:tc>
      </w:tr>
      <w:tr w14:paraId="4F98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blHeader/>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4D2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序号</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80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工程或费用名称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9528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建筑工程费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1D1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安装工程费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D84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设备购置费</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29B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其他费用</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ADB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合计</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217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单位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FFF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数量</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EEA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综合单价（万元）</w:t>
            </w:r>
          </w:p>
        </w:tc>
      </w:tr>
      <w:tr w14:paraId="4DAE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C1530">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一</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F2F1">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工程费用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8802">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128.27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D15C">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333.44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7E81">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4773.19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D4C7">
            <w:pPr>
              <w:jc w:val="center"/>
              <w:rPr>
                <w:rFonts w:hint="eastAsia" w:ascii="仿宋" w:hAnsi="仿宋" w:eastAsia="仿宋" w:cs="仿宋"/>
                <w:b/>
                <w:bCs/>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9535">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5234.91</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E60A3">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89.99%</w:t>
            </w:r>
          </w:p>
        </w:tc>
      </w:tr>
      <w:tr w14:paraId="78C2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0915">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315B">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光伏组件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A651">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96.75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5D664">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160.65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71F20">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1451.25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4FF0">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62D1">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1708.65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C59BE">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KW</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E935">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5956</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CB31">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0.287</w:t>
            </w:r>
          </w:p>
        </w:tc>
      </w:tr>
      <w:tr w14:paraId="5F8D4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nil"/>
              <w:right w:val="single" w:color="000000" w:sz="4" w:space="0"/>
            </w:tcBorders>
            <w:shd w:val="clear" w:color="auto" w:fill="auto"/>
            <w:vAlign w:val="center"/>
          </w:tcPr>
          <w:p w14:paraId="417CC48B">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w:t>
            </w:r>
          </w:p>
        </w:tc>
        <w:tc>
          <w:tcPr>
            <w:tcW w:w="1052" w:type="pct"/>
            <w:tcBorders>
              <w:top w:val="single" w:color="000000" w:sz="4" w:space="0"/>
              <w:left w:val="single" w:color="000000" w:sz="4" w:space="0"/>
              <w:bottom w:val="nil"/>
              <w:right w:val="single" w:color="000000" w:sz="4" w:space="0"/>
            </w:tcBorders>
            <w:shd w:val="clear" w:color="auto" w:fill="auto"/>
            <w:noWrap/>
            <w:vAlign w:val="center"/>
          </w:tcPr>
          <w:p w14:paraId="2A1530CF">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640Wp单晶N型</w:t>
            </w: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36220BF5">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5C4859A2">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p>
        </w:tc>
        <w:tc>
          <w:tcPr>
            <w:tcW w:w="498" w:type="pct"/>
            <w:tcBorders>
              <w:top w:val="single" w:color="000000" w:sz="4" w:space="0"/>
              <w:left w:val="single" w:color="000000" w:sz="4" w:space="0"/>
              <w:bottom w:val="nil"/>
              <w:right w:val="single" w:color="000000" w:sz="4" w:space="0"/>
            </w:tcBorders>
            <w:shd w:val="clear" w:color="auto" w:fill="auto"/>
            <w:noWrap/>
            <w:vAlign w:val="center"/>
          </w:tcPr>
          <w:p w14:paraId="432BB602">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882.272</w:t>
            </w:r>
          </w:p>
        </w:tc>
        <w:tc>
          <w:tcPr>
            <w:tcW w:w="415" w:type="pct"/>
            <w:tcBorders>
              <w:top w:val="single" w:color="000000" w:sz="4" w:space="0"/>
              <w:left w:val="single" w:color="000000" w:sz="4" w:space="0"/>
              <w:bottom w:val="nil"/>
              <w:right w:val="single" w:color="000000" w:sz="4" w:space="0"/>
            </w:tcBorders>
            <w:shd w:val="clear" w:color="auto" w:fill="auto"/>
            <w:noWrap/>
            <w:vAlign w:val="center"/>
          </w:tcPr>
          <w:p w14:paraId="6DB7F223">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42EF">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882.272</w:t>
            </w:r>
          </w:p>
        </w:tc>
        <w:tc>
          <w:tcPr>
            <w:tcW w:w="250" w:type="pct"/>
            <w:tcBorders>
              <w:top w:val="single" w:color="000000" w:sz="4" w:space="0"/>
              <w:left w:val="single" w:color="000000" w:sz="4" w:space="0"/>
              <w:bottom w:val="nil"/>
              <w:right w:val="single" w:color="000000" w:sz="4" w:space="0"/>
            </w:tcBorders>
            <w:shd w:val="clear" w:color="auto" w:fill="auto"/>
            <w:vAlign w:val="center"/>
          </w:tcPr>
          <w:p w14:paraId="49E4B758">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块</w:t>
            </w:r>
          </w:p>
        </w:tc>
        <w:tc>
          <w:tcPr>
            <w:tcW w:w="414" w:type="pct"/>
            <w:tcBorders>
              <w:top w:val="single" w:color="000000" w:sz="4" w:space="0"/>
              <w:left w:val="single" w:color="000000" w:sz="4" w:space="0"/>
              <w:bottom w:val="nil"/>
              <w:right w:val="single" w:color="000000" w:sz="4" w:space="0"/>
            </w:tcBorders>
            <w:shd w:val="clear" w:color="auto" w:fill="auto"/>
            <w:vAlign w:val="center"/>
          </w:tcPr>
          <w:p w14:paraId="40318227">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11168.00</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55E8F546">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0.079</w:t>
            </w:r>
          </w:p>
        </w:tc>
      </w:tr>
      <w:tr w14:paraId="678A2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5EE2">
            <w:pPr>
              <w:keepNext w:val="0"/>
              <w:keepLines w:val="0"/>
              <w:widowControl/>
              <w:suppressLineNumbers w:val="0"/>
              <w:jc w:val="center"/>
              <w:textAlignment w:val="top"/>
              <w:rPr>
                <w:rFonts w:hint="eastAsia" w:ascii="仿宋" w:hAnsi="仿宋" w:eastAsia="仿宋" w:cs="仿宋"/>
                <w:i w:val="0"/>
                <w:iCs w:val="0"/>
                <w:color w:val="FF0000"/>
                <w:sz w:val="21"/>
                <w:szCs w:val="21"/>
                <w:u w:val="none"/>
                <w:lang w:val="en-US" w:eastAsia="zh-CN"/>
              </w:rPr>
            </w:pPr>
            <w:r>
              <w:rPr>
                <w:rFonts w:hint="eastAsia" w:ascii="仿宋" w:hAnsi="仿宋" w:eastAsia="仿宋" w:cs="仿宋"/>
                <w:i w:val="0"/>
                <w:iCs w:val="0"/>
                <w:snapToGrid w:val="0"/>
                <w:color w:val="000000"/>
                <w:kern w:val="0"/>
                <w:sz w:val="21"/>
                <w:szCs w:val="21"/>
                <w:u w:val="none"/>
                <w:lang w:val="en-US" w:eastAsia="zh-CN" w:bidi="ar"/>
              </w:rPr>
              <w:t>1.2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009A">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逆变器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708D">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3CC16">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3147">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6D9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B3CE">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0872">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936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57.00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7C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1.420</w:t>
            </w:r>
          </w:p>
        </w:tc>
      </w:tr>
      <w:tr w14:paraId="3CE6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CC2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6D63">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交流汇流箱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6CDF">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6682">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C7E5">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9.32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79DF">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BC85">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9.32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6B2E">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F0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9.00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1D5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1.036</w:t>
            </w:r>
          </w:p>
        </w:tc>
      </w:tr>
      <w:tr w14:paraId="3138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E4F0">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1.4</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E7A3">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光伏支架及配件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3D21">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437F">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4689">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157.03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10405">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CE68">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157.03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69FA">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km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37D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87.29</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F20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1.799</w:t>
            </w:r>
          </w:p>
        </w:tc>
      </w:tr>
      <w:tr w14:paraId="4D51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647D">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EE37">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光伏直流电缆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0E8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89B2">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B698">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BE97">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8D43">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78B3">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km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3F06">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7F4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5.500</w:t>
            </w:r>
          </w:p>
        </w:tc>
      </w:tr>
      <w:tr w14:paraId="38E9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CA86">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1.6</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1F51">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MC4连接器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6F4DD">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3942">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4A32">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1.32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994F">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AE58">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1.32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FDC4">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套</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0D55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610.00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18B3">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0.022</w:t>
            </w:r>
          </w:p>
        </w:tc>
      </w:tr>
      <w:tr w14:paraId="6A18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57882">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1.7</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F1C3">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交流电缆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E756">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1988">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8FBA">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147.62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FB109">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1ED6D">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147.62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30CF">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km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625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8.10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348DA">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18.225</w:t>
            </w:r>
          </w:p>
        </w:tc>
      </w:tr>
      <w:tr w14:paraId="3622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4F4F">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1.8</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4683">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干式变压器（箱变)</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F988">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9753">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1B005">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25.26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E17D">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BEFE">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25.26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5AA9">
            <w:pPr>
              <w:keepNext w:val="0"/>
              <w:keepLines w:val="0"/>
              <w:widowControl/>
              <w:suppressLineNumbers w:val="0"/>
              <w:jc w:val="center"/>
              <w:textAlignment w:val="center"/>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E9D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484E7">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20.260</w:t>
            </w:r>
          </w:p>
        </w:tc>
      </w:tr>
      <w:tr w14:paraId="47AC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51FF">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1.9</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6AA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光伏接入柜</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0119">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C5DE">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6D66">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5.13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F7D52">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FD6D3">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5.13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6B26">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E234">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F28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5.132</w:t>
            </w:r>
          </w:p>
        </w:tc>
      </w:tr>
      <w:tr w14:paraId="7299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8AD1">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4A0B6">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并网柜</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04C0">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83CD">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5CD8">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6337">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4B50">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D02B">
            <w:pPr>
              <w:keepNext w:val="0"/>
              <w:keepLines w:val="0"/>
              <w:widowControl/>
              <w:suppressLineNumbers w:val="0"/>
              <w:jc w:val="center"/>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B9FD">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058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5.000</w:t>
            </w:r>
          </w:p>
        </w:tc>
      </w:tr>
      <w:tr w14:paraId="5AA5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618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AA9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站用变电柜</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32E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987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1A8A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4.71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920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A0C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4.71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7EF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79A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5BF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4.711</w:t>
            </w:r>
          </w:p>
        </w:tc>
      </w:tr>
      <w:tr w14:paraId="5B25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41D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1E9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10kV动态无功补偿装置</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51D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95D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324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39.07</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4504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C93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39.07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6C25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3B1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BC8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35.000</w:t>
            </w:r>
          </w:p>
        </w:tc>
      </w:tr>
      <w:tr w14:paraId="3488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392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46F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高压电缆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E6B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494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EFE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82.51</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C7E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362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82.51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118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km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62C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CE1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41.300</w:t>
            </w:r>
          </w:p>
        </w:tc>
      </w:tr>
      <w:tr w14:paraId="5F22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B833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2.4</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CDD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土建基础</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372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96.75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D42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AF2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B3E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63F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96.75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0F1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项</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F2A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275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80.250</w:t>
            </w:r>
          </w:p>
        </w:tc>
      </w:tr>
      <w:tr w14:paraId="21B1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CA0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BF2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组件、电气安装、辅材等</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CD5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DA0F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160.65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7D9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D5C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5AE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160.65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64F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KW</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8CF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5950.00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611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0.027</w:t>
            </w:r>
          </w:p>
        </w:tc>
      </w:tr>
      <w:tr w14:paraId="12CF8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3D5C">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72F3">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电池储能</w:t>
            </w:r>
            <w:r>
              <w:rPr>
                <w:rFonts w:hint="eastAsia" w:ascii="仿宋" w:hAnsi="仿宋" w:eastAsia="仿宋" w:cs="仿宋"/>
                <w:b/>
                <w:bCs/>
                <w:i w:val="0"/>
                <w:iCs w:val="0"/>
                <w:snapToGrid w:val="0"/>
                <w:color w:val="000000"/>
                <w:kern w:val="0"/>
                <w:sz w:val="21"/>
                <w:szCs w:val="21"/>
                <w:u w:val="none"/>
                <w:lang w:val="en-US" w:eastAsia="zh-CN" w:bidi="ar"/>
              </w:rPr>
              <w:br w:type="textWrapping"/>
            </w:r>
            <w:r>
              <w:rPr>
                <w:rFonts w:hint="eastAsia" w:ascii="仿宋" w:hAnsi="仿宋" w:eastAsia="仿宋" w:cs="仿宋"/>
                <w:b/>
                <w:bCs/>
                <w:i w:val="0"/>
                <w:iCs w:val="0"/>
                <w:snapToGrid w:val="0"/>
                <w:color w:val="000000"/>
                <w:kern w:val="0"/>
                <w:sz w:val="21"/>
                <w:szCs w:val="21"/>
                <w:u w:val="none"/>
                <w:lang w:val="en-US" w:eastAsia="zh-CN" w:bidi="ar"/>
              </w:rPr>
              <w:t>集装箱</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E28C5">
            <w:pPr>
              <w:jc w:val="center"/>
              <w:rPr>
                <w:rFonts w:hint="eastAsia" w:ascii="仿宋" w:hAnsi="仿宋" w:eastAsia="仿宋" w:cs="仿宋"/>
                <w:i w:val="0"/>
                <w:iCs w:val="0"/>
                <w:snapToGrid w:val="0"/>
                <w:color w:val="FF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D584">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C8BD8">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2509.99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E076">
            <w:pPr>
              <w:jc w:val="center"/>
              <w:rPr>
                <w:rFonts w:hint="eastAsia" w:ascii="仿宋" w:hAnsi="仿宋" w:eastAsia="仿宋" w:cs="仿宋"/>
                <w:i w:val="0"/>
                <w:iCs w:val="0"/>
                <w:snapToGrid w:val="0"/>
                <w:color w:val="FF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A8EB">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2639.99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8645">
            <w:pPr>
              <w:keepNext w:val="0"/>
              <w:keepLines w:val="0"/>
              <w:widowControl/>
              <w:suppressLineNumbers w:val="0"/>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KWH</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17F9">
            <w:pPr>
              <w:keepNext w:val="0"/>
              <w:keepLines w:val="0"/>
              <w:widowControl/>
              <w:suppressLineNumbers w:val="0"/>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20000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01E2">
            <w:pPr>
              <w:keepNext w:val="0"/>
              <w:keepLines w:val="0"/>
              <w:widowControl/>
              <w:suppressLineNumbers w:val="0"/>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0.132</w:t>
            </w:r>
          </w:p>
        </w:tc>
      </w:tr>
      <w:tr w14:paraId="19F9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0C3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A31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电池系统 5000KWH</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75F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011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59C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1325.39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7DC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DB7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1325.39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3D8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729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58F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358.21</w:t>
            </w:r>
          </w:p>
        </w:tc>
      </w:tr>
      <w:tr w14:paraId="0211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9D6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86F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储能变流器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F61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7B0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E28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4B4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00D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23E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DC4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982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50.00</w:t>
            </w:r>
          </w:p>
        </w:tc>
      </w:tr>
      <w:tr w14:paraId="28B7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E02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E77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集装箱柜体</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7F9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20D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356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427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380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7E9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6BB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A6A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15.00</w:t>
            </w:r>
          </w:p>
        </w:tc>
      </w:tr>
      <w:tr w14:paraId="6075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D9C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2.4</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9FC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温控系统</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8C6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61E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361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74</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0EA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519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249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88F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E17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20.00</w:t>
            </w:r>
          </w:p>
        </w:tc>
      </w:tr>
      <w:tr w14:paraId="77EC6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BA1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BD79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消防系统</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FA3E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A6C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7E9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A24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284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C1D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C1C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881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15.00</w:t>
            </w:r>
          </w:p>
        </w:tc>
      </w:tr>
      <w:tr w14:paraId="1A1B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39F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2.6</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8B8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储能EMS</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211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2DE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CCC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BFB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BC0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041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BE9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7A1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50.00</w:t>
            </w:r>
          </w:p>
        </w:tc>
      </w:tr>
      <w:tr w14:paraId="14D3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67D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2.7</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1D9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附件</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FF4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248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8D0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29.6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128D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B87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29.6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E5A5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130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3ABA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8.00</w:t>
            </w:r>
          </w:p>
        </w:tc>
      </w:tr>
      <w:tr w14:paraId="538C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885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2.8</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C86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储能箱基础及连接电缆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79F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309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364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348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F5C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C20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3374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3.7</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153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25.00</w:t>
            </w:r>
          </w:p>
        </w:tc>
      </w:tr>
      <w:tr w14:paraId="51DB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DCF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2.9</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358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15KWH换电系统(3000KWH)</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8F96">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3DFA">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500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CAFB">
            <w:pPr>
              <w:jc w:val="center"/>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56FC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E17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8D5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FAB3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3.00</w:t>
            </w:r>
          </w:p>
        </w:tc>
      </w:tr>
      <w:tr w14:paraId="6665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97E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D647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园区配套工程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B55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31.52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74C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42.79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EA4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811.96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9DB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42A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886.27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66E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F7B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5551.3</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BE7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0.227</w:t>
            </w:r>
          </w:p>
        </w:tc>
      </w:tr>
      <w:tr w14:paraId="47D7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D71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6DB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升压/降压变压器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AD64">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E16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F3F0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A760">
            <w:pPr>
              <w:jc w:val="center"/>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40F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26D9">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18C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D6B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40</w:t>
            </w:r>
          </w:p>
        </w:tc>
      </w:tr>
      <w:tr w14:paraId="2D7D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4E3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95F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中压输电电缆</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A772">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36C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22.5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755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127.5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AE94">
            <w:pPr>
              <w:jc w:val="center"/>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57A8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DA3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m</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A36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3000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EA76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0.05</w:t>
            </w:r>
          </w:p>
        </w:tc>
      </w:tr>
      <w:tr w14:paraId="2712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8F2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DBA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绿化等相关配套工程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AD8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25.99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F93D">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FE5A">
            <w:pPr>
              <w:jc w:val="center"/>
              <w:rPr>
                <w:rFonts w:hint="eastAsia" w:ascii="仿宋" w:hAnsi="仿宋" w:eastAsia="仿宋" w:cs="仿宋"/>
                <w:i w:val="0"/>
                <w:iCs w:val="0"/>
                <w:snapToGrid w:val="0"/>
                <w:color w:val="000000"/>
                <w:kern w:val="0"/>
                <w:sz w:val="21"/>
                <w:szCs w:val="21"/>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1307">
            <w:pPr>
              <w:jc w:val="center"/>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D87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25.99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15D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678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82</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3999">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0.317</w:t>
            </w:r>
          </w:p>
        </w:tc>
      </w:tr>
      <w:tr w14:paraId="77F1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6EE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3.4</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F0B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10kv储能变电站</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E9E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5.53</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B652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8.29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A85C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41.46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419D">
            <w:pPr>
              <w:jc w:val="center"/>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002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55.28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B10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CDD4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40</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CDD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1.382</w:t>
            </w:r>
          </w:p>
        </w:tc>
      </w:tr>
      <w:tr w14:paraId="5543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933E">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7023">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中心配电室变压器2000KVA</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3155">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E5938">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7600">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5ABB4">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C1E0">
            <w:pPr>
              <w:keepNext w:val="0"/>
              <w:keepLines w:val="0"/>
              <w:widowControl/>
              <w:suppressLineNumbers w:val="0"/>
              <w:jc w:val="center"/>
              <w:textAlignment w:val="top"/>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89D5">
            <w:pPr>
              <w:keepNext w:val="0"/>
              <w:keepLines w:val="0"/>
              <w:widowControl/>
              <w:suppressLineNumbers w:val="0"/>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091E">
            <w:pPr>
              <w:keepNext w:val="0"/>
              <w:keepLines w:val="0"/>
              <w:widowControl/>
              <w:suppressLineNumbers w:val="0"/>
              <w:jc w:val="center"/>
              <w:textAlignment w:val="center"/>
              <w:rPr>
                <w:rFonts w:hint="eastAsia" w:ascii="仿宋" w:hAnsi="仿宋" w:eastAsia="仿宋" w:cs="仿宋"/>
                <w:color w:val="FF0000"/>
                <w:sz w:val="21"/>
                <w:szCs w:val="21"/>
              </w:rPr>
            </w:pPr>
            <w:r>
              <w:rPr>
                <w:rFonts w:hint="eastAsia" w:ascii="仿宋" w:hAnsi="仿宋" w:eastAsia="仿宋" w:cs="仿宋"/>
                <w:i w:val="0"/>
                <w:iCs w:val="0"/>
                <w:snapToGrid w:val="0"/>
                <w:color w:val="000000"/>
                <w:kern w:val="0"/>
                <w:sz w:val="21"/>
                <w:szCs w:val="21"/>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2C01">
            <w:pPr>
              <w:keepNext w:val="0"/>
              <w:keepLines w:val="0"/>
              <w:widowControl/>
              <w:suppressLineNumbers w:val="0"/>
              <w:jc w:val="center"/>
              <w:textAlignment w:val="center"/>
              <w:rPr>
                <w:rFonts w:hint="eastAsia" w:ascii="仿宋" w:hAnsi="仿宋" w:eastAsia="仿宋" w:cs="仿宋"/>
                <w:color w:val="FF0000"/>
                <w:sz w:val="21"/>
                <w:szCs w:val="21"/>
              </w:rPr>
            </w:pPr>
            <w:r>
              <w:rPr>
                <w:rFonts w:hint="eastAsia" w:ascii="仿宋" w:hAnsi="仿宋" w:eastAsia="仿宋" w:cs="仿宋"/>
                <w:i w:val="0"/>
                <w:iCs w:val="0"/>
                <w:snapToGrid w:val="0"/>
                <w:color w:val="000000"/>
                <w:kern w:val="0"/>
                <w:sz w:val="21"/>
                <w:szCs w:val="21"/>
                <w:u w:val="none"/>
                <w:lang w:val="en-US" w:eastAsia="zh-CN" w:bidi="ar"/>
              </w:rPr>
              <w:t>25</w:t>
            </w:r>
          </w:p>
        </w:tc>
      </w:tr>
      <w:tr w14:paraId="1D63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922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0ED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光伏充电桩（600kw液冷）</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5617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BD7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3E6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66C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AFB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550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68E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个</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CDB8">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600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110</w:t>
            </w:r>
          </w:p>
        </w:tc>
      </w:tr>
      <w:tr w14:paraId="7C5DC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CA8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二</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A5E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工程建设其他费用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CF73">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C06C">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07881">
            <w:pPr>
              <w:jc w:val="center"/>
              <w:rPr>
                <w:rFonts w:hint="eastAsia" w:ascii="仿宋" w:hAnsi="仿宋" w:eastAsia="仿宋" w:cs="仿宋"/>
                <w:i w:val="0"/>
                <w:iCs w:val="0"/>
                <w:snapToGrid w:val="0"/>
                <w:color w:val="000000"/>
                <w:kern w:val="0"/>
                <w:sz w:val="21"/>
                <w:szCs w:val="21"/>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0287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255.75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3A4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255.75</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EB7B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4.40%</w:t>
            </w:r>
          </w:p>
        </w:tc>
      </w:tr>
      <w:tr w14:paraId="05BC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7E3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821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建设管理费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038C">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15DE2">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AA0B">
            <w:pPr>
              <w:jc w:val="center"/>
              <w:rPr>
                <w:rFonts w:hint="eastAsia" w:ascii="仿宋" w:hAnsi="仿宋" w:eastAsia="仿宋" w:cs="仿宋"/>
                <w:i w:val="0"/>
                <w:iCs w:val="0"/>
                <w:snapToGrid w:val="0"/>
                <w:color w:val="000000"/>
                <w:kern w:val="0"/>
                <w:sz w:val="21"/>
                <w:szCs w:val="21"/>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8D1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26.17</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AED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26.17</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4F9C0A">
            <w:pPr>
              <w:jc w:val="center"/>
              <w:rPr>
                <w:rFonts w:hint="eastAsia" w:ascii="仿宋" w:hAnsi="仿宋" w:eastAsia="仿宋" w:cs="仿宋"/>
                <w:i w:val="0"/>
                <w:iCs w:val="0"/>
                <w:snapToGrid w:val="0"/>
                <w:color w:val="000000"/>
                <w:kern w:val="0"/>
                <w:sz w:val="21"/>
                <w:szCs w:val="21"/>
                <w:u w:val="none"/>
                <w:lang w:val="en-US" w:eastAsia="zh-CN" w:bidi="ar"/>
              </w:rPr>
            </w:pPr>
          </w:p>
        </w:tc>
      </w:tr>
      <w:tr w14:paraId="70CC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EC84">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7078">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建设工程监理费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BB32">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D423">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5459">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3378">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31.41</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7335">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31.41</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221E9">
            <w:pPr>
              <w:jc w:val="center"/>
              <w:rPr>
                <w:rFonts w:hint="eastAsia" w:ascii="仿宋" w:hAnsi="仿宋" w:eastAsia="仿宋" w:cs="仿宋"/>
                <w:sz w:val="21"/>
                <w:szCs w:val="21"/>
              </w:rPr>
            </w:pPr>
          </w:p>
        </w:tc>
      </w:tr>
      <w:tr w14:paraId="0922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3128">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9D93">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建设项目前期工作咨询费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B9DC">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A3E5F">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54C4">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D2B47">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26.17</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9AC7">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26.17</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35F84">
            <w:pPr>
              <w:jc w:val="center"/>
              <w:rPr>
                <w:rFonts w:hint="eastAsia" w:ascii="仿宋" w:hAnsi="仿宋" w:eastAsia="仿宋" w:cs="仿宋"/>
                <w:sz w:val="21"/>
                <w:szCs w:val="21"/>
              </w:rPr>
            </w:pPr>
          </w:p>
        </w:tc>
      </w:tr>
      <w:tr w14:paraId="266E3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D05A4">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4</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3637">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工程勘察费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D6A86">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0F72">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A3CE">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C510">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26.17</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4B8B">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26.17</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8D66A">
            <w:pPr>
              <w:jc w:val="center"/>
              <w:rPr>
                <w:rFonts w:hint="eastAsia" w:ascii="仿宋" w:hAnsi="仿宋" w:eastAsia="仿宋" w:cs="仿宋"/>
                <w:sz w:val="21"/>
                <w:szCs w:val="21"/>
              </w:rPr>
            </w:pPr>
          </w:p>
        </w:tc>
      </w:tr>
      <w:tr w14:paraId="1A40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1C70">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0B0E">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屋顶荷载检测费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67EDB">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9AF2C">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2B28">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C2A5">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10.64</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35B2">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10.64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E17A">
            <w:pPr>
              <w:jc w:val="center"/>
              <w:rPr>
                <w:rFonts w:hint="eastAsia" w:ascii="仿宋" w:hAnsi="仿宋" w:eastAsia="仿宋" w:cs="仿宋"/>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F860">
            <w:pPr>
              <w:jc w:val="center"/>
              <w:rPr>
                <w:rFonts w:hint="eastAsia" w:ascii="仿宋" w:hAnsi="仿宋" w:eastAsia="仿宋" w:cs="仿宋"/>
                <w:sz w:val="21"/>
                <w:szCs w:val="21"/>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22CF">
            <w:pPr>
              <w:jc w:val="center"/>
              <w:rPr>
                <w:rFonts w:hint="eastAsia" w:ascii="仿宋" w:hAnsi="仿宋" w:eastAsia="仿宋" w:cs="仿宋"/>
                <w:sz w:val="21"/>
                <w:szCs w:val="21"/>
              </w:rPr>
            </w:pPr>
          </w:p>
        </w:tc>
      </w:tr>
      <w:tr w14:paraId="0CAC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271B">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3EC6">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工程设计费</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E21D">
            <w:pPr>
              <w:jc w:val="center"/>
              <w:rPr>
                <w:rFonts w:hint="eastAsia" w:ascii="仿宋" w:hAnsi="仿宋" w:eastAsia="仿宋" w:cs="仿宋"/>
                <w:b/>
                <w:bCs/>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E53C">
            <w:pPr>
              <w:jc w:val="center"/>
              <w:rPr>
                <w:rFonts w:hint="eastAsia" w:ascii="仿宋" w:hAnsi="仿宋" w:eastAsia="仿宋" w:cs="仿宋"/>
                <w:b/>
                <w:bCs/>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4A87">
            <w:pPr>
              <w:jc w:val="center"/>
              <w:rPr>
                <w:rFonts w:hint="eastAsia" w:ascii="仿宋" w:hAnsi="仿宋" w:eastAsia="仿宋" w:cs="仿宋"/>
                <w:b/>
                <w:bCs/>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10DE">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52.35</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5485">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52.35</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04878">
            <w:pPr>
              <w:jc w:val="center"/>
              <w:rPr>
                <w:rFonts w:hint="eastAsia" w:ascii="仿宋" w:hAnsi="仿宋" w:eastAsia="仿宋" w:cs="仿宋"/>
                <w:sz w:val="21"/>
                <w:szCs w:val="21"/>
              </w:rPr>
            </w:pPr>
          </w:p>
        </w:tc>
      </w:tr>
      <w:tr w14:paraId="3830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CE54">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7</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4A76">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环境影响咨询服务费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1D10">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CEDD">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B3E5">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184D0">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5.23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B51B">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5.23</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D9A95">
            <w:pPr>
              <w:jc w:val="center"/>
              <w:rPr>
                <w:rFonts w:hint="eastAsia" w:ascii="仿宋" w:hAnsi="仿宋" w:eastAsia="仿宋" w:cs="仿宋"/>
                <w:sz w:val="21"/>
                <w:szCs w:val="21"/>
              </w:rPr>
            </w:pPr>
          </w:p>
        </w:tc>
      </w:tr>
      <w:tr w14:paraId="3A20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C664">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F861">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场地准备费及临时设施费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7F6F">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2BF6">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D81B">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D06F">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28.79</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303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28.79</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F96B6">
            <w:pPr>
              <w:jc w:val="center"/>
              <w:rPr>
                <w:rFonts w:hint="eastAsia" w:ascii="仿宋" w:hAnsi="仿宋" w:eastAsia="仿宋" w:cs="仿宋"/>
                <w:sz w:val="21"/>
                <w:szCs w:val="21"/>
              </w:rPr>
            </w:pPr>
          </w:p>
        </w:tc>
      </w:tr>
      <w:tr w14:paraId="218F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211FA">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E66B">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工程保险费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8DF2">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A0E9">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831D">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CA3B">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15.30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F9B4">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15.30</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E6C83">
            <w:pPr>
              <w:jc w:val="center"/>
              <w:rPr>
                <w:rFonts w:hint="eastAsia" w:ascii="仿宋" w:hAnsi="仿宋" w:eastAsia="仿宋" w:cs="仿宋"/>
                <w:sz w:val="21"/>
                <w:szCs w:val="21"/>
              </w:rPr>
            </w:pPr>
          </w:p>
        </w:tc>
      </w:tr>
      <w:tr w14:paraId="19BC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CB58">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69EA">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招标代理服务费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8B66">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079B">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F499">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179B">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17.80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36CA">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17.80</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2373A">
            <w:pPr>
              <w:jc w:val="center"/>
              <w:rPr>
                <w:rFonts w:hint="eastAsia" w:ascii="仿宋" w:hAnsi="仿宋" w:eastAsia="仿宋" w:cs="仿宋"/>
                <w:sz w:val="21"/>
                <w:szCs w:val="21"/>
              </w:rPr>
            </w:pPr>
          </w:p>
        </w:tc>
      </w:tr>
      <w:tr w14:paraId="5961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6DC5">
            <w:pPr>
              <w:keepNext w:val="0"/>
              <w:keepLines w:val="0"/>
              <w:widowControl/>
              <w:suppressLineNumbers w:val="0"/>
              <w:jc w:val="center"/>
              <w:textAlignment w:val="top"/>
              <w:rPr>
                <w:rFonts w:hint="eastAsia" w:ascii="仿宋" w:hAnsi="仿宋" w:eastAsia="仿宋" w:cs="仿宋"/>
                <w:b w:val="0"/>
                <w:bCs w:val="0"/>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11</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C930">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造价咨询费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8E98">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62B5A">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E8D3">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F62E">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15.70</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A55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15.70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B4CC">
            <w:pPr>
              <w:jc w:val="center"/>
              <w:rPr>
                <w:rFonts w:hint="eastAsia" w:ascii="仿宋" w:hAnsi="仿宋" w:eastAsia="仿宋" w:cs="仿宋"/>
                <w:sz w:val="21"/>
                <w:szCs w:val="21"/>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DF9B">
            <w:pPr>
              <w:jc w:val="center"/>
              <w:rPr>
                <w:rFonts w:hint="eastAsia" w:ascii="仿宋" w:hAnsi="仿宋" w:eastAsia="仿宋" w:cs="仿宋"/>
                <w:sz w:val="21"/>
                <w:szCs w:val="21"/>
              </w:rPr>
            </w:pP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FE31">
            <w:pPr>
              <w:jc w:val="center"/>
              <w:rPr>
                <w:rFonts w:hint="eastAsia" w:ascii="仿宋" w:hAnsi="仿宋" w:eastAsia="仿宋" w:cs="仿宋"/>
                <w:sz w:val="21"/>
                <w:szCs w:val="21"/>
              </w:rPr>
            </w:pPr>
          </w:p>
        </w:tc>
      </w:tr>
      <w:tr w14:paraId="62C1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8129">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三</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5AA2">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预备费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5BA9">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917A">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C40D">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0A22">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274.53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DD1E">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274.53</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3E3EA">
            <w:pPr>
              <w:keepNext w:val="0"/>
              <w:keepLines w:val="0"/>
              <w:widowControl/>
              <w:suppressLineNumbers w:val="0"/>
              <w:jc w:val="center"/>
              <w:textAlignment w:val="top"/>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4.72%</w:t>
            </w:r>
          </w:p>
        </w:tc>
      </w:tr>
      <w:tr w14:paraId="1292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FD56">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3.1</w:t>
            </w:r>
          </w:p>
        </w:tc>
        <w:tc>
          <w:tcPr>
            <w:tcW w:w="1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4F92">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基本预备费</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47DC">
            <w:pPr>
              <w:jc w:val="center"/>
              <w:rPr>
                <w:rFonts w:hint="eastAsia" w:ascii="仿宋" w:hAnsi="仿宋" w:eastAsia="仿宋" w:cs="仿宋"/>
                <w:b/>
                <w:bCs/>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C328">
            <w:pPr>
              <w:jc w:val="center"/>
              <w:rPr>
                <w:rFonts w:hint="eastAsia" w:ascii="仿宋" w:hAnsi="仿宋" w:eastAsia="仿宋" w:cs="仿宋"/>
                <w:b/>
                <w:bCs/>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F3A6">
            <w:pPr>
              <w:jc w:val="center"/>
              <w:rPr>
                <w:rFonts w:hint="eastAsia" w:ascii="仿宋" w:hAnsi="仿宋" w:eastAsia="仿宋" w:cs="仿宋"/>
                <w:b/>
                <w:bCs/>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D51E">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274.53</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0A60">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274.53</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784BE8">
            <w:pPr>
              <w:keepNext w:val="0"/>
              <w:keepLines w:val="0"/>
              <w:widowControl/>
              <w:suppressLineNumbers w:val="0"/>
              <w:jc w:val="center"/>
              <w:textAlignment w:val="top"/>
              <w:rPr>
                <w:rFonts w:hint="eastAsia" w:ascii="仿宋" w:hAnsi="仿宋" w:eastAsia="仿宋" w:cs="仿宋"/>
                <w:sz w:val="21"/>
                <w:szCs w:val="21"/>
              </w:rPr>
            </w:pPr>
            <w:r>
              <w:rPr>
                <w:rFonts w:hint="eastAsia" w:ascii="仿宋" w:hAnsi="仿宋" w:eastAsia="仿宋" w:cs="仿宋"/>
                <w:i w:val="0"/>
                <w:iCs w:val="0"/>
                <w:snapToGrid w:val="0"/>
                <w:color w:val="000000"/>
                <w:kern w:val="0"/>
                <w:sz w:val="21"/>
                <w:szCs w:val="21"/>
                <w:u w:val="none"/>
                <w:lang w:val="en-US" w:eastAsia="zh-CN" w:bidi="ar"/>
              </w:rPr>
              <w:t>（一</w:t>
            </w:r>
            <w:r>
              <w:rPr>
                <w:rStyle w:val="54"/>
                <w:rFonts w:hint="eastAsia" w:ascii="仿宋" w:hAnsi="仿宋" w:eastAsia="仿宋" w:cs="仿宋"/>
                <w:snapToGrid w:val="0"/>
                <w:color w:val="000000"/>
                <w:sz w:val="21"/>
                <w:szCs w:val="21"/>
                <w:lang w:val="en-US" w:eastAsia="zh-CN" w:bidi="ar"/>
              </w:rPr>
              <w:t>+</w:t>
            </w:r>
            <w:r>
              <w:rPr>
                <w:rFonts w:hint="eastAsia" w:ascii="仿宋" w:hAnsi="仿宋" w:eastAsia="仿宋" w:cs="仿宋"/>
                <w:i w:val="0"/>
                <w:iCs w:val="0"/>
                <w:snapToGrid w:val="0"/>
                <w:color w:val="000000"/>
                <w:kern w:val="0"/>
                <w:sz w:val="21"/>
                <w:szCs w:val="21"/>
                <w:u w:val="none"/>
                <w:lang w:val="en-US" w:eastAsia="zh-CN" w:bidi="ar"/>
              </w:rPr>
              <w:t>二）</w:t>
            </w:r>
            <w:r>
              <w:rPr>
                <w:rStyle w:val="54"/>
                <w:rFonts w:hint="eastAsia" w:ascii="仿宋" w:hAnsi="仿宋" w:eastAsia="仿宋" w:cs="仿宋"/>
                <w:snapToGrid w:val="0"/>
                <w:color w:val="000000"/>
                <w:sz w:val="21"/>
                <w:szCs w:val="21"/>
                <w:lang w:val="en-US" w:eastAsia="zh-CN" w:bidi="ar"/>
              </w:rPr>
              <w:t>*5%</w:t>
            </w:r>
          </w:p>
        </w:tc>
      </w:tr>
      <w:tr w14:paraId="742EA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E54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3.2</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03C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涨价预备费</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1CD9">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ECAB">
            <w:pPr>
              <w:jc w:val="center"/>
              <w:rPr>
                <w:rFonts w:hint="eastAsia" w:ascii="仿宋" w:hAnsi="仿宋" w:eastAsia="仿宋" w:cs="仿宋"/>
                <w:i w:val="0"/>
                <w:iCs w:val="0"/>
                <w:snapToGrid w:val="0"/>
                <w:color w:val="000000"/>
                <w:kern w:val="0"/>
                <w:sz w:val="21"/>
                <w:szCs w:val="21"/>
                <w:u w:val="none"/>
                <w:lang w:val="en-US" w:eastAsia="zh-CN" w:bidi="ar"/>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63CC">
            <w:pPr>
              <w:jc w:val="center"/>
              <w:rPr>
                <w:rFonts w:hint="eastAsia" w:ascii="仿宋" w:hAnsi="仿宋" w:eastAsia="仿宋" w:cs="仿宋"/>
                <w:i w:val="0"/>
                <w:iCs w:val="0"/>
                <w:snapToGrid w:val="0"/>
                <w:color w:val="000000"/>
                <w:kern w:val="0"/>
                <w:sz w:val="21"/>
                <w:szCs w:val="21"/>
                <w:u w:val="none"/>
                <w:lang w:val="en-US" w:eastAsia="zh-CN" w:bidi="ar"/>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8F47">
            <w:pPr>
              <w:jc w:val="center"/>
              <w:rPr>
                <w:rFonts w:hint="eastAsia" w:ascii="仿宋" w:hAnsi="仿宋" w:eastAsia="仿宋" w:cs="仿宋"/>
                <w:i w:val="0"/>
                <w:iCs w:val="0"/>
                <w:snapToGrid w:val="0"/>
                <w:color w:val="000000"/>
                <w:kern w:val="0"/>
                <w:sz w:val="21"/>
                <w:szCs w:val="21"/>
                <w:u w:val="none"/>
                <w:lang w:val="en-US" w:eastAsia="zh-CN" w:bidi="ar"/>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24BE">
            <w:pPr>
              <w:jc w:val="center"/>
              <w:rPr>
                <w:rFonts w:hint="eastAsia" w:ascii="仿宋" w:hAnsi="仿宋" w:eastAsia="仿宋" w:cs="仿宋"/>
                <w:i w:val="0"/>
                <w:iCs w:val="0"/>
                <w:snapToGrid w:val="0"/>
                <w:color w:val="000000"/>
                <w:kern w:val="0"/>
                <w:sz w:val="21"/>
                <w:szCs w:val="21"/>
                <w:u w:val="none"/>
                <w:lang w:val="en-US" w:eastAsia="zh-CN" w:bidi="ar"/>
              </w:rPr>
            </w:pP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32129">
            <w:pPr>
              <w:jc w:val="center"/>
              <w:rPr>
                <w:rFonts w:hint="eastAsia" w:ascii="仿宋" w:hAnsi="仿宋" w:eastAsia="仿宋" w:cs="仿宋"/>
                <w:sz w:val="21"/>
                <w:szCs w:val="21"/>
              </w:rPr>
            </w:pPr>
          </w:p>
        </w:tc>
      </w:tr>
      <w:tr w14:paraId="52CB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D36B">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四</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B69E">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b/>
                <w:bCs/>
                <w:i w:val="0"/>
                <w:iCs w:val="0"/>
                <w:snapToGrid w:val="0"/>
                <w:color w:val="000000"/>
                <w:kern w:val="0"/>
                <w:sz w:val="21"/>
                <w:szCs w:val="21"/>
                <w:u w:val="none"/>
                <w:lang w:val="en-US" w:eastAsia="zh-CN" w:bidi="ar"/>
              </w:rPr>
              <w:t>建设投资合计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B38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128.27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E55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333.44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3A3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4773.19</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B77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530.28</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3D1C">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5765.19</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004B9">
            <w:pPr>
              <w:keepNext w:val="0"/>
              <w:keepLines w:val="0"/>
              <w:widowControl/>
              <w:suppressLineNumbers w:val="0"/>
              <w:jc w:val="center"/>
              <w:textAlignment w:val="top"/>
              <w:rPr>
                <w:rFonts w:hint="eastAsia" w:ascii="仿宋" w:hAnsi="仿宋" w:eastAsia="仿宋" w:cs="仿宋"/>
                <w:sz w:val="21"/>
                <w:szCs w:val="21"/>
              </w:rPr>
            </w:pPr>
            <w:r>
              <w:rPr>
                <w:rFonts w:hint="eastAsia" w:ascii="仿宋" w:hAnsi="仿宋" w:eastAsia="仿宋" w:cs="仿宋"/>
                <w:b/>
                <w:bCs/>
                <w:i w:val="0"/>
                <w:iCs w:val="0"/>
                <w:snapToGrid w:val="0"/>
                <w:color w:val="000000"/>
                <w:kern w:val="0"/>
                <w:sz w:val="21"/>
                <w:szCs w:val="21"/>
                <w:u w:val="none"/>
                <w:lang w:val="en-US" w:eastAsia="zh-CN" w:bidi="ar"/>
              </w:rPr>
              <w:t>99.11%</w:t>
            </w:r>
          </w:p>
        </w:tc>
      </w:tr>
      <w:tr w14:paraId="28D8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5737">
            <w:pPr>
              <w:jc w:val="center"/>
              <w:rPr>
                <w:rFonts w:hint="eastAsia" w:ascii="仿宋" w:hAnsi="仿宋" w:eastAsia="仿宋" w:cs="仿宋"/>
                <w:b/>
                <w:bCs/>
                <w:i w:val="0"/>
                <w:iCs w:val="0"/>
                <w:snapToGrid w:val="0"/>
                <w:color w:val="000000"/>
                <w:kern w:val="0"/>
                <w:sz w:val="21"/>
                <w:szCs w:val="21"/>
                <w:u w:val="none"/>
                <w:lang w:val="en-US" w:eastAsia="zh-CN" w:bidi="ar"/>
              </w:rPr>
            </w:pP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90B5">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比例（%）</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C1BC">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2%</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17AB">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6%</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7918">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83%</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A1F3">
            <w:pPr>
              <w:keepNext w:val="0"/>
              <w:keepLines w:val="0"/>
              <w:widowControl/>
              <w:suppressLineNumbers w:val="0"/>
              <w:jc w:val="center"/>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9%</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A5E4">
            <w:pPr>
              <w:keepNext w:val="0"/>
              <w:keepLines w:val="0"/>
              <w:widowControl/>
              <w:suppressLineNumbers w:val="0"/>
              <w:jc w:val="center"/>
              <w:textAlignment w:val="top"/>
              <w:rPr>
                <w:rFonts w:hint="eastAsia" w:ascii="仿宋" w:hAnsi="仿宋" w:eastAsia="仿宋" w:cs="仿宋"/>
                <w:b/>
                <w:bCs/>
                <w:i w:val="0"/>
                <w:iCs w:val="0"/>
                <w:color w:val="FF0000"/>
                <w:sz w:val="21"/>
                <w:szCs w:val="21"/>
                <w:u w:val="none"/>
              </w:rPr>
            </w:pPr>
            <w:r>
              <w:rPr>
                <w:rFonts w:hint="eastAsia" w:ascii="仿宋" w:hAnsi="仿宋" w:eastAsia="仿宋" w:cs="仿宋"/>
                <w:i w:val="0"/>
                <w:iCs w:val="0"/>
                <w:snapToGrid w:val="0"/>
                <w:color w:val="000000"/>
                <w:kern w:val="0"/>
                <w:sz w:val="21"/>
                <w:szCs w:val="21"/>
                <w:u w:val="none"/>
                <w:lang w:val="en-US" w:eastAsia="zh-CN" w:bidi="ar"/>
              </w:rPr>
              <w:t>100%</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E5768">
            <w:pPr>
              <w:jc w:val="center"/>
              <w:rPr>
                <w:rFonts w:hint="eastAsia" w:ascii="仿宋" w:hAnsi="仿宋" w:eastAsia="仿宋" w:cs="仿宋"/>
                <w:sz w:val="21"/>
                <w:szCs w:val="21"/>
              </w:rPr>
            </w:pPr>
          </w:p>
        </w:tc>
      </w:tr>
      <w:tr w14:paraId="715D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C1E3">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五</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F8EA">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建设期利息</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1A75">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37AD">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4125">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38B0">
            <w:pPr>
              <w:jc w:val="center"/>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8C27">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51.75</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F40A3">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0.89%</w:t>
            </w:r>
          </w:p>
        </w:tc>
      </w:tr>
      <w:tr w14:paraId="4174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C75F">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六</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D508">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固定资产投资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414D">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6010">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E15B">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7964">
            <w:pPr>
              <w:jc w:val="center"/>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28AE6">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5816.94</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99E3C">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100.00%</w:t>
            </w:r>
          </w:p>
        </w:tc>
      </w:tr>
      <w:tr w14:paraId="3074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6EC4">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八</w:t>
            </w:r>
          </w:p>
        </w:tc>
        <w:tc>
          <w:tcPr>
            <w:tcW w:w="10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323F">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项目总投资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19E7">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3AC4">
            <w:pPr>
              <w:jc w:val="center"/>
              <w:rPr>
                <w:rFonts w:hint="eastAsia" w:ascii="仿宋" w:hAnsi="仿宋" w:eastAsia="仿宋" w:cs="仿宋"/>
                <w:i w:val="0"/>
                <w:iCs w:val="0"/>
                <w:color w:val="FF0000"/>
                <w:sz w:val="21"/>
                <w:szCs w:val="21"/>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D590">
            <w:pPr>
              <w:jc w:val="center"/>
              <w:rPr>
                <w:rFonts w:hint="eastAsia" w:ascii="仿宋" w:hAnsi="仿宋" w:eastAsia="仿宋" w:cs="仿宋"/>
                <w:i w:val="0"/>
                <w:iCs w:val="0"/>
                <w:color w:val="FF0000"/>
                <w:sz w:val="21"/>
                <w:szCs w:val="21"/>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9615">
            <w:pPr>
              <w:jc w:val="center"/>
              <w:rPr>
                <w:rFonts w:hint="eastAsia" w:ascii="仿宋" w:hAnsi="仿宋" w:eastAsia="仿宋" w:cs="仿宋"/>
                <w:i w:val="0"/>
                <w:iCs w:val="0"/>
                <w:color w:val="FF0000"/>
                <w:sz w:val="21"/>
                <w:szCs w:val="21"/>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E399">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5816.94</w:t>
            </w:r>
          </w:p>
        </w:tc>
        <w:tc>
          <w:tcPr>
            <w:tcW w:w="1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C23F9">
            <w:pPr>
              <w:keepNext w:val="0"/>
              <w:keepLines w:val="0"/>
              <w:widowControl/>
              <w:suppressLineNumbers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100.00%</w:t>
            </w:r>
          </w:p>
        </w:tc>
      </w:tr>
    </w:tbl>
    <w:p w14:paraId="41B4C82A">
      <w:pPr>
        <w:rPr>
          <w:rFonts w:hint="eastAsia" w:ascii="仿宋" w:hAnsi="仿宋" w:eastAsia="仿宋" w:cs="仿宋"/>
          <w:b/>
          <w:bCs/>
          <w:i w:val="0"/>
          <w:iCs w:val="0"/>
          <w:color w:val="auto"/>
          <w:kern w:val="0"/>
          <w:sz w:val="28"/>
          <w:szCs w:val="28"/>
          <w:u w:val="none"/>
          <w:lang w:val="en-US" w:eastAsia="zh-CN"/>
        </w:rPr>
      </w:pPr>
      <w:r>
        <w:rPr>
          <w:rFonts w:hint="eastAsia" w:ascii="仿宋" w:hAnsi="仿宋" w:eastAsia="仿宋" w:cs="仿宋"/>
          <w:b/>
          <w:bCs/>
          <w:i w:val="0"/>
          <w:iCs w:val="0"/>
          <w:color w:val="auto"/>
          <w:kern w:val="0"/>
          <w:sz w:val="28"/>
          <w:szCs w:val="28"/>
          <w:u w:val="none"/>
          <w:lang w:val="en-US" w:eastAsia="zh-CN"/>
        </w:rPr>
        <w:br w:type="page"/>
      </w:r>
    </w:p>
    <w:p w14:paraId="37B8CE5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i w:val="0"/>
          <w:iCs w:val="0"/>
          <w:color w:val="auto"/>
          <w:kern w:val="0"/>
          <w:sz w:val="28"/>
          <w:szCs w:val="28"/>
          <w:u w:val="none"/>
          <w:lang w:val="en-US" w:eastAsia="zh-CN"/>
        </w:rPr>
      </w:pPr>
      <w:r>
        <w:rPr>
          <w:rFonts w:hint="eastAsia" w:ascii="仿宋" w:hAnsi="仿宋" w:eastAsia="仿宋" w:cs="仿宋"/>
          <w:b/>
          <w:bCs/>
          <w:i w:val="0"/>
          <w:iCs w:val="0"/>
          <w:color w:val="auto"/>
          <w:kern w:val="0"/>
          <w:sz w:val="28"/>
          <w:szCs w:val="28"/>
          <w:u w:val="none"/>
          <w:lang w:val="en-US" w:eastAsia="zh-CN"/>
        </w:rPr>
        <w:t>附表2：固定资产折旧表</w:t>
      </w:r>
      <w:bookmarkEnd w:id="4"/>
      <w:bookmarkEnd w:id="5"/>
      <w:bookmarkEnd w:id="6"/>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802"/>
        <w:gridCol w:w="1272"/>
        <w:gridCol w:w="946"/>
        <w:gridCol w:w="960"/>
        <w:gridCol w:w="1378"/>
        <w:gridCol w:w="1378"/>
        <w:gridCol w:w="1378"/>
        <w:gridCol w:w="1378"/>
        <w:gridCol w:w="1378"/>
        <w:gridCol w:w="1381"/>
      </w:tblGrid>
      <w:tr w14:paraId="1FA8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93" w:type="dxa"/>
            <w:gridSpan w:val="11"/>
            <w:tcBorders>
              <w:top w:val="nil"/>
              <w:left w:val="nil"/>
              <w:bottom w:val="nil"/>
              <w:right w:val="nil"/>
            </w:tcBorders>
            <w:shd w:val="clear" w:color="auto" w:fill="auto"/>
            <w:noWrap/>
            <w:vAlign w:val="center"/>
          </w:tcPr>
          <w:p w14:paraId="636E8F32">
            <w:pPr>
              <w:keepNext w:val="0"/>
              <w:keepLines w:val="0"/>
              <w:pageBreakBefore w:val="0"/>
              <w:widowControl/>
              <w:wordWrap/>
              <w:overflowPunct/>
              <w:topLinePunct w:val="0"/>
              <w:bidi w:val="0"/>
              <w:jc w:val="righ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08C0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2" w:type="dxa"/>
            <w:vMerge w:val="restart"/>
            <w:tcBorders>
              <w:top w:val="single" w:color="000000" w:sz="4" w:space="0"/>
              <w:left w:val="single" w:color="000000" w:sz="4" w:space="0"/>
              <w:right w:val="single" w:color="000000" w:sz="4" w:space="0"/>
            </w:tcBorders>
            <w:shd w:val="clear" w:color="auto" w:fill="auto"/>
            <w:vAlign w:val="center"/>
          </w:tcPr>
          <w:p w14:paraId="10E1D0B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1802" w:type="dxa"/>
            <w:vMerge w:val="restart"/>
            <w:tcBorders>
              <w:top w:val="single" w:color="000000" w:sz="4" w:space="0"/>
              <w:left w:val="single" w:color="000000" w:sz="4" w:space="0"/>
              <w:right w:val="single" w:color="000000" w:sz="4" w:space="0"/>
            </w:tcBorders>
            <w:shd w:val="clear" w:color="auto" w:fill="auto"/>
            <w:vAlign w:val="center"/>
          </w:tcPr>
          <w:p w14:paraId="57B160E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w:t>
            </w:r>
          </w:p>
        </w:tc>
        <w:tc>
          <w:tcPr>
            <w:tcW w:w="1272" w:type="dxa"/>
            <w:vMerge w:val="restart"/>
            <w:tcBorders>
              <w:top w:val="single" w:color="000000" w:sz="4" w:space="0"/>
              <w:left w:val="single" w:color="000000" w:sz="4" w:space="0"/>
              <w:right w:val="single" w:color="000000" w:sz="4" w:space="0"/>
            </w:tcBorders>
            <w:shd w:val="clear" w:color="auto" w:fill="auto"/>
            <w:vAlign w:val="center"/>
          </w:tcPr>
          <w:p w14:paraId="6707285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946" w:type="dxa"/>
            <w:vMerge w:val="restart"/>
            <w:tcBorders>
              <w:top w:val="single" w:color="000000" w:sz="4" w:space="0"/>
              <w:left w:val="single" w:color="000000" w:sz="4" w:space="0"/>
              <w:right w:val="single" w:color="000000" w:sz="4" w:space="0"/>
            </w:tcBorders>
            <w:shd w:val="clear" w:color="auto" w:fill="auto"/>
            <w:vAlign w:val="center"/>
          </w:tcPr>
          <w:p w14:paraId="434CDC9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残值率</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2B0B933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折旧年限</w:t>
            </w:r>
          </w:p>
        </w:tc>
        <w:tc>
          <w:tcPr>
            <w:tcW w:w="827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6AB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运营期</w:t>
            </w:r>
          </w:p>
        </w:tc>
      </w:tr>
      <w:tr w14:paraId="350D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42" w:type="dxa"/>
            <w:vMerge w:val="continue"/>
            <w:tcBorders>
              <w:left w:val="single" w:color="000000" w:sz="4" w:space="0"/>
              <w:bottom w:val="single" w:color="000000" w:sz="4" w:space="0"/>
              <w:right w:val="single" w:color="000000" w:sz="4" w:space="0"/>
            </w:tcBorders>
            <w:shd w:val="clear" w:color="auto" w:fill="auto"/>
            <w:vAlign w:val="center"/>
          </w:tcPr>
          <w:p w14:paraId="6B44160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802" w:type="dxa"/>
            <w:vMerge w:val="continue"/>
            <w:tcBorders>
              <w:left w:val="single" w:color="000000" w:sz="4" w:space="0"/>
              <w:bottom w:val="single" w:color="000000" w:sz="4" w:space="0"/>
              <w:right w:val="single" w:color="000000" w:sz="4" w:space="0"/>
            </w:tcBorders>
            <w:shd w:val="clear" w:color="auto" w:fill="auto"/>
            <w:vAlign w:val="center"/>
          </w:tcPr>
          <w:p w14:paraId="11A9897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272" w:type="dxa"/>
            <w:vMerge w:val="continue"/>
            <w:tcBorders>
              <w:left w:val="single" w:color="000000" w:sz="4" w:space="0"/>
              <w:bottom w:val="single" w:color="000000" w:sz="4" w:space="0"/>
              <w:right w:val="single" w:color="000000" w:sz="4" w:space="0"/>
            </w:tcBorders>
            <w:shd w:val="clear" w:color="auto" w:fill="auto"/>
            <w:vAlign w:val="center"/>
          </w:tcPr>
          <w:p w14:paraId="63B9730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46" w:type="dxa"/>
            <w:vMerge w:val="continue"/>
            <w:tcBorders>
              <w:left w:val="single" w:color="000000" w:sz="4" w:space="0"/>
              <w:bottom w:val="single" w:color="000000" w:sz="4" w:space="0"/>
              <w:right w:val="single" w:color="000000" w:sz="4" w:space="0"/>
            </w:tcBorders>
            <w:shd w:val="clear" w:color="auto" w:fill="auto"/>
            <w:vAlign w:val="center"/>
          </w:tcPr>
          <w:p w14:paraId="361C467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27B3123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nil"/>
              <w:left w:val="single" w:color="000000" w:sz="4" w:space="0"/>
              <w:bottom w:val="single" w:color="000000" w:sz="4" w:space="0"/>
              <w:right w:val="single" w:color="000000" w:sz="4" w:space="0"/>
            </w:tcBorders>
            <w:shd w:val="clear" w:color="auto" w:fill="auto"/>
            <w:vAlign w:val="center"/>
          </w:tcPr>
          <w:p w14:paraId="4F382B2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w:t>
            </w:r>
          </w:p>
        </w:tc>
        <w:tc>
          <w:tcPr>
            <w:tcW w:w="1378" w:type="dxa"/>
            <w:tcBorders>
              <w:top w:val="nil"/>
              <w:left w:val="single" w:color="000000" w:sz="4" w:space="0"/>
              <w:bottom w:val="single" w:color="000000" w:sz="4" w:space="0"/>
              <w:right w:val="single" w:color="000000" w:sz="4" w:space="0"/>
            </w:tcBorders>
            <w:shd w:val="clear" w:color="auto" w:fill="auto"/>
            <w:vAlign w:val="center"/>
          </w:tcPr>
          <w:p w14:paraId="55EBBDE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378" w:type="dxa"/>
            <w:tcBorders>
              <w:top w:val="nil"/>
              <w:left w:val="single" w:color="000000" w:sz="4" w:space="0"/>
              <w:bottom w:val="single" w:color="000000" w:sz="4" w:space="0"/>
              <w:right w:val="single" w:color="000000" w:sz="4" w:space="0"/>
            </w:tcBorders>
            <w:shd w:val="clear" w:color="auto" w:fill="auto"/>
            <w:vAlign w:val="center"/>
          </w:tcPr>
          <w:p w14:paraId="4E47FC5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378" w:type="dxa"/>
            <w:tcBorders>
              <w:top w:val="nil"/>
              <w:left w:val="single" w:color="000000" w:sz="4" w:space="0"/>
              <w:bottom w:val="single" w:color="000000" w:sz="4" w:space="0"/>
              <w:right w:val="single" w:color="000000" w:sz="4" w:space="0"/>
            </w:tcBorders>
            <w:shd w:val="clear" w:color="auto" w:fill="auto"/>
            <w:vAlign w:val="center"/>
          </w:tcPr>
          <w:p w14:paraId="1AC8FA0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378" w:type="dxa"/>
            <w:tcBorders>
              <w:top w:val="nil"/>
              <w:left w:val="single" w:color="000000" w:sz="4" w:space="0"/>
              <w:bottom w:val="single" w:color="000000" w:sz="4" w:space="0"/>
              <w:right w:val="single" w:color="000000" w:sz="4" w:space="0"/>
            </w:tcBorders>
            <w:shd w:val="clear" w:color="auto" w:fill="auto"/>
            <w:vAlign w:val="center"/>
          </w:tcPr>
          <w:p w14:paraId="03D1E67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381" w:type="dxa"/>
            <w:tcBorders>
              <w:top w:val="nil"/>
              <w:left w:val="single" w:color="000000" w:sz="4" w:space="0"/>
              <w:bottom w:val="single" w:color="000000" w:sz="4" w:space="0"/>
              <w:right w:val="single" w:color="000000" w:sz="4" w:space="0"/>
            </w:tcBorders>
            <w:shd w:val="clear" w:color="auto" w:fill="auto"/>
            <w:vAlign w:val="center"/>
          </w:tcPr>
          <w:p w14:paraId="2044E33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r>
      <w:tr w14:paraId="077B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338454F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339A9DE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附属物及设备折旧</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992266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7608EAA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0.05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FCEC1F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FFC028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5742490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6E85F20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9AA946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756804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6084E73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r w14:paraId="42CE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12B77F0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35B2E85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原值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04ED237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6325F49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7B051CE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714A228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5246.32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2BE23C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5121.72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21909CF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4872.52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7793C8C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4623.32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020BD31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4374.12 </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3796F8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4124.92 </w:t>
            </w:r>
          </w:p>
        </w:tc>
      </w:tr>
      <w:tr w14:paraId="107D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68D600A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2C0910B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当期折旧额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28F483C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2865.80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3C6F600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96DF09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D4B8B9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124.60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93CF82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7803D01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1048E33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7E2EBB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7E7A13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r>
      <w:tr w14:paraId="4A83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4BAC082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5B840BE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净值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6059AE9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34952FC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887AF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63B9678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5121.72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57E40A8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4872.52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5C88F5A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4623.32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EEEEB0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4374.12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78C659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4124.92 </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0D23D36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3875.72 </w:t>
            </w:r>
          </w:p>
        </w:tc>
      </w:tr>
      <w:tr w14:paraId="5E0F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1682E84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D88F51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折旧费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6A6DC53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2865.80 </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31B9D0C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50F1AA3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E6ABFD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124.60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5D4D7D9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9612AF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680F70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6B1BE60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C638B6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r>
      <w:tr w14:paraId="64AE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7F626E2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16E280B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无形资产摊销</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2AD21B2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3B608CA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F800C2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522A1AD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67D5737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6B76F7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7DC3F8A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61675B9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4C64292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r w14:paraId="6A13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0711607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34D8BA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原值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40BA3ED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5CFA5C6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DEAC0F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0452237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E505C7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1201AB2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D3A1C7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3F4A2D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764ECB4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r w14:paraId="0481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6DAE6A6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01A9772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当期折旧额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50E7ED9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1D20F8D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62CD126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7FE8854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AAE666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85C0A0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44971B9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49B4E7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2585626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r w14:paraId="638D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top"/>
          </w:tcPr>
          <w:p w14:paraId="70A8971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7089C88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净值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top"/>
          </w:tcPr>
          <w:p w14:paraId="115BE77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743D0D9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top"/>
          </w:tcPr>
          <w:p w14:paraId="06DDFE4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7AF098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6DF6BD3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0FA725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354A02A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14:paraId="250215B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top"/>
          </w:tcPr>
          <w:p w14:paraId="7A61C04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bl>
    <w:p w14:paraId="098BFEFA">
      <w:pPr>
        <w:rPr>
          <w:rFonts w:hint="eastAsia" w:ascii="仿宋" w:hAnsi="仿宋" w:eastAsia="仿宋" w:cs="仿宋"/>
          <w:lang w:val="en-US" w:eastAsia="zh-CN"/>
        </w:rPr>
      </w:pPr>
      <w:r>
        <w:rPr>
          <w:rFonts w:hint="eastAsia" w:ascii="仿宋" w:hAnsi="仿宋" w:eastAsia="仿宋" w:cs="仿宋"/>
          <w:lang w:val="en-US" w:eastAsia="zh-CN"/>
        </w:rPr>
        <w:br w:type="page"/>
      </w:r>
    </w:p>
    <w:p w14:paraId="4A11301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i w:val="0"/>
          <w:iCs w:val="0"/>
          <w:color w:val="auto"/>
          <w:kern w:val="0"/>
          <w:sz w:val="28"/>
          <w:szCs w:val="28"/>
          <w:u w:val="none"/>
          <w:lang w:val="en-US" w:eastAsia="zh-CN"/>
        </w:rPr>
      </w:pPr>
      <w:r>
        <w:rPr>
          <w:rFonts w:hint="eastAsia" w:ascii="仿宋" w:hAnsi="仿宋" w:eastAsia="仿宋" w:cs="仿宋"/>
          <w:b/>
          <w:bCs/>
          <w:i w:val="0"/>
          <w:iCs w:val="0"/>
          <w:color w:val="auto"/>
          <w:kern w:val="0"/>
          <w:sz w:val="28"/>
          <w:szCs w:val="28"/>
          <w:u w:val="none"/>
          <w:lang w:val="en-US" w:eastAsia="zh-CN"/>
        </w:rPr>
        <w:t>附表2：固定资产折旧表</w:t>
      </w:r>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802"/>
        <w:gridCol w:w="1272"/>
        <w:gridCol w:w="991"/>
        <w:gridCol w:w="975"/>
        <w:gridCol w:w="1368"/>
        <w:gridCol w:w="1368"/>
        <w:gridCol w:w="1368"/>
        <w:gridCol w:w="1368"/>
        <w:gridCol w:w="1368"/>
        <w:gridCol w:w="1371"/>
      </w:tblGrid>
      <w:tr w14:paraId="7E8F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93" w:type="dxa"/>
            <w:gridSpan w:val="11"/>
            <w:tcBorders>
              <w:top w:val="nil"/>
              <w:left w:val="nil"/>
              <w:bottom w:val="nil"/>
              <w:right w:val="nil"/>
            </w:tcBorders>
            <w:shd w:val="clear" w:color="auto" w:fill="auto"/>
            <w:noWrap/>
            <w:vAlign w:val="center"/>
          </w:tcPr>
          <w:p w14:paraId="2ED7A6B7">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单位：万元</w:t>
            </w:r>
          </w:p>
        </w:tc>
      </w:tr>
      <w:tr w14:paraId="6625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vMerge w:val="restart"/>
            <w:tcBorders>
              <w:top w:val="single" w:color="000000" w:sz="4" w:space="0"/>
              <w:left w:val="single" w:color="000000" w:sz="4" w:space="0"/>
              <w:right w:val="single" w:color="000000" w:sz="4" w:space="0"/>
            </w:tcBorders>
            <w:shd w:val="clear" w:color="auto" w:fill="auto"/>
            <w:vAlign w:val="center"/>
          </w:tcPr>
          <w:p w14:paraId="69220F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1802" w:type="dxa"/>
            <w:vMerge w:val="restart"/>
            <w:tcBorders>
              <w:top w:val="single" w:color="000000" w:sz="4" w:space="0"/>
              <w:left w:val="single" w:color="000000" w:sz="4" w:space="0"/>
              <w:right w:val="single" w:color="000000" w:sz="4" w:space="0"/>
            </w:tcBorders>
            <w:shd w:val="clear" w:color="auto" w:fill="auto"/>
            <w:vAlign w:val="center"/>
          </w:tcPr>
          <w:p w14:paraId="78AF23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项目</w:t>
            </w:r>
          </w:p>
        </w:tc>
        <w:tc>
          <w:tcPr>
            <w:tcW w:w="1272" w:type="dxa"/>
            <w:vMerge w:val="restart"/>
            <w:tcBorders>
              <w:top w:val="single" w:color="000000" w:sz="4" w:space="0"/>
              <w:left w:val="single" w:color="000000" w:sz="4" w:space="0"/>
              <w:right w:val="single" w:color="000000" w:sz="4" w:space="0"/>
            </w:tcBorders>
            <w:shd w:val="clear" w:color="auto" w:fill="auto"/>
            <w:vAlign w:val="center"/>
          </w:tcPr>
          <w:p w14:paraId="196F3B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991" w:type="dxa"/>
            <w:vMerge w:val="restart"/>
            <w:tcBorders>
              <w:top w:val="single" w:color="000000" w:sz="4" w:space="0"/>
              <w:left w:val="single" w:color="000000" w:sz="4" w:space="0"/>
              <w:right w:val="single" w:color="000000" w:sz="4" w:space="0"/>
            </w:tcBorders>
            <w:shd w:val="clear" w:color="auto" w:fill="auto"/>
            <w:vAlign w:val="center"/>
          </w:tcPr>
          <w:p w14:paraId="624D11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残值率</w:t>
            </w:r>
          </w:p>
        </w:tc>
        <w:tc>
          <w:tcPr>
            <w:tcW w:w="975" w:type="dxa"/>
            <w:vMerge w:val="restart"/>
            <w:tcBorders>
              <w:top w:val="single" w:color="000000" w:sz="4" w:space="0"/>
              <w:left w:val="single" w:color="000000" w:sz="4" w:space="0"/>
              <w:right w:val="single" w:color="000000" w:sz="4" w:space="0"/>
            </w:tcBorders>
            <w:shd w:val="clear" w:color="auto" w:fill="auto"/>
            <w:vAlign w:val="center"/>
          </w:tcPr>
          <w:p w14:paraId="6D8151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折旧年限</w:t>
            </w:r>
          </w:p>
        </w:tc>
        <w:tc>
          <w:tcPr>
            <w:tcW w:w="821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43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运营期</w:t>
            </w:r>
          </w:p>
        </w:tc>
      </w:tr>
      <w:tr w14:paraId="4014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742" w:type="dxa"/>
            <w:vMerge w:val="continue"/>
            <w:tcBorders>
              <w:left w:val="single" w:color="000000" w:sz="4" w:space="0"/>
              <w:bottom w:val="single" w:color="000000" w:sz="4" w:space="0"/>
              <w:right w:val="single" w:color="000000" w:sz="4" w:space="0"/>
            </w:tcBorders>
            <w:shd w:val="clear" w:color="auto" w:fill="auto"/>
            <w:vAlign w:val="center"/>
          </w:tcPr>
          <w:p w14:paraId="2AAB65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1802" w:type="dxa"/>
            <w:vMerge w:val="continue"/>
            <w:tcBorders>
              <w:left w:val="single" w:color="000000" w:sz="4" w:space="0"/>
              <w:bottom w:val="single" w:color="000000" w:sz="4" w:space="0"/>
              <w:right w:val="single" w:color="000000" w:sz="4" w:space="0"/>
            </w:tcBorders>
            <w:shd w:val="clear" w:color="auto" w:fill="auto"/>
            <w:vAlign w:val="center"/>
          </w:tcPr>
          <w:p w14:paraId="3096F4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1272" w:type="dxa"/>
            <w:vMerge w:val="continue"/>
            <w:tcBorders>
              <w:left w:val="single" w:color="000000" w:sz="4" w:space="0"/>
              <w:bottom w:val="single" w:color="000000" w:sz="4" w:space="0"/>
              <w:right w:val="single" w:color="000000" w:sz="4" w:space="0"/>
            </w:tcBorders>
            <w:shd w:val="clear" w:color="auto" w:fill="auto"/>
            <w:vAlign w:val="center"/>
          </w:tcPr>
          <w:p w14:paraId="0C5E77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91" w:type="dxa"/>
            <w:vMerge w:val="continue"/>
            <w:tcBorders>
              <w:left w:val="single" w:color="000000" w:sz="4" w:space="0"/>
              <w:bottom w:val="single" w:color="000000" w:sz="4" w:space="0"/>
              <w:right w:val="single" w:color="000000" w:sz="4" w:space="0"/>
            </w:tcBorders>
            <w:shd w:val="clear" w:color="auto" w:fill="auto"/>
            <w:vAlign w:val="center"/>
          </w:tcPr>
          <w:p w14:paraId="774606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75" w:type="dxa"/>
            <w:vMerge w:val="continue"/>
            <w:tcBorders>
              <w:left w:val="single" w:color="000000" w:sz="4" w:space="0"/>
              <w:bottom w:val="single" w:color="000000" w:sz="4" w:space="0"/>
              <w:right w:val="single" w:color="000000" w:sz="4" w:space="0"/>
            </w:tcBorders>
            <w:shd w:val="clear" w:color="auto" w:fill="auto"/>
            <w:vAlign w:val="center"/>
          </w:tcPr>
          <w:p w14:paraId="7964B5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1368" w:type="dxa"/>
            <w:tcBorders>
              <w:top w:val="nil"/>
              <w:left w:val="single" w:color="000000" w:sz="4" w:space="0"/>
              <w:bottom w:val="single" w:color="000000" w:sz="4" w:space="0"/>
              <w:right w:val="single" w:color="000000" w:sz="4" w:space="0"/>
            </w:tcBorders>
            <w:shd w:val="clear" w:color="auto" w:fill="auto"/>
            <w:vAlign w:val="center"/>
          </w:tcPr>
          <w:p w14:paraId="4D216B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1368" w:type="dxa"/>
            <w:tcBorders>
              <w:top w:val="nil"/>
              <w:left w:val="single" w:color="000000" w:sz="4" w:space="0"/>
              <w:bottom w:val="single" w:color="000000" w:sz="4" w:space="0"/>
              <w:right w:val="single" w:color="000000" w:sz="4" w:space="0"/>
            </w:tcBorders>
            <w:shd w:val="clear" w:color="auto" w:fill="auto"/>
            <w:vAlign w:val="center"/>
          </w:tcPr>
          <w:p w14:paraId="7E68C8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1368" w:type="dxa"/>
            <w:tcBorders>
              <w:top w:val="nil"/>
              <w:left w:val="single" w:color="000000" w:sz="4" w:space="0"/>
              <w:bottom w:val="single" w:color="000000" w:sz="4" w:space="0"/>
              <w:right w:val="single" w:color="000000" w:sz="4" w:space="0"/>
            </w:tcBorders>
            <w:shd w:val="clear" w:color="auto" w:fill="auto"/>
            <w:vAlign w:val="center"/>
          </w:tcPr>
          <w:p w14:paraId="62974A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1368" w:type="dxa"/>
            <w:tcBorders>
              <w:top w:val="nil"/>
              <w:left w:val="single" w:color="000000" w:sz="4" w:space="0"/>
              <w:bottom w:val="single" w:color="000000" w:sz="4" w:space="0"/>
              <w:right w:val="single" w:color="000000" w:sz="4" w:space="0"/>
            </w:tcBorders>
            <w:shd w:val="clear" w:color="auto" w:fill="auto"/>
            <w:vAlign w:val="center"/>
          </w:tcPr>
          <w:p w14:paraId="72ABCA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1368" w:type="dxa"/>
            <w:tcBorders>
              <w:top w:val="nil"/>
              <w:left w:val="single" w:color="000000" w:sz="4" w:space="0"/>
              <w:bottom w:val="single" w:color="000000" w:sz="4" w:space="0"/>
              <w:right w:val="single" w:color="000000" w:sz="4" w:space="0"/>
            </w:tcBorders>
            <w:shd w:val="clear" w:color="auto" w:fill="auto"/>
            <w:vAlign w:val="center"/>
          </w:tcPr>
          <w:p w14:paraId="04C7FB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1371" w:type="dxa"/>
            <w:tcBorders>
              <w:top w:val="nil"/>
              <w:left w:val="single" w:color="000000" w:sz="4" w:space="0"/>
              <w:bottom w:val="single" w:color="000000" w:sz="4" w:space="0"/>
              <w:right w:val="single" w:color="000000" w:sz="4" w:space="0"/>
            </w:tcBorders>
            <w:shd w:val="clear" w:color="auto" w:fill="auto"/>
            <w:vAlign w:val="center"/>
          </w:tcPr>
          <w:p w14:paraId="263E51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r>
      <w:tr w14:paraId="619EC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F98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4B9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附属物及设备折旧</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6C4F">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BDE7">
            <w:pPr>
              <w:keepNext w:val="0"/>
              <w:keepLines w:val="0"/>
              <w:pageBreakBefore w:val="0"/>
              <w:widowControl/>
              <w:suppressLineNumbers w:val="0"/>
              <w:kinsoku/>
              <w:wordWrap/>
              <w:overflowPunct/>
              <w:topLinePunct w:val="0"/>
              <w:bidi w:val="0"/>
              <w:adjustRightInd/>
              <w:snapToGrid/>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0.05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F883">
            <w:pPr>
              <w:keepNext w:val="0"/>
              <w:keepLines w:val="0"/>
              <w:pageBreakBefore w:val="0"/>
              <w:widowControl/>
              <w:suppressLineNumbers w:val="0"/>
              <w:kinsoku/>
              <w:wordWrap/>
              <w:overflowPunct/>
              <w:topLinePunct w:val="0"/>
              <w:bidi w:val="0"/>
              <w:adjustRightInd/>
              <w:snapToGrid/>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A89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842C">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FF28">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4C3A">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9A87">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9C30">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675D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84A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F37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原值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9B35">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1166">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120F">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5F3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3875.72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904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3626.52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8BC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3377.32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3BC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3128.12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B4F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2878.92 </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C9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2629.72 </w:t>
            </w:r>
          </w:p>
        </w:tc>
      </w:tr>
      <w:tr w14:paraId="3734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2AD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123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当期折旧额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DD90">
            <w:pPr>
              <w:keepNext w:val="0"/>
              <w:keepLines w:val="0"/>
              <w:pageBreakBefore w:val="0"/>
              <w:widowControl/>
              <w:suppressLineNumbers w:val="0"/>
              <w:kinsoku/>
              <w:wordWrap/>
              <w:overflowPunct/>
              <w:topLinePunct w:val="0"/>
              <w:bidi w:val="0"/>
              <w:adjustRightInd/>
              <w:snapToGrid/>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2865.80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63C7">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D1EA">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8E0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7C1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854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BD0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7E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0AE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r>
      <w:tr w14:paraId="24F8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334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E11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净值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CAB4">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97E9">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86C8">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B28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3626.52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60F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3377.32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1EB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3128.12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C4D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2878.92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24F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2629.72 </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B22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2380.52 </w:t>
            </w:r>
          </w:p>
        </w:tc>
      </w:tr>
      <w:tr w14:paraId="43D8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2E6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6C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折旧费</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0E2A">
            <w:pPr>
              <w:keepNext w:val="0"/>
              <w:keepLines w:val="0"/>
              <w:pageBreakBefore w:val="0"/>
              <w:widowControl/>
              <w:suppressLineNumbers w:val="0"/>
              <w:kinsoku/>
              <w:wordWrap/>
              <w:overflowPunct/>
              <w:topLinePunct w:val="0"/>
              <w:bidi w:val="0"/>
              <w:adjustRightInd/>
              <w:snapToGrid/>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2865.80 </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8C58">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D3CA">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1C3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703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10B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55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3A1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E8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r>
      <w:tr w14:paraId="51EE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64B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241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无形资产摊销</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940F">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536C">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7532">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7B98">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BA4">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5B19">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0B37">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33FE">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641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6A14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3896">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3.1</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79B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原值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290">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CF66">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F752">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D9F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989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BEB6">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B173">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F7CC">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4587">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3B79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EC2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3.2</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ECBC">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当期折旧额</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935C">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A271">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DCE0">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01C">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330">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2A4E">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A9CD">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71D5">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016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458F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4A2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3.3</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9AB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净值</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818A">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A564">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09C4">
            <w:pPr>
              <w:keepNext w:val="0"/>
              <w:keepLines w:val="0"/>
              <w:pageBreakBefore w:val="0"/>
              <w:widowControl/>
              <w:kinsoku/>
              <w:wordWrap/>
              <w:overflowPunct/>
              <w:topLinePunct w:val="0"/>
              <w:bidi w:val="0"/>
              <w:adjustRightInd/>
              <w:snapToGrid/>
              <w:jc w:val="center"/>
              <w:rPr>
                <w:rFonts w:hint="eastAsia" w:ascii="仿宋" w:hAnsi="仿宋" w:eastAsia="仿宋" w:cs="仿宋"/>
                <w:i w:val="0"/>
                <w:iCs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8A88">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08B9">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70B5">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1034">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3C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503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bl>
    <w:p w14:paraId="2CC45F76">
      <w:pPr>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br w:type="page"/>
      </w:r>
    </w:p>
    <w:p w14:paraId="2EA0D3B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i w:val="0"/>
          <w:iCs w:val="0"/>
          <w:color w:val="auto"/>
          <w:kern w:val="0"/>
          <w:sz w:val="28"/>
          <w:szCs w:val="28"/>
          <w:u w:val="none"/>
          <w:lang w:val="en-US" w:eastAsia="zh-CN"/>
        </w:rPr>
      </w:pPr>
      <w:bookmarkStart w:id="7" w:name="_Toc614"/>
      <w:bookmarkStart w:id="8" w:name="_Toc16695"/>
      <w:bookmarkStart w:id="9" w:name="_Toc10373"/>
      <w:r>
        <w:rPr>
          <w:rFonts w:hint="eastAsia" w:ascii="仿宋" w:hAnsi="仿宋" w:eastAsia="仿宋" w:cs="仿宋"/>
          <w:b/>
          <w:bCs/>
          <w:i w:val="0"/>
          <w:iCs w:val="0"/>
          <w:color w:val="auto"/>
          <w:kern w:val="0"/>
          <w:sz w:val="28"/>
          <w:szCs w:val="28"/>
          <w:u w:val="none"/>
          <w:lang w:val="en-US" w:eastAsia="zh-CN"/>
        </w:rPr>
        <w:t>附表3：营业收入及税金表</w:t>
      </w:r>
      <w:bookmarkEnd w:id="7"/>
      <w:bookmarkEnd w:id="8"/>
      <w:bookmarkEnd w:id="9"/>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295"/>
        <w:gridCol w:w="1170"/>
        <w:gridCol w:w="1593"/>
        <w:gridCol w:w="1593"/>
        <w:gridCol w:w="1593"/>
        <w:gridCol w:w="1593"/>
        <w:gridCol w:w="1593"/>
        <w:gridCol w:w="1596"/>
      </w:tblGrid>
      <w:tr w14:paraId="382B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blHeader/>
        </w:trPr>
        <w:tc>
          <w:tcPr>
            <w:tcW w:w="13993" w:type="dxa"/>
            <w:gridSpan w:val="9"/>
            <w:tcBorders>
              <w:top w:val="nil"/>
              <w:left w:val="nil"/>
              <w:bottom w:val="nil"/>
              <w:right w:val="nil"/>
            </w:tcBorders>
            <w:shd w:val="clear" w:color="auto" w:fill="auto"/>
            <w:noWrap/>
            <w:vAlign w:val="center"/>
          </w:tcPr>
          <w:p w14:paraId="1ADA0086">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42A8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118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2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DF6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532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95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712F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计算期</w:t>
            </w:r>
          </w:p>
        </w:tc>
      </w:tr>
      <w:tr w14:paraId="7445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59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2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3DF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89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9C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0.5</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F7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A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A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ED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DB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r>
      <w:tr w14:paraId="26F32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4CAD">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743D">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营业收入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13C9">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snapToGrid w:val="0"/>
                <w:color w:val="000000"/>
                <w:kern w:val="0"/>
                <w:sz w:val="21"/>
                <w:szCs w:val="21"/>
                <w:u w:val="none"/>
                <w:lang w:val="en-US" w:eastAsia="zh-CN" w:bidi="ar"/>
              </w:rPr>
            </w:pPr>
            <w:r>
              <w:rPr>
                <w:rFonts w:hint="default" w:ascii="仿宋" w:hAnsi="仿宋" w:eastAsia="仿宋" w:cs="仿宋"/>
                <w:b/>
                <w:bCs/>
                <w:i w:val="0"/>
                <w:iCs w:val="0"/>
                <w:snapToGrid w:val="0"/>
                <w:color w:val="000000"/>
                <w:kern w:val="0"/>
                <w:sz w:val="21"/>
                <w:szCs w:val="21"/>
                <w:u w:val="none"/>
                <w:lang w:val="en-US" w:eastAsia="zh-CN" w:bidi="ar"/>
              </w:rPr>
              <w:t>9495.14</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48E2">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412.06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FEC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825.48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3F61">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826.83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FE06">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828.19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300F">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829.56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9E37">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829.45 </w:t>
            </w:r>
          </w:p>
        </w:tc>
      </w:tr>
      <w:tr w14:paraId="6AB6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F56E">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AE8D">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光伏收入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7786">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4351.77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792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202.61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9EB7">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403.59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3480">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401.98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1FD8">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400.37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C44B">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398.77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A1C3">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397.17 </w:t>
            </w:r>
          </w:p>
        </w:tc>
      </w:tr>
      <w:tr w14:paraId="3985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E3B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05A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装机容量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5DC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806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5896.44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446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5872.85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DC3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5849.36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EC6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5825.97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715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5802.66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CDC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5779.45 </w:t>
            </w:r>
          </w:p>
        </w:tc>
      </w:tr>
      <w:tr w14:paraId="620B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67D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274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衰减值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D2A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8C3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F8F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11C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92C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BB4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845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r>
      <w:tr w14:paraId="3C10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ACD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635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1KW 光伏装机容量平均日发电量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27F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E90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AE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38A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670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E85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3.35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A3F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3.35 </w:t>
            </w:r>
          </w:p>
        </w:tc>
      </w:tr>
      <w:tr w14:paraId="1EAE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F27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787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年发电天数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EB4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871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CF2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127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8AF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74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371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r>
      <w:tr w14:paraId="6EA9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7C2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307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工商业用电平均电价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6CF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862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BB8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7BD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4D8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FD2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0.57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E1A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0.57 </w:t>
            </w:r>
          </w:p>
        </w:tc>
      </w:tr>
      <w:tr w14:paraId="47794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B347">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960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储能收入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ECC0">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4646.74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26C6">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202.03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EA2E">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404.06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4FC0">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404.06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AD5C">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404.06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EFB8">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404.06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34B">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404.06 </w:t>
            </w:r>
          </w:p>
        </w:tc>
      </w:tr>
      <w:tr w14:paraId="4348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15A">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1.2.1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BB37">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峰谷价差加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561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B89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0.61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83B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2B4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DFE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FC8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255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r>
      <w:tr w14:paraId="6C52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5C5D">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1.2.2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AFA2">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360天一充一放扣能耗（万kwh/n)</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1DE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69A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18400.00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B9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18400.00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F68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18400.00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D7E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18400.00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405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18400.00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D2A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18400.00 </w:t>
            </w:r>
          </w:p>
        </w:tc>
      </w:tr>
      <w:tr w14:paraId="2A23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9E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EAC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600kw充电桩收入</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19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294.03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616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7.43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9C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17.82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D28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20.79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7E2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23.76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E90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26.73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370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28.22 </w:t>
            </w:r>
          </w:p>
        </w:tc>
      </w:tr>
      <w:tr w14:paraId="0653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030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D21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充电桩数量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7D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2DC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E7A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DD1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5C6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07C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78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 </w:t>
            </w:r>
          </w:p>
        </w:tc>
      </w:tr>
      <w:tr w14:paraId="528A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3AF">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DEBD">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充电使用率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740">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5C52">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61B8">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328D">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14C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80%</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15D6">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90%</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C452">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95%</w:t>
            </w:r>
          </w:p>
        </w:tc>
      </w:tr>
      <w:tr w14:paraId="12B5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D51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706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收费标准</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B53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10C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10E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4B9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F26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0D2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0.55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F00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0.55 </w:t>
            </w:r>
          </w:p>
        </w:tc>
      </w:tr>
      <w:tr w14:paraId="1659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CFC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169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充电桩每小时充电量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2C6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9E9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954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9AA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AAE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1B3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600.00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A6F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600.00 </w:t>
            </w:r>
          </w:p>
        </w:tc>
      </w:tr>
      <w:tr w14:paraId="42E0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B60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1E6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充电小时数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666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FFF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A2A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C64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E8D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F5B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0.50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63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0.50 </w:t>
            </w:r>
          </w:p>
        </w:tc>
      </w:tr>
      <w:tr w14:paraId="3371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3C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B12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年运营时间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761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4A5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C8A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299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EE9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582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EE8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360.00 </w:t>
            </w:r>
          </w:p>
        </w:tc>
      </w:tr>
      <w:tr w14:paraId="519E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267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12B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营业税金与附加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D54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117.14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120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5.11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FE1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10.21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1DC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10.22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482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10.23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148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10.23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66E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 xml:space="preserve">10.22 </w:t>
            </w:r>
          </w:p>
        </w:tc>
      </w:tr>
      <w:tr w14:paraId="08DE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12B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595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AA2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C85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BDD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E6C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C1C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342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0BB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r w14:paraId="5597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778">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3636">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消费税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EE2C">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D055">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AC70">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B35E">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F504">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F2CF">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872D">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r>
      <w:tr w14:paraId="09E4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B7E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394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城市建设维护税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D8F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82.00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F3D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409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7.15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EBE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7.15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41F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7.16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186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7.16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A6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7.16 </w:t>
            </w:r>
          </w:p>
        </w:tc>
      </w:tr>
      <w:tr w14:paraId="7F69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276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30F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教育费附加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DF8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35.14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A94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1.53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DE1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3.06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36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3.07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E72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3.07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BCE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3.07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149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3.07 </w:t>
            </w:r>
          </w:p>
        </w:tc>
      </w:tr>
      <w:tr w14:paraId="72C3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7D7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674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增值税</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170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1171.43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25C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51.05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68D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102.15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289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6FF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44B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102.32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0C1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102.24 </w:t>
            </w:r>
          </w:p>
        </w:tc>
      </w:tr>
      <w:tr w14:paraId="57ADD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2AB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0CE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销项税额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F19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1222.61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B12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53.27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C9E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106.60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427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106.66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02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106.71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672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106.77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60C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106.70 </w:t>
            </w:r>
          </w:p>
        </w:tc>
      </w:tr>
      <w:tr w14:paraId="02C8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4D9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72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进项税额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1F4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51.17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EEB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2.22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737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4.45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896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4.45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CCE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4.45 </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E12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4.46 </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B15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4.46 </w:t>
            </w:r>
          </w:p>
        </w:tc>
      </w:tr>
    </w:tbl>
    <w:p w14:paraId="71CF0E59">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B1B8F4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i w:val="0"/>
          <w:iCs w:val="0"/>
          <w:color w:val="auto"/>
          <w:kern w:val="0"/>
          <w:sz w:val="28"/>
          <w:szCs w:val="28"/>
          <w:u w:val="none"/>
          <w:lang w:val="en-US" w:eastAsia="zh-CN"/>
        </w:rPr>
      </w:pPr>
      <w:r>
        <w:rPr>
          <w:rFonts w:hint="eastAsia" w:ascii="仿宋" w:hAnsi="仿宋" w:eastAsia="仿宋" w:cs="仿宋"/>
          <w:b/>
          <w:bCs/>
          <w:i w:val="0"/>
          <w:iCs w:val="0"/>
          <w:color w:val="auto"/>
          <w:kern w:val="0"/>
          <w:sz w:val="28"/>
          <w:szCs w:val="28"/>
          <w:u w:val="none"/>
          <w:lang w:val="en-US" w:eastAsia="zh-CN"/>
        </w:rPr>
        <w:t>附表3：营业收入及税金表</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7"/>
        <w:gridCol w:w="4184"/>
        <w:gridCol w:w="1188"/>
        <w:gridCol w:w="1310"/>
        <w:gridCol w:w="1310"/>
        <w:gridCol w:w="1310"/>
        <w:gridCol w:w="1310"/>
        <w:gridCol w:w="1310"/>
        <w:gridCol w:w="1335"/>
      </w:tblGrid>
      <w:tr w14:paraId="372E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blHeader/>
        </w:trPr>
        <w:tc>
          <w:tcPr>
            <w:tcW w:w="5000" w:type="pct"/>
            <w:gridSpan w:val="9"/>
            <w:tcBorders>
              <w:top w:val="nil"/>
              <w:left w:val="nil"/>
              <w:bottom w:val="nil"/>
              <w:right w:val="nil"/>
            </w:tcBorders>
            <w:shd w:val="clear" w:color="auto" w:fill="auto"/>
            <w:noWrap/>
            <w:vAlign w:val="center"/>
          </w:tcPr>
          <w:p w14:paraId="3CC7E29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5EEB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7B1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1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77E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项目</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F8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27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3A71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计算期</w:t>
            </w:r>
          </w:p>
        </w:tc>
      </w:tr>
      <w:tr w14:paraId="38193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C4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AB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9C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B9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8B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5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E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25E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A9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r>
      <w:tr w14:paraId="4C31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F287">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D68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营业收入</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FF0F">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snapToGrid w:val="0"/>
                <w:color w:val="000000"/>
                <w:kern w:val="0"/>
                <w:sz w:val="21"/>
                <w:szCs w:val="21"/>
                <w:u w:val="none"/>
                <w:lang w:val="en-US" w:eastAsia="zh-CN" w:bidi="ar"/>
              </w:rPr>
              <w:t>9495.14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2E53">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827.86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E2BD">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826.28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42D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824.70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C781">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823.13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E2A38">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821.57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FA0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820.01</w:t>
            </w:r>
          </w:p>
        </w:tc>
      </w:tr>
      <w:tr w14:paraId="60C5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1039">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D658">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光伏收入</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6FD7">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4351.77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A3B5">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395.58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B7A25">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394.00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76D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392.43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496C">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390.86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48F3">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389.29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8369">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387.74</w:t>
            </w:r>
          </w:p>
        </w:tc>
      </w:tr>
      <w:tr w14:paraId="4ABB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8EE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058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装机容量</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50F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AB4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5756.33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5F5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5733.31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2E0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5710.37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F79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5687.53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B58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5664.78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C64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5642.12</w:t>
            </w:r>
          </w:p>
        </w:tc>
      </w:tr>
      <w:tr w14:paraId="7A58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610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1.1.2</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057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衰减值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3D8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243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160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761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A850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030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9EC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0.40%</w:t>
            </w:r>
          </w:p>
        </w:tc>
      </w:tr>
      <w:tr w14:paraId="7760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182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1.1.3</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BD4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1KW 光伏装机容量平均日发电量</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126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93E1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4BE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32B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193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3.35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BDE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3.35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836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3.35</w:t>
            </w:r>
          </w:p>
        </w:tc>
      </w:tr>
      <w:tr w14:paraId="6326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6CE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1.1.4</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090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年发电天数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5C6C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49A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43C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DD6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180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950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D3D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r>
      <w:tr w14:paraId="6896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B2F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1.1.5</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11B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工商业用电平均电价</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54E2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993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9B1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704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2EE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872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0.57</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0963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0.57</w:t>
            </w:r>
          </w:p>
        </w:tc>
      </w:tr>
      <w:tr w14:paraId="326B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7C5A">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1.2</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A3F7">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储能收入</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C232">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4646.74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BB41">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404.06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5CE5">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404.06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9D5F">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404.06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6ECE">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404.06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8EE4">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404.06</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8E52">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404.06</w:t>
            </w:r>
          </w:p>
        </w:tc>
      </w:tr>
      <w:tr w14:paraId="6B2B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ABC7">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1.2.1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C00B">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峰谷价差加</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A85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6AD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8D3D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FCE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ACB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504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7E5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0.61</w:t>
            </w:r>
          </w:p>
        </w:tc>
      </w:tr>
      <w:tr w14:paraId="3128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DE23">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snapToGrid w:val="0"/>
                <w:color w:val="000000"/>
                <w:kern w:val="0"/>
                <w:sz w:val="21"/>
                <w:szCs w:val="21"/>
                <w:u w:val="none"/>
                <w:lang w:val="en-US" w:eastAsia="zh-CN" w:bidi="ar"/>
              </w:rPr>
              <w:t>1.2.2</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ADC1">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360天一充一放扣能耗（万kwh/n)</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CF6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5ED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18400.00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A7A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18400.00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2D5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18400.00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D10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18400.00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D52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18400.00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E84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18400.00</w:t>
            </w:r>
          </w:p>
        </w:tc>
      </w:tr>
      <w:tr w14:paraId="197F7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CD9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1.3</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81B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600kw充电桩收入</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7B5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294.03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D41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28.22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B97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28.22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342D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28.22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2F1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28.22</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91B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28.22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4F4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28.22</w:t>
            </w:r>
          </w:p>
        </w:tc>
      </w:tr>
      <w:tr w14:paraId="22D4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5F1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94E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充电桩数量</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07E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39A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FB6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BAA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84C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FAB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B46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5.00</w:t>
            </w:r>
          </w:p>
        </w:tc>
      </w:tr>
      <w:tr w14:paraId="187A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10EA">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1.3.2</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CD6E">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充电使用率</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45B6">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5816">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7CF3">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06E3">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7B89">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3071">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B5E6">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95%</w:t>
            </w:r>
          </w:p>
        </w:tc>
      </w:tr>
      <w:tr w14:paraId="0635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3E3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1.3.3</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766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收费标准</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C5B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549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DCA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275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350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CA7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0.55</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1E8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0.55</w:t>
            </w:r>
          </w:p>
        </w:tc>
      </w:tr>
      <w:tr w14:paraId="5C67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257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1.3.4</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161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充电桩每小时充电量</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E0C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C610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220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FAB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A0E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8B9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A36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600.00</w:t>
            </w:r>
          </w:p>
        </w:tc>
      </w:tr>
      <w:tr w14:paraId="6CC2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66B3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1.3.5</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6EA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充电小时数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4FC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75C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F63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55A5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CD7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EBF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0FBF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0.50</w:t>
            </w:r>
          </w:p>
        </w:tc>
      </w:tr>
      <w:tr w14:paraId="4037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EEF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1.3.6</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A9E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年运营时间</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603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50D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7C5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6F0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96A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F39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D6AE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360.00</w:t>
            </w:r>
          </w:p>
        </w:tc>
      </w:tr>
      <w:tr w14:paraId="2BEA1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F03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2</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188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营业税金与附加</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2FF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117.14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48A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10.20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BC2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10.18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250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10.16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F05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10.14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334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10.12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76C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snapToGrid w:val="0"/>
                <w:color w:val="000000"/>
                <w:kern w:val="0"/>
                <w:sz w:val="21"/>
                <w:szCs w:val="21"/>
                <w:u w:val="none"/>
                <w:lang w:val="en-US" w:eastAsia="zh-CN" w:bidi="ar"/>
              </w:rPr>
              <w:t>10.10</w:t>
            </w:r>
          </w:p>
        </w:tc>
      </w:tr>
      <w:tr w14:paraId="723F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092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CF1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营业税</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B1E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E7E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35A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8B1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596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97C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EA7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r w14:paraId="1E4A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9DD2">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2.2</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367F">
            <w:pPr>
              <w:keepNext w:val="0"/>
              <w:keepLines w:val="0"/>
              <w:pageBreakBefore w:val="0"/>
              <w:widowControl/>
              <w:suppressLineNumbers w:val="0"/>
              <w:wordWrap/>
              <w:overflowPunct/>
              <w:topLinePunct w:val="0"/>
              <w:bidi w:val="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消费税</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A180">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C2B5">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5383">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E0AD">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E7C3">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540D">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2616">
            <w:pPr>
              <w:keepNext w:val="0"/>
              <w:keepLines w:val="0"/>
              <w:pageBreakBefore w:val="0"/>
              <w:widowControl/>
              <w:wordWrap/>
              <w:overflowPunct/>
              <w:topLinePunct w:val="0"/>
              <w:bidi w:val="0"/>
              <w:jc w:val="center"/>
              <w:rPr>
                <w:rFonts w:hint="eastAsia" w:ascii="仿宋" w:hAnsi="仿宋" w:eastAsia="仿宋" w:cs="仿宋"/>
                <w:b/>
                <w:bCs/>
                <w:i w:val="0"/>
                <w:iCs w:val="0"/>
                <w:color w:val="000000"/>
                <w:kern w:val="0"/>
                <w:sz w:val="21"/>
                <w:szCs w:val="21"/>
                <w:u w:val="none"/>
                <w:lang w:val="en-US" w:eastAsia="zh-CN" w:bidi="ar"/>
              </w:rPr>
            </w:pPr>
          </w:p>
        </w:tc>
      </w:tr>
      <w:tr w14:paraId="2A03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7F0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2.3</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B273">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城市建设维护税</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FBEE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82.00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708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7.14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661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7.13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17C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7.11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0A3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7.10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F68A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7.09</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606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7.07</w:t>
            </w:r>
          </w:p>
        </w:tc>
      </w:tr>
      <w:tr w14:paraId="4804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32E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2.4</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D8A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教育费附加</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8F5A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35.14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9FC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3.06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CB0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3.06</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7CD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3.05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40F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3.04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BE58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3.04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689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3.03</w:t>
            </w:r>
          </w:p>
        </w:tc>
      </w:tr>
      <w:tr w14:paraId="74098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3BA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A1D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增值税</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0DD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1171.43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4F0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102.04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47C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101.84</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F0F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101.63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034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101.43</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AFC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101.23</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04D1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101.03</w:t>
            </w:r>
          </w:p>
        </w:tc>
      </w:tr>
      <w:tr w14:paraId="6B33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94F8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3.1</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83D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销项税额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9BB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1222.61</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5D4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106.49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9AA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106.29</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1FA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106.08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EB1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105.88</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C1D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105.68</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6DF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105.47</w:t>
            </w:r>
          </w:p>
        </w:tc>
      </w:tr>
      <w:tr w14:paraId="7622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A6E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3.2</w:t>
            </w:r>
          </w:p>
        </w:tc>
        <w:tc>
          <w:tcPr>
            <w:tcW w:w="1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B1F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进项税额</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2A2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51.17</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BC1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139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282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B62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4.45</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172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4.44</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39D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4.44</w:t>
            </w:r>
          </w:p>
        </w:tc>
      </w:tr>
    </w:tbl>
    <w:p w14:paraId="1B910556">
      <w:pPr>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1D183D4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i w:val="0"/>
          <w:iCs w:val="0"/>
          <w:color w:val="auto"/>
          <w:kern w:val="0"/>
          <w:sz w:val="28"/>
          <w:szCs w:val="28"/>
          <w:u w:val="none"/>
          <w:lang w:val="en-US" w:eastAsia="zh-CN"/>
        </w:rPr>
      </w:pPr>
      <w:bookmarkStart w:id="10" w:name="_Toc6072"/>
      <w:bookmarkStart w:id="11" w:name="_Toc27140"/>
      <w:bookmarkStart w:id="12" w:name="_Toc6038"/>
      <w:r>
        <w:rPr>
          <w:rFonts w:hint="eastAsia" w:ascii="仿宋" w:hAnsi="仿宋" w:eastAsia="仿宋" w:cs="仿宋"/>
          <w:b/>
          <w:bCs/>
          <w:i w:val="0"/>
          <w:iCs w:val="0"/>
          <w:color w:val="auto"/>
          <w:kern w:val="0"/>
          <w:sz w:val="28"/>
          <w:szCs w:val="28"/>
          <w:u w:val="none"/>
          <w:lang w:val="en-US" w:eastAsia="zh-CN"/>
        </w:rPr>
        <w:t>附表4：总成本费用表</w:t>
      </w:r>
      <w:bookmarkEnd w:id="10"/>
      <w:bookmarkEnd w:id="11"/>
      <w:bookmarkEnd w:id="12"/>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461"/>
        <w:gridCol w:w="1169"/>
        <w:gridCol w:w="1588"/>
        <w:gridCol w:w="1588"/>
        <w:gridCol w:w="1588"/>
        <w:gridCol w:w="1588"/>
        <w:gridCol w:w="1588"/>
        <w:gridCol w:w="1591"/>
      </w:tblGrid>
      <w:tr w14:paraId="5432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13963" w:type="dxa"/>
            <w:gridSpan w:val="9"/>
            <w:tcBorders>
              <w:top w:val="nil"/>
              <w:left w:val="nil"/>
              <w:bottom w:val="nil"/>
              <w:right w:val="nil"/>
            </w:tcBorders>
            <w:shd w:val="clear" w:color="auto" w:fill="auto"/>
            <w:noWrap/>
            <w:vAlign w:val="center"/>
          </w:tcPr>
          <w:p w14:paraId="0DEC94DA">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 w:hAnsi="仿宋" w:eastAsia="仿宋" w:cs="仿宋"/>
                <w:i w:val="0"/>
                <w:iCs w:val="0"/>
                <w:color w:val="000000"/>
                <w:kern w:val="0"/>
                <w:sz w:val="21"/>
                <w:szCs w:val="21"/>
                <w:u w:val="none"/>
                <w:lang w:val="en-US" w:eastAsia="zh-CN" w:bidi="ar"/>
              </w:rPr>
            </w:pPr>
            <w:bookmarkStart w:id="13" w:name="_Toc32655"/>
            <w:r>
              <w:rPr>
                <w:rFonts w:hint="eastAsia" w:ascii="仿宋" w:hAnsi="仿宋" w:eastAsia="仿宋" w:cs="仿宋"/>
                <w:i w:val="0"/>
                <w:iCs w:val="0"/>
                <w:color w:val="000000"/>
                <w:kern w:val="0"/>
                <w:sz w:val="21"/>
                <w:szCs w:val="21"/>
                <w:u w:val="none"/>
                <w:lang w:val="en-US" w:eastAsia="zh-CN" w:bidi="ar"/>
              </w:rPr>
              <w:t>单位：万元</w:t>
            </w:r>
          </w:p>
        </w:tc>
      </w:tr>
      <w:tr w14:paraId="637C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EEB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2D1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项目</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2A5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95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0F3E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计算期</w:t>
            </w:r>
          </w:p>
        </w:tc>
      </w:tr>
      <w:tr w14:paraId="1DDF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63E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59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2D6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E3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0.5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C4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9A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31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94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DF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r>
      <w:tr w14:paraId="4CE7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3D5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bookmarkStart w:id="22" w:name="_GoBack" w:colFirst="0" w:colLast="0"/>
            <w:r>
              <w:rPr>
                <w:rFonts w:hint="eastAsia" w:ascii="仿宋" w:hAnsi="仿宋" w:eastAsia="仿宋" w:cs="仿宋"/>
                <w:i w:val="0"/>
                <w:iCs w:val="0"/>
                <w:snapToGrid w:val="0"/>
                <w:color w:val="000000"/>
                <w:kern w:val="0"/>
                <w:sz w:val="21"/>
                <w:szCs w:val="21"/>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11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外购燃料及动力费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963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262.18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B3E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11.38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5D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22.80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111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22.80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0C1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22.80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E08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22.80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7A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22.80 </w:t>
            </w:r>
          </w:p>
        </w:tc>
      </w:tr>
      <w:tr w14:paraId="03BE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10C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F72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工资及福利费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00C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575.00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5CE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25.00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29E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151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BE2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815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50.00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1E0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50.00 </w:t>
            </w:r>
          </w:p>
        </w:tc>
      </w:tr>
      <w:tr w14:paraId="69C2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99D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20A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保洁维护费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607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229.26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FE5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9.97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AA3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19.94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F4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19.94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CB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19.94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868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19.94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7ED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19.94 </w:t>
            </w:r>
          </w:p>
        </w:tc>
      </w:tr>
      <w:tr w14:paraId="0E72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B73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A2D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管理费及其他</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11C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189.90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8A0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8.24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FF2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16.51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626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16.54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87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16.56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091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16.59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CA1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16.59 </w:t>
            </w:r>
          </w:p>
        </w:tc>
      </w:tr>
      <w:tr w14:paraId="5C30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FC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57F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经营成本（1+2+3+4）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47B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1256.35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A273">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54.59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6F12">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109.25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E589">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109.27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16E1">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109.30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B121">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109.33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C552">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109.33 </w:t>
            </w:r>
          </w:p>
        </w:tc>
      </w:tr>
      <w:tr w14:paraId="07E0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18A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65A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折旧费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C47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2865.80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A1F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124.60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CBA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B60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F91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CF9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F17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249.20 </w:t>
            </w:r>
          </w:p>
        </w:tc>
      </w:tr>
      <w:tr w14:paraId="0446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004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78E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摊销费</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A119">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7F4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417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7CDC">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9853">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8FC">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4560">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0924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8FA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9F4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利息支出</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534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1294.31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00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101.81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B08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193.05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554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178.20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F79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162.68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1D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146.25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3ED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129.15 </w:t>
            </w:r>
          </w:p>
        </w:tc>
      </w:tr>
      <w:tr w14:paraId="65F1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7A5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69A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总成本费用合计（6+7+8+9）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01B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5416.46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2F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281.00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2A95">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551.50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FC5">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536.67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ED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521.18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CA65">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504.78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6B3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487.68 </w:t>
            </w:r>
          </w:p>
        </w:tc>
      </w:tr>
      <w:tr w14:paraId="2A49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B61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9.1 </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7F8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其中：固定成本</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A2C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4350.02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DD00">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234.65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01C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458.76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ED4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443.94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C89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428.44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AD9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412.04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CE79">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394.94 </w:t>
            </w:r>
          </w:p>
        </w:tc>
      </w:tr>
      <w:tr w14:paraId="44DE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ACF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9.2 </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19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可变成本</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762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837.18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057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36.38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371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72.80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BFD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72.80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DE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72.80 </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87D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72.80 </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EC1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72.80 </w:t>
            </w:r>
          </w:p>
        </w:tc>
      </w:tr>
      <w:bookmarkEnd w:id="22"/>
    </w:tbl>
    <w:p w14:paraId="38A48960">
      <w:pPr>
        <w:rPr>
          <w:rFonts w:hint="eastAsia" w:ascii="仿宋" w:hAnsi="仿宋" w:eastAsia="仿宋" w:cs="仿宋"/>
          <w:b/>
          <w:bCs/>
          <w:lang w:val="en-US" w:eastAsia="zh-CN"/>
        </w:rPr>
      </w:pPr>
      <w:r>
        <w:rPr>
          <w:rFonts w:hint="eastAsia" w:ascii="仿宋" w:hAnsi="仿宋" w:eastAsia="仿宋" w:cs="仿宋"/>
          <w:b/>
          <w:bCs/>
          <w:lang w:val="en-US" w:eastAsia="zh-CN"/>
        </w:rPr>
        <w:br w:type="page"/>
      </w:r>
    </w:p>
    <w:p w14:paraId="57BF3AF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i w:val="0"/>
          <w:iCs w:val="0"/>
          <w:color w:val="auto"/>
          <w:kern w:val="0"/>
          <w:sz w:val="28"/>
          <w:szCs w:val="28"/>
          <w:u w:val="none"/>
          <w:lang w:val="en-US" w:eastAsia="zh-CN"/>
        </w:rPr>
      </w:pPr>
      <w:r>
        <w:rPr>
          <w:rFonts w:hint="eastAsia" w:ascii="仿宋" w:hAnsi="仿宋" w:eastAsia="仿宋" w:cs="仿宋"/>
          <w:b/>
          <w:bCs/>
          <w:i w:val="0"/>
          <w:iCs w:val="0"/>
          <w:color w:val="auto"/>
          <w:kern w:val="0"/>
          <w:sz w:val="28"/>
          <w:szCs w:val="28"/>
          <w:u w:val="none"/>
          <w:lang w:val="en-US" w:eastAsia="zh-CN"/>
        </w:rPr>
        <w:t>附表4：总成本费用表</w:t>
      </w:r>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2461"/>
        <w:gridCol w:w="1214"/>
        <w:gridCol w:w="1581"/>
        <w:gridCol w:w="1581"/>
        <w:gridCol w:w="1581"/>
        <w:gridCol w:w="1581"/>
        <w:gridCol w:w="1581"/>
        <w:gridCol w:w="1581"/>
      </w:tblGrid>
      <w:tr w14:paraId="1DDB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13963" w:type="dxa"/>
            <w:gridSpan w:val="9"/>
            <w:tcBorders>
              <w:top w:val="nil"/>
              <w:left w:val="nil"/>
              <w:bottom w:val="nil"/>
              <w:right w:val="nil"/>
            </w:tcBorders>
            <w:shd w:val="clear" w:color="auto" w:fill="auto"/>
            <w:noWrap/>
            <w:vAlign w:val="center"/>
          </w:tcPr>
          <w:p w14:paraId="46D08C7C">
            <w:pPr>
              <w:keepNext w:val="0"/>
              <w:keepLines w:val="0"/>
              <w:pageBreakBefore w:val="0"/>
              <w:widowControl/>
              <w:wordWrap/>
              <w:overflowPunct/>
              <w:topLinePunct w:val="0"/>
              <w:bidi w:val="0"/>
              <w:jc w:val="righ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65DD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8F1C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B913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9B93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9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2CE6D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计算期</w:t>
            </w:r>
          </w:p>
        </w:tc>
      </w:tr>
      <w:tr w14:paraId="0DF7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849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941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AC7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46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864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8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83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9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643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96E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C21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12 </w:t>
            </w:r>
          </w:p>
        </w:tc>
      </w:tr>
      <w:tr w14:paraId="52F8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45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90D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外购燃料及动力费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7E8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262.18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DF5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EAB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4B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10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FBB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095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22.80 </w:t>
            </w:r>
          </w:p>
        </w:tc>
      </w:tr>
      <w:tr w14:paraId="5CA6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1F6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E84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工资及福利费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550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575.00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890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50.00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A73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50.00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845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50.00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C5B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50.00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435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50.00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74B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50.00 </w:t>
            </w:r>
          </w:p>
        </w:tc>
      </w:tr>
      <w:tr w14:paraId="4491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E22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6E8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保洁维护费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589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229.26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58E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19.94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C25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19.94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290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19.94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B3E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19.94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0AE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19.94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F47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19.94 </w:t>
            </w:r>
          </w:p>
        </w:tc>
      </w:tr>
      <w:tr w14:paraId="068D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260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F7A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管理费及其他</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2CC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189.90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D9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16.56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7BD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16.53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A1D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16.49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F9C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16.46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842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16.43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2C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16.40 </w:t>
            </w:r>
          </w:p>
        </w:tc>
      </w:tr>
      <w:tr w14:paraId="0106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979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836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经营成本（1+2+3+4+5+6）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C4A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1256.35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892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109.29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C39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109.26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C08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109.23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2F6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109.20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0F7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109.17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78D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109.14 </w:t>
            </w:r>
          </w:p>
        </w:tc>
      </w:tr>
      <w:tr w14:paraId="596E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750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65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折旧费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6A1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2865.80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E17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C4E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A11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D1C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58B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EE4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249.20 </w:t>
            </w:r>
          </w:p>
        </w:tc>
      </w:tr>
      <w:tr w14:paraId="0E5E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890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222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摊销费</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AB7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0AA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51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16B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A6B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996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897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r w14:paraId="22BC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606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373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利息支出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57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1294.31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A67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111.60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265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93.15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1D1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74.03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877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54.23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97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33.30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B67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16.88 </w:t>
            </w:r>
          </w:p>
        </w:tc>
      </w:tr>
      <w:tr w14:paraId="0E6D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DE7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88B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总成本费用合计（6+7+8+9）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511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5416.46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68C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470.09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19E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451.61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887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432.46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C64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412.62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52E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391.67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87D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375.21 </w:t>
            </w:r>
          </w:p>
        </w:tc>
      </w:tr>
      <w:tr w14:paraId="198A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C6F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9.1</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74C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其中：固定成本</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0D4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4350.02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0C1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377.36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E31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358.88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A64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339.72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7B5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319.89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A26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298.93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ACE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282.48 </w:t>
            </w:r>
          </w:p>
        </w:tc>
      </w:tr>
      <w:tr w14:paraId="71BB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EDA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9.2</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3B7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可变成本</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92A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837.18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7D7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E62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09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ACA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F4D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72.80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6BC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72.80 </w:t>
            </w:r>
          </w:p>
        </w:tc>
      </w:tr>
    </w:tbl>
    <w:p w14:paraId="17342B66">
      <w:pPr>
        <w:ind w:left="0" w:leftChars="0" w:firstLine="0" w:firstLineChars="0"/>
        <w:rPr>
          <w:rFonts w:hint="eastAsia" w:ascii="仿宋" w:hAnsi="仿宋" w:eastAsia="仿宋" w:cs="仿宋"/>
          <w:b/>
          <w:bCs/>
          <w:lang w:val="en-US" w:eastAsia="zh-CN"/>
        </w:rPr>
      </w:pPr>
      <w:r>
        <w:rPr>
          <w:rFonts w:hint="eastAsia" w:ascii="仿宋" w:hAnsi="仿宋" w:eastAsia="仿宋" w:cs="仿宋"/>
          <w:b/>
          <w:bCs/>
          <w:lang w:val="en-US" w:eastAsia="zh-CN"/>
        </w:rPr>
        <w:br w:type="page"/>
      </w:r>
    </w:p>
    <w:p w14:paraId="62A84AF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i w:val="0"/>
          <w:iCs w:val="0"/>
          <w:color w:val="auto"/>
          <w:kern w:val="0"/>
          <w:sz w:val="28"/>
          <w:szCs w:val="28"/>
          <w:u w:val="none"/>
          <w:lang w:val="en-US" w:eastAsia="zh-CN"/>
        </w:rPr>
      </w:pPr>
      <w:bookmarkStart w:id="14" w:name="_Toc3902"/>
      <w:bookmarkStart w:id="15" w:name="_Toc11083"/>
      <w:r>
        <w:rPr>
          <w:rFonts w:hint="eastAsia" w:ascii="仿宋" w:hAnsi="仿宋" w:eastAsia="仿宋" w:cs="仿宋"/>
          <w:b/>
          <w:bCs/>
          <w:i w:val="0"/>
          <w:iCs w:val="0"/>
          <w:color w:val="auto"/>
          <w:kern w:val="0"/>
          <w:sz w:val="28"/>
          <w:szCs w:val="28"/>
          <w:u w:val="none"/>
          <w:lang w:val="en-US" w:eastAsia="zh-CN"/>
        </w:rPr>
        <w:t>附表5：利润及利润分配表</w:t>
      </w:r>
      <w:bookmarkEnd w:id="13"/>
      <w:bookmarkEnd w:id="14"/>
      <w:bookmarkEnd w:id="15"/>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3015"/>
        <w:gridCol w:w="1440"/>
        <w:gridCol w:w="1446"/>
        <w:gridCol w:w="1446"/>
        <w:gridCol w:w="1446"/>
        <w:gridCol w:w="1446"/>
        <w:gridCol w:w="1446"/>
        <w:gridCol w:w="1446"/>
      </w:tblGrid>
      <w:tr w14:paraId="6659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3963" w:type="dxa"/>
            <w:gridSpan w:val="9"/>
            <w:tcBorders>
              <w:top w:val="nil"/>
              <w:left w:val="nil"/>
              <w:bottom w:val="nil"/>
              <w:right w:val="nil"/>
            </w:tcBorders>
            <w:shd w:val="clear" w:color="auto" w:fill="auto"/>
            <w:noWrap/>
            <w:vAlign w:val="center"/>
          </w:tcPr>
          <w:p w14:paraId="3D7A819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31E5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A7B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3D2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 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152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8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EB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计算期</w:t>
            </w:r>
          </w:p>
        </w:tc>
      </w:tr>
      <w:tr w14:paraId="0337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43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A6C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800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39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0.5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E9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7F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C8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2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3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r>
      <w:tr w14:paraId="4996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810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265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4EE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9495.14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4F0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412.06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BAD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825.48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0A5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826.83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B2C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828.19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D8A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829.56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746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829.45 </w:t>
            </w:r>
          </w:p>
        </w:tc>
      </w:tr>
      <w:tr w14:paraId="40AA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BBE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A63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营业税金及附加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9AF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167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C87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E0D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475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270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706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 </w:t>
            </w:r>
          </w:p>
        </w:tc>
      </w:tr>
      <w:tr w14:paraId="2E6A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EE5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0FC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增值税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F2D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AE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51.05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98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102.15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E0D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2AF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2DC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102.32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323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102.24 </w:t>
            </w:r>
          </w:p>
        </w:tc>
      </w:tr>
      <w:tr w14:paraId="5A08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EB2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17B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总成本费用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E6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5416.46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A1F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281.00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419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551.50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0DA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536.67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FC3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521.18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44C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504.78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4E9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487.68 </w:t>
            </w:r>
          </w:p>
        </w:tc>
      </w:tr>
      <w:tr w14:paraId="6898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265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5FD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补贴收入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C655">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4805">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7513">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D496">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3390">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501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ECE">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5323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48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900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利润总额（1-2-3+4）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3A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2790.11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EE4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74.91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59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161.62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B7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177.73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797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194.53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853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212.24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EE4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229.31 </w:t>
            </w:r>
          </w:p>
        </w:tc>
      </w:tr>
      <w:tr w14:paraId="76DC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1F7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8EC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弥补以前年度亏损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669E">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FD30">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7A89">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713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BD73">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098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3665">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25FF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6AD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BD0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应纳税所得额（5-6）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005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2790.11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691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74.91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A3A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161.62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8D6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177.73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EC2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194.53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ED0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212.24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BCB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229.31 </w:t>
            </w:r>
          </w:p>
        </w:tc>
      </w:tr>
      <w:tr w14:paraId="0014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832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4EA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F02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697.53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07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18.73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887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40.40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2BB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44.43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434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48.63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64C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53.06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6EF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57.33 </w:t>
            </w:r>
          </w:p>
        </w:tc>
      </w:tr>
      <w:tr w14:paraId="07A4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860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4E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净利润（5-8）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143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2092.58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E56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56.18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04A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121.21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67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133.30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A34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145.90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9D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159.18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BEE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171.98 </w:t>
            </w:r>
          </w:p>
        </w:tc>
      </w:tr>
      <w:tr w14:paraId="0A06A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2D5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4D0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期初未分配利润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58E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8433.10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1DE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3F4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50.56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608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159.65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683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279.62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228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410.93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B8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554.19 </w:t>
            </w:r>
          </w:p>
        </w:tc>
      </w:tr>
      <w:tr w14:paraId="594F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7D6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81C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可供分配的利润（9+10）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50D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10525.68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F8B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56.18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AAA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171.77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A87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292.95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A20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425.52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2D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570.11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AF3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726.17 </w:t>
            </w:r>
          </w:p>
        </w:tc>
      </w:tr>
      <w:tr w14:paraId="5B9E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648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B6B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提取法定盈余公积金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84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209.26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CF2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5.62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A41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12.12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4ED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13.33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3E7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14.59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FF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15.92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089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17.20 </w:t>
            </w:r>
          </w:p>
        </w:tc>
      </w:tr>
      <w:tr w14:paraId="5026F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98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4E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可供投资者分配的利润（11-12）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C85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10316.42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29B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50.56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A3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159.65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497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279.62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08E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410.93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2CE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554.19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13E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708.97 </w:t>
            </w:r>
          </w:p>
        </w:tc>
      </w:tr>
      <w:tr w14:paraId="424B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AB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035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应付优先股股利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454">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1FB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315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71D">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E6B6">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4D9">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37A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6109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D53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CA5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提取任意盈余公积金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AEA">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97A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DCF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7BDC">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A27">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402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7726">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46D5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15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C93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应付普通股股利（13-14-15）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A84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6EE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620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A17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F548">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42D0">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8F93">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5D7C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90D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446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各投资方利润分配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96C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99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A43">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65D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257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8D97">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68E9">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4BBB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613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F4A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其中：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CB6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8746">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E94C">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8905">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6BC8">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BD79">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181D">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2A08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20F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61D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未分配利润（13-14-15-17）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862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10316.42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172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50.56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577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159.65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1FE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279.62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D31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410.93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35F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554.19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C63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708.97 </w:t>
            </w:r>
          </w:p>
        </w:tc>
      </w:tr>
      <w:tr w14:paraId="69EF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056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827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息税前利润（利润总额+利息支出）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C1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4084.42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21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176.72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C27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354.67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EE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355.93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2A9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357.21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206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358.49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B70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358.46 </w:t>
            </w:r>
          </w:p>
        </w:tc>
      </w:tr>
      <w:tr w14:paraId="367B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142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389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息税折旧摊销前利润（息税前利润+折旧+摊销）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9F9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6950.22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3BD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301.32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49A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603.87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893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605.13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771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606.41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235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607.69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7E0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607.66 </w:t>
            </w:r>
          </w:p>
        </w:tc>
      </w:tr>
    </w:tbl>
    <w:p w14:paraId="66974272">
      <w:pPr>
        <w:rPr>
          <w:rFonts w:hint="eastAsia" w:ascii="仿宋" w:hAnsi="仿宋" w:eastAsia="仿宋" w:cs="仿宋"/>
          <w:lang w:val="en-US" w:eastAsia="zh-CN"/>
        </w:rPr>
      </w:pPr>
      <w:r>
        <w:rPr>
          <w:rFonts w:hint="eastAsia" w:ascii="仿宋" w:hAnsi="仿宋" w:eastAsia="仿宋" w:cs="仿宋"/>
          <w:lang w:val="en-US" w:eastAsia="zh-CN"/>
        </w:rPr>
        <w:br w:type="page"/>
      </w:r>
    </w:p>
    <w:p w14:paraId="598F00D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i w:val="0"/>
          <w:iCs w:val="0"/>
          <w:color w:val="auto"/>
          <w:kern w:val="0"/>
          <w:sz w:val="28"/>
          <w:szCs w:val="28"/>
          <w:u w:val="none"/>
          <w:lang w:val="en-US" w:eastAsia="zh-CN"/>
        </w:rPr>
      </w:pPr>
      <w:r>
        <w:rPr>
          <w:rFonts w:hint="eastAsia" w:ascii="仿宋" w:hAnsi="仿宋" w:eastAsia="仿宋" w:cs="仿宋"/>
          <w:b/>
          <w:bCs/>
          <w:i w:val="0"/>
          <w:iCs w:val="0"/>
          <w:color w:val="auto"/>
          <w:kern w:val="0"/>
          <w:sz w:val="28"/>
          <w:szCs w:val="28"/>
          <w:u w:val="none"/>
          <w:lang w:val="en-US" w:eastAsia="zh-CN"/>
        </w:rPr>
        <w:t>附表5：利润及利润分配表</w:t>
      </w:r>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3015"/>
        <w:gridCol w:w="1440"/>
        <w:gridCol w:w="1446"/>
        <w:gridCol w:w="1446"/>
        <w:gridCol w:w="1446"/>
        <w:gridCol w:w="1446"/>
        <w:gridCol w:w="1446"/>
        <w:gridCol w:w="1446"/>
      </w:tblGrid>
      <w:tr w14:paraId="27F0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3963" w:type="dxa"/>
            <w:gridSpan w:val="9"/>
            <w:tcBorders>
              <w:top w:val="nil"/>
              <w:left w:val="nil"/>
              <w:bottom w:val="nil"/>
              <w:right w:val="nil"/>
            </w:tcBorders>
            <w:shd w:val="clear" w:color="auto" w:fill="auto"/>
            <w:noWrap/>
            <w:vAlign w:val="center"/>
          </w:tcPr>
          <w:p w14:paraId="17C95D7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0784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837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441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 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D2A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8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F883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计算期</w:t>
            </w:r>
          </w:p>
        </w:tc>
      </w:tr>
      <w:tr w14:paraId="5F04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A9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31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0B4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3C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FF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C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8C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6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9C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r>
      <w:tr w14:paraId="573D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313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CA21">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1B0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9495.14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2A7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827.86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5E3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826.28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490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824.70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6BD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823.13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E52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821.57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CA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820.01 </w:t>
            </w:r>
          </w:p>
        </w:tc>
      </w:tr>
      <w:tr w14:paraId="6868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DDB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02A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营业税金及附加</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87B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EB6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3E9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54D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B7A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C5D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549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10.10 </w:t>
            </w:r>
          </w:p>
        </w:tc>
      </w:tr>
      <w:tr w14:paraId="3747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C0D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94D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增值税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784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22B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102.04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D98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101.84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F5B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101.63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53E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101.43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A93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101.23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551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101.03 </w:t>
            </w:r>
          </w:p>
        </w:tc>
      </w:tr>
      <w:tr w14:paraId="320C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11D3">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6F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总成本费用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F16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5416.46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EA8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470.09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5B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451.61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CC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432.46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15B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412.62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7B1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391.67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3A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375.21 </w:t>
            </w:r>
          </w:p>
        </w:tc>
      </w:tr>
      <w:tr w14:paraId="0B6E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C7D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158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补贴收入</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7A5E">
            <w:pPr>
              <w:jc w:val="center"/>
              <w:rPr>
                <w:rFonts w:hint="eastAsia" w:ascii="仿宋" w:hAnsi="仿宋" w:eastAsia="仿宋" w:cs="仿宋"/>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B571">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DBA6">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C021">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C8EC">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18D7">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3C32">
            <w:pPr>
              <w:jc w:val="center"/>
              <w:rPr>
                <w:rFonts w:hint="eastAsia" w:ascii="仿宋" w:hAnsi="仿宋" w:eastAsia="仿宋" w:cs="仿宋"/>
                <w:i w:val="0"/>
                <w:iCs w:val="0"/>
                <w:snapToGrid w:val="0"/>
                <w:color w:val="000000"/>
                <w:kern w:val="0"/>
                <w:sz w:val="21"/>
                <w:szCs w:val="21"/>
                <w:u w:val="none"/>
                <w:lang w:val="en-US" w:eastAsia="zh-CN" w:bidi="ar"/>
              </w:rPr>
            </w:pPr>
          </w:p>
        </w:tc>
      </w:tr>
      <w:tr w14:paraId="43B1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0EE9">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93BA">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利润总额（1-2-3+4）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9CF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2790.11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94C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245.53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A1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262.65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96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280.45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FBD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298.93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DB1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318.55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58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333.67 </w:t>
            </w:r>
          </w:p>
        </w:tc>
      </w:tr>
      <w:tr w14:paraId="5E12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162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4F01">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弥补以前年度亏损</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A356">
            <w:pPr>
              <w:jc w:val="center"/>
              <w:rPr>
                <w:rFonts w:hint="eastAsia" w:ascii="仿宋" w:hAnsi="仿宋" w:eastAsia="仿宋" w:cs="仿宋"/>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0FAC">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5242">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FC17">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447">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B2EC">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EA81">
            <w:pPr>
              <w:jc w:val="center"/>
              <w:rPr>
                <w:rFonts w:hint="eastAsia" w:ascii="仿宋" w:hAnsi="仿宋" w:eastAsia="仿宋" w:cs="仿宋"/>
                <w:i w:val="0"/>
                <w:iCs w:val="0"/>
                <w:snapToGrid w:val="0"/>
                <w:color w:val="000000"/>
                <w:kern w:val="0"/>
                <w:sz w:val="21"/>
                <w:szCs w:val="21"/>
                <w:u w:val="none"/>
                <w:lang w:val="en-US" w:eastAsia="zh-CN" w:bidi="ar"/>
              </w:rPr>
            </w:pPr>
          </w:p>
        </w:tc>
      </w:tr>
      <w:tr w14:paraId="4A3E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7D2D">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815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应纳税所得额（5-6）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5A7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2790.11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31E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245.53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672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262.65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5EB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280.45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2B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298.93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E23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318.55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91C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333.67 </w:t>
            </w:r>
          </w:p>
        </w:tc>
      </w:tr>
      <w:tr w14:paraId="4FE2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8A5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348C">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00F6">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697.53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7AB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61.38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306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65.66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153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70.11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BD5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74.73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46F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79.64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351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83.42 </w:t>
            </w:r>
          </w:p>
        </w:tc>
      </w:tr>
      <w:tr w14:paraId="67D7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434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2F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净利润（5-8）</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175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2092.58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9BF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184.14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BE0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196.99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79F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210.34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4C8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224.20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3F5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238.91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9EB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250.25 </w:t>
            </w:r>
          </w:p>
        </w:tc>
      </w:tr>
      <w:tr w14:paraId="40F5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68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743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期初未分配利润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44D">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8433.10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C25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708.97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217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874.70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71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1051.99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7A9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1241.30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4A9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1443.08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C59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1658.10 </w:t>
            </w:r>
          </w:p>
        </w:tc>
      </w:tr>
      <w:tr w14:paraId="27D3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832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5CA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可供分配的利润（9+10）</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0D3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10525.68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1F1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893.12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286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1071.69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84E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1262.33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3C2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1465.50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50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1681.99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D90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1908.35 </w:t>
            </w:r>
          </w:p>
        </w:tc>
      </w:tr>
      <w:tr w14:paraId="1FA1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BE7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8F1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提取法定盈余公积金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0C41">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209.26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0F7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18.41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59F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19.70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F65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21.03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5D8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22.42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75E2">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23.89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162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25.02 </w:t>
            </w:r>
          </w:p>
        </w:tc>
      </w:tr>
      <w:tr w14:paraId="300E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E10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7D9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可供投资者分配的利润（11-12）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CAD6">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10316.42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C6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874.70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E4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1051.99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11B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1241.30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8E0A">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1443.08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296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1658.10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AA2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1883.32 </w:t>
            </w:r>
          </w:p>
        </w:tc>
      </w:tr>
      <w:tr w14:paraId="0284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85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EE9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应付优先股股利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8AFD">
            <w:pPr>
              <w:jc w:val="center"/>
              <w:rPr>
                <w:rFonts w:hint="eastAsia" w:ascii="仿宋" w:hAnsi="仿宋" w:eastAsia="仿宋" w:cs="仿宋"/>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A109">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0C00">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A22">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7153">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4626">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B61F">
            <w:pPr>
              <w:jc w:val="center"/>
              <w:rPr>
                <w:rFonts w:hint="eastAsia" w:ascii="仿宋" w:hAnsi="仿宋" w:eastAsia="仿宋" w:cs="仿宋"/>
                <w:i w:val="0"/>
                <w:iCs w:val="0"/>
                <w:snapToGrid w:val="0"/>
                <w:color w:val="000000"/>
                <w:kern w:val="0"/>
                <w:sz w:val="21"/>
                <w:szCs w:val="21"/>
                <w:u w:val="none"/>
                <w:lang w:val="en-US" w:eastAsia="zh-CN" w:bidi="ar"/>
              </w:rPr>
            </w:pPr>
          </w:p>
        </w:tc>
      </w:tr>
      <w:tr w14:paraId="186C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A85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895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提取任意盈余公积金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05BF">
            <w:pPr>
              <w:jc w:val="center"/>
              <w:rPr>
                <w:rFonts w:hint="eastAsia" w:ascii="仿宋" w:hAnsi="仿宋" w:eastAsia="仿宋" w:cs="仿宋"/>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AB22">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E5E0">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42A3">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52BA">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2878">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6DF5">
            <w:pPr>
              <w:jc w:val="center"/>
              <w:rPr>
                <w:rFonts w:hint="eastAsia" w:ascii="仿宋" w:hAnsi="仿宋" w:eastAsia="仿宋" w:cs="仿宋"/>
                <w:i w:val="0"/>
                <w:iCs w:val="0"/>
                <w:snapToGrid w:val="0"/>
                <w:color w:val="000000"/>
                <w:kern w:val="0"/>
                <w:sz w:val="21"/>
                <w:szCs w:val="21"/>
                <w:u w:val="none"/>
                <w:lang w:val="en-US" w:eastAsia="zh-CN" w:bidi="ar"/>
              </w:rPr>
            </w:pPr>
          </w:p>
        </w:tc>
      </w:tr>
      <w:tr w14:paraId="7D30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DB50">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D3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应付普通股股利（13-14-15）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585C">
            <w:pPr>
              <w:jc w:val="center"/>
              <w:rPr>
                <w:rFonts w:hint="eastAsia" w:ascii="仿宋" w:hAnsi="仿宋" w:eastAsia="仿宋" w:cs="仿宋"/>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E8DF">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9E36">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0401">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7B08">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3DBD">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7DAC">
            <w:pPr>
              <w:jc w:val="center"/>
              <w:rPr>
                <w:rFonts w:hint="eastAsia" w:ascii="仿宋" w:hAnsi="仿宋" w:eastAsia="仿宋" w:cs="仿宋"/>
                <w:i w:val="0"/>
                <w:iCs w:val="0"/>
                <w:snapToGrid w:val="0"/>
                <w:color w:val="000000"/>
                <w:kern w:val="0"/>
                <w:sz w:val="21"/>
                <w:szCs w:val="21"/>
                <w:u w:val="none"/>
                <w:lang w:val="en-US" w:eastAsia="zh-CN" w:bidi="ar"/>
              </w:rPr>
            </w:pPr>
          </w:p>
        </w:tc>
      </w:tr>
      <w:tr w14:paraId="5351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002B">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5AF">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各投资方利润分配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EC3D">
            <w:pPr>
              <w:jc w:val="center"/>
              <w:rPr>
                <w:rFonts w:hint="eastAsia" w:ascii="仿宋" w:hAnsi="仿宋" w:eastAsia="仿宋" w:cs="仿宋"/>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B239">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6C73">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0608">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4C79">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A3D5">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7D63">
            <w:pPr>
              <w:jc w:val="center"/>
              <w:rPr>
                <w:rFonts w:hint="eastAsia" w:ascii="仿宋" w:hAnsi="仿宋" w:eastAsia="仿宋" w:cs="仿宋"/>
                <w:i w:val="0"/>
                <w:iCs w:val="0"/>
                <w:snapToGrid w:val="0"/>
                <w:color w:val="000000"/>
                <w:kern w:val="0"/>
                <w:sz w:val="21"/>
                <w:szCs w:val="21"/>
                <w:u w:val="none"/>
                <w:lang w:val="en-US" w:eastAsia="zh-CN" w:bidi="ar"/>
              </w:rPr>
            </w:pPr>
          </w:p>
        </w:tc>
      </w:tr>
      <w:tr w14:paraId="4F38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A72D">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49F7">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其中：</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30CA">
            <w:pPr>
              <w:jc w:val="center"/>
              <w:rPr>
                <w:rFonts w:hint="eastAsia" w:ascii="仿宋" w:hAnsi="仿宋" w:eastAsia="仿宋" w:cs="仿宋"/>
                <w:i w:val="0"/>
                <w:iCs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BC0F">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333D">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7657">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FFDC">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2B1C">
            <w:pPr>
              <w:jc w:val="center"/>
              <w:rPr>
                <w:rFonts w:hint="eastAsia" w:ascii="仿宋" w:hAnsi="仿宋" w:eastAsia="仿宋" w:cs="仿宋"/>
                <w:i w:val="0"/>
                <w:iCs w:val="0"/>
                <w:snapToGrid w:val="0"/>
                <w:color w:val="000000"/>
                <w:kern w:val="0"/>
                <w:sz w:val="21"/>
                <w:szCs w:val="21"/>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E723">
            <w:pPr>
              <w:jc w:val="center"/>
              <w:rPr>
                <w:rFonts w:hint="eastAsia" w:ascii="仿宋" w:hAnsi="仿宋" w:eastAsia="仿宋" w:cs="仿宋"/>
                <w:i w:val="0"/>
                <w:iCs w:val="0"/>
                <w:snapToGrid w:val="0"/>
                <w:color w:val="000000"/>
                <w:kern w:val="0"/>
                <w:sz w:val="21"/>
                <w:szCs w:val="21"/>
                <w:u w:val="none"/>
                <w:lang w:val="en-US" w:eastAsia="zh-CN" w:bidi="ar"/>
              </w:rPr>
            </w:pPr>
          </w:p>
        </w:tc>
      </w:tr>
      <w:tr w14:paraId="798F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7A4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83A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未分配利润（13-14-15-17）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8442">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10316.42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31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874.70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917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1051.99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E96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1241.30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14F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1443.08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CB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1658.10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618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1883.32 </w:t>
            </w:r>
          </w:p>
        </w:tc>
      </w:tr>
      <w:tr w14:paraId="2410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6B13">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684">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息税前利润（利润总额+利息支出）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C14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4084.42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658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357.13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376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355.80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880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354.48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E9F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353.16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B69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351.85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859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350.54 </w:t>
            </w:r>
          </w:p>
        </w:tc>
      </w:tr>
      <w:tr w14:paraId="051D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F38A">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A5F8">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息税折旧摊销前利润（息税前利润+折旧+摊销）</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BD55">
            <w:pPr>
              <w:keepNext w:val="0"/>
              <w:keepLines w:val="0"/>
              <w:widowControl/>
              <w:suppressLineNumbers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6950.22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E97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606.33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294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605.00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0F7E">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603.68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3B3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602.36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FB9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601.05 </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228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599.74 </w:t>
            </w:r>
          </w:p>
        </w:tc>
      </w:tr>
    </w:tbl>
    <w:p w14:paraId="5D91F5C7">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仿宋" w:hAnsi="仿宋" w:eastAsia="仿宋" w:cs="仿宋"/>
          <w:lang w:val="en-US" w:eastAsia="zh-CN"/>
        </w:rPr>
      </w:pPr>
      <w:r>
        <w:rPr>
          <w:rFonts w:hint="eastAsia" w:ascii="仿宋" w:hAnsi="仿宋" w:eastAsia="仿宋" w:cs="仿宋"/>
          <w:lang w:val="en-US" w:eastAsia="zh-CN"/>
        </w:rPr>
        <w:br w:type="page"/>
      </w:r>
    </w:p>
    <w:p w14:paraId="3552FA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i w:val="0"/>
          <w:iCs w:val="0"/>
          <w:color w:val="auto"/>
          <w:kern w:val="0"/>
          <w:sz w:val="28"/>
          <w:szCs w:val="28"/>
          <w:u w:val="none"/>
          <w:lang w:val="en-US" w:eastAsia="zh-CN"/>
        </w:rPr>
      </w:pPr>
      <w:bookmarkStart w:id="16" w:name="_Toc19934"/>
      <w:bookmarkStart w:id="17" w:name="_Toc8976"/>
      <w:bookmarkStart w:id="18" w:name="_Toc9189"/>
      <w:r>
        <w:rPr>
          <w:rFonts w:hint="eastAsia" w:ascii="仿宋" w:hAnsi="仿宋" w:eastAsia="仿宋" w:cs="仿宋"/>
          <w:b/>
          <w:bCs/>
          <w:i w:val="0"/>
          <w:iCs w:val="0"/>
          <w:color w:val="auto"/>
          <w:kern w:val="0"/>
          <w:sz w:val="28"/>
          <w:szCs w:val="28"/>
          <w:u w:val="none"/>
          <w:lang w:val="en-US" w:eastAsia="zh-CN"/>
        </w:rPr>
        <w:t>附表6：项目投资现金流量表</w:t>
      </w:r>
      <w:bookmarkEnd w:id="16"/>
      <w:bookmarkEnd w:id="17"/>
      <w:bookmarkEnd w:id="18"/>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2835"/>
        <w:gridCol w:w="1169"/>
        <w:gridCol w:w="1538"/>
        <w:gridCol w:w="1538"/>
        <w:gridCol w:w="1538"/>
        <w:gridCol w:w="1538"/>
        <w:gridCol w:w="1538"/>
        <w:gridCol w:w="1541"/>
      </w:tblGrid>
      <w:tr w14:paraId="35F7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blHeader/>
        </w:trPr>
        <w:tc>
          <w:tcPr>
            <w:tcW w:w="13993" w:type="dxa"/>
            <w:gridSpan w:val="9"/>
            <w:tcBorders>
              <w:top w:val="nil"/>
              <w:left w:val="nil"/>
              <w:bottom w:val="nil"/>
              <w:right w:val="nil"/>
            </w:tcBorders>
            <w:shd w:val="clear" w:color="auto" w:fill="auto"/>
            <w:noWrap/>
            <w:vAlign w:val="center"/>
          </w:tcPr>
          <w:p w14:paraId="2DCA6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3074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8A7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5AC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 目</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31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92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0F36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计算期</w:t>
            </w:r>
          </w:p>
        </w:tc>
      </w:tr>
      <w:tr w14:paraId="00F1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AED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55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BE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7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AB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25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85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18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8D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r>
      <w:tr w14:paraId="60BC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DAC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B9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现金流入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4807">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12394.53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784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930.93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B31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825.48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5DB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826.83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AD5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828.19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282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829.56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918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829.45 </w:t>
            </w:r>
          </w:p>
        </w:tc>
      </w:tr>
      <w:tr w14:paraId="0AC1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162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101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营业收入</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4339">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9495.14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9DD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412.06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EBC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825.48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EB0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826.83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4B1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828.19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7C69">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829.56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570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829.45 </w:t>
            </w:r>
          </w:p>
        </w:tc>
      </w:tr>
      <w:tr w14:paraId="48525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B2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F175">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留抵退税</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9053">
            <w:pP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21C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518.87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2F93">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996A">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3F90">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1699">
            <w:pPr>
              <w:jc w:val="center"/>
              <w:rPr>
                <w:rFonts w:hint="eastAsia" w:ascii="仿宋" w:hAnsi="仿宋" w:eastAsia="仿宋" w:cs="仿宋"/>
                <w:i w:val="0"/>
                <w:iCs w:val="0"/>
                <w:snapToGrid w:val="0"/>
                <w:color w:val="000000"/>
                <w:kern w:val="0"/>
                <w:sz w:val="21"/>
                <w:szCs w:val="21"/>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1B16">
            <w:pPr>
              <w:jc w:val="center"/>
              <w:rPr>
                <w:rFonts w:hint="eastAsia" w:ascii="仿宋" w:hAnsi="仿宋" w:eastAsia="仿宋" w:cs="仿宋"/>
                <w:i w:val="0"/>
                <w:iCs w:val="0"/>
                <w:snapToGrid w:val="0"/>
                <w:color w:val="000000"/>
                <w:kern w:val="0"/>
                <w:sz w:val="21"/>
                <w:szCs w:val="21"/>
                <w:u w:val="none"/>
                <w:lang w:val="en-US" w:eastAsia="zh-CN" w:bidi="ar"/>
              </w:rPr>
            </w:pPr>
          </w:p>
        </w:tc>
      </w:tr>
      <w:tr w14:paraId="2953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9C9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5B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回收固定资产余值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12D4">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2380.52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4052">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FA59">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B9B6">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1D9C">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5B89">
            <w:pPr>
              <w:jc w:val="center"/>
              <w:rPr>
                <w:rFonts w:hint="eastAsia" w:ascii="仿宋" w:hAnsi="仿宋" w:eastAsia="仿宋" w:cs="仿宋"/>
                <w:i w:val="0"/>
                <w:iCs w:val="0"/>
                <w:snapToGrid w:val="0"/>
                <w:color w:val="000000"/>
                <w:kern w:val="0"/>
                <w:sz w:val="21"/>
                <w:szCs w:val="21"/>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D0AC">
            <w:pPr>
              <w:jc w:val="center"/>
              <w:rPr>
                <w:rFonts w:hint="eastAsia" w:ascii="仿宋" w:hAnsi="仿宋" w:eastAsia="仿宋" w:cs="仿宋"/>
                <w:i w:val="0"/>
                <w:iCs w:val="0"/>
                <w:snapToGrid w:val="0"/>
                <w:color w:val="000000"/>
                <w:kern w:val="0"/>
                <w:sz w:val="21"/>
                <w:szCs w:val="21"/>
                <w:u w:val="none"/>
                <w:lang w:val="en-US" w:eastAsia="zh-CN" w:bidi="ar"/>
              </w:rPr>
            </w:pPr>
          </w:p>
        </w:tc>
      </w:tr>
      <w:tr w14:paraId="5834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F60F">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42E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回收流动资金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33D0">
            <w:pP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BD72">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3542">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8829">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3E2C">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59CB">
            <w:pPr>
              <w:jc w:val="center"/>
              <w:rPr>
                <w:rFonts w:hint="eastAsia" w:ascii="仿宋" w:hAnsi="仿宋" w:eastAsia="仿宋" w:cs="仿宋"/>
                <w:i w:val="0"/>
                <w:iCs w:val="0"/>
                <w:snapToGrid w:val="0"/>
                <w:color w:val="000000"/>
                <w:kern w:val="0"/>
                <w:sz w:val="21"/>
                <w:szCs w:val="21"/>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7E7C">
            <w:pPr>
              <w:jc w:val="center"/>
              <w:rPr>
                <w:rFonts w:hint="eastAsia" w:ascii="仿宋" w:hAnsi="仿宋" w:eastAsia="仿宋" w:cs="仿宋"/>
                <w:i w:val="0"/>
                <w:iCs w:val="0"/>
                <w:snapToGrid w:val="0"/>
                <w:color w:val="000000"/>
                <w:kern w:val="0"/>
                <w:sz w:val="21"/>
                <w:szCs w:val="21"/>
                <w:u w:val="none"/>
                <w:lang w:val="en-US" w:eastAsia="zh-CN" w:bidi="ar"/>
              </w:rPr>
            </w:pPr>
          </w:p>
        </w:tc>
      </w:tr>
      <w:tr w14:paraId="1D53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6BF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D5E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现金流出</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18D2">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8310.11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316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5875.93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BFD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221.61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F8F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221.70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664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221.79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84B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221.88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568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221.79 </w:t>
            </w:r>
          </w:p>
        </w:tc>
      </w:tr>
      <w:tr w14:paraId="6F1B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D00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61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建设投资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51E7">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5765.19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18B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5765.19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E43C">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F955">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3AA6">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04FD">
            <w:pPr>
              <w:jc w:val="center"/>
              <w:rPr>
                <w:rFonts w:hint="eastAsia" w:ascii="仿宋" w:hAnsi="仿宋" w:eastAsia="仿宋" w:cs="仿宋"/>
                <w:i w:val="0"/>
                <w:iCs w:val="0"/>
                <w:snapToGrid w:val="0"/>
                <w:color w:val="000000"/>
                <w:kern w:val="0"/>
                <w:sz w:val="21"/>
                <w:szCs w:val="21"/>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739E">
            <w:pPr>
              <w:jc w:val="center"/>
              <w:rPr>
                <w:rFonts w:hint="eastAsia" w:ascii="仿宋" w:hAnsi="仿宋" w:eastAsia="仿宋" w:cs="仿宋"/>
                <w:i w:val="0"/>
                <w:iCs w:val="0"/>
                <w:snapToGrid w:val="0"/>
                <w:color w:val="000000"/>
                <w:kern w:val="0"/>
                <w:sz w:val="21"/>
                <w:szCs w:val="21"/>
                <w:u w:val="none"/>
                <w:lang w:val="en-US" w:eastAsia="zh-CN" w:bidi="ar"/>
              </w:rPr>
            </w:pPr>
          </w:p>
        </w:tc>
      </w:tr>
      <w:tr w14:paraId="6F48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E727">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D7F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流动资金</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AE45E">
            <w:pP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ACA7">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9CCA">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F19C">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1CBD">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4651">
            <w:pPr>
              <w:jc w:val="center"/>
              <w:rPr>
                <w:rFonts w:hint="eastAsia" w:ascii="仿宋" w:hAnsi="仿宋" w:eastAsia="仿宋" w:cs="仿宋"/>
                <w:i w:val="0"/>
                <w:iCs w:val="0"/>
                <w:snapToGrid w:val="0"/>
                <w:color w:val="000000"/>
                <w:kern w:val="0"/>
                <w:sz w:val="21"/>
                <w:szCs w:val="21"/>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0061">
            <w:pPr>
              <w:jc w:val="center"/>
              <w:rPr>
                <w:rFonts w:hint="eastAsia" w:ascii="仿宋" w:hAnsi="仿宋" w:eastAsia="仿宋" w:cs="仿宋"/>
                <w:i w:val="0"/>
                <w:iCs w:val="0"/>
                <w:snapToGrid w:val="0"/>
                <w:color w:val="000000"/>
                <w:kern w:val="0"/>
                <w:sz w:val="21"/>
                <w:szCs w:val="21"/>
                <w:u w:val="none"/>
                <w:lang w:val="en-US" w:eastAsia="zh-CN" w:bidi="ar"/>
              </w:rPr>
            </w:pPr>
          </w:p>
        </w:tc>
      </w:tr>
      <w:tr w14:paraId="3908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331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857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经营成本</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6278">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1256.35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DDE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54.59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C19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109.25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3D4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109.27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30C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109.30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036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109.33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33F9">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109.33 </w:t>
            </w:r>
          </w:p>
        </w:tc>
      </w:tr>
      <w:tr w14:paraId="7A0C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036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B4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营业税金及附加</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8B9F">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C56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5.11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C1D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10.21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746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FB4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D112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10.23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E95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 </w:t>
            </w:r>
          </w:p>
        </w:tc>
      </w:tr>
      <w:tr w14:paraId="705A2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B49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205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增值税</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CA9B">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A90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51.05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97C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102.15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009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BD2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102.26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B58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102.32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D64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102.24 </w:t>
            </w:r>
          </w:p>
        </w:tc>
      </w:tr>
      <w:tr w14:paraId="6883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F523">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6AC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维持运营投资</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EE7B">
            <w:pP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69E">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E8F9">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4BC0">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3BE1">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CAC7">
            <w:pPr>
              <w:jc w:val="center"/>
              <w:rPr>
                <w:rFonts w:hint="eastAsia" w:ascii="仿宋" w:hAnsi="仿宋" w:eastAsia="仿宋" w:cs="仿宋"/>
                <w:i w:val="0"/>
                <w:iCs w:val="0"/>
                <w:snapToGrid w:val="0"/>
                <w:color w:val="000000"/>
                <w:kern w:val="0"/>
                <w:sz w:val="21"/>
                <w:szCs w:val="21"/>
                <w:u w:val="none"/>
                <w:lang w:val="en-US" w:eastAsia="zh-CN"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5C7C">
            <w:pPr>
              <w:jc w:val="center"/>
              <w:rPr>
                <w:rFonts w:hint="eastAsia" w:ascii="仿宋" w:hAnsi="仿宋" w:eastAsia="仿宋" w:cs="仿宋"/>
                <w:i w:val="0"/>
                <w:iCs w:val="0"/>
                <w:snapToGrid w:val="0"/>
                <w:color w:val="000000"/>
                <w:kern w:val="0"/>
                <w:sz w:val="21"/>
                <w:szCs w:val="21"/>
                <w:u w:val="none"/>
                <w:lang w:val="en-US" w:eastAsia="zh-CN" w:bidi="ar"/>
              </w:rPr>
            </w:pPr>
          </w:p>
        </w:tc>
      </w:tr>
      <w:tr w14:paraId="079E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92F4">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7B0">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所得税前净现金流量（1-2）</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7BD1">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4084.42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9F9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-4945.00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93F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603.87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04F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605.13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9F4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606.41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892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607.69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2E8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607.66 </w:t>
            </w:r>
          </w:p>
        </w:tc>
      </w:tr>
      <w:tr w14:paraId="401A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5978">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DB6F">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累计所得税前净现金流量</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F060">
            <w:pP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977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-4945.00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A76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-4341.13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FC2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-3736.00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EAC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-3129.59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190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-2521.91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7EA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-1914.25 </w:t>
            </w:r>
          </w:p>
        </w:tc>
      </w:tr>
      <w:tr w14:paraId="2D83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2881">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DA6E">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所得税前净现金流量现值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D8E6">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1908.53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D3E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-4745.68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BF5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556.17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DCD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534.87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AD7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514.39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9DA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494.70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A6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474.74 </w:t>
            </w:r>
          </w:p>
        </w:tc>
      </w:tr>
      <w:tr w14:paraId="33D25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4F76">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2942">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累计所得税前净现金流量现值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8C0B">
            <w:pP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C9C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-4745.68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833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-4189.52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7167">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-3654.65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499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-3140.25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26B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-2645.56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344C">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-2170.82 </w:t>
            </w:r>
          </w:p>
        </w:tc>
      </w:tr>
      <w:tr w14:paraId="43EE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3EBD">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BE20">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调整所得税</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8093">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678.80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658C">
            <w:pPr>
              <w:jc w:val="cente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A86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40.40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64E9">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44.43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38F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48.63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615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53.06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AA4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57.33 </w:t>
            </w:r>
          </w:p>
        </w:tc>
      </w:tr>
      <w:tr w14:paraId="3553C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72B0">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6D39">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所得税后净现金流量（3-5）</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F326">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3405.62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9DD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-4945.00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DCE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563.46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930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560.70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BAF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557.77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152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554.63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3738">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550.33 </w:t>
            </w:r>
          </w:p>
        </w:tc>
      </w:tr>
      <w:tr w14:paraId="4601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1BB9">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032F">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累计所得税后净现金流量</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5BB6">
            <w:pP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69B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-4945.00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0A5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-4381.54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810A">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-3820.84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41CF">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-3263.06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A40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-2708.44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F7E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-2158.11 </w:t>
            </w:r>
          </w:p>
        </w:tc>
      </w:tr>
      <w:tr w14:paraId="226D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48B">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CEF7">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所得税后净现金流量现值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3484">
            <w:pPr>
              <w:keepNext w:val="0"/>
              <w:keepLines w:val="0"/>
              <w:widowControl/>
              <w:suppressLineNumbers w:val="0"/>
              <w:jc w:val="right"/>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1402.05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1B31">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-4745.68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60E6">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518.95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013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495.60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2984">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473.14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77B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451.50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A28B">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429.95 </w:t>
            </w:r>
          </w:p>
        </w:tc>
      </w:tr>
      <w:tr w14:paraId="72AD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A75C">
            <w:pPr>
              <w:keepNext w:val="0"/>
              <w:keepLines w:val="0"/>
              <w:widowControl/>
              <w:suppressLineNumbers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CB9D">
            <w:pPr>
              <w:keepNext w:val="0"/>
              <w:keepLines w:val="0"/>
              <w:widowControl/>
              <w:suppressLineNumbers w:val="0"/>
              <w:jc w:val="left"/>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累计所得税后净现金流量现值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1B93">
            <w:pPr>
              <w:rPr>
                <w:rFonts w:hint="eastAsia" w:ascii="仿宋" w:hAnsi="仿宋" w:eastAsia="仿宋" w:cs="仿宋"/>
                <w:i w:val="0"/>
                <w:iCs w:val="0"/>
                <w:snapToGrid w:val="0"/>
                <w:color w:val="000000"/>
                <w:kern w:val="0"/>
                <w:sz w:val="21"/>
                <w:szCs w:val="21"/>
                <w:u w:val="none"/>
                <w:lang w:val="en-US" w:eastAsia="zh-CN" w:bidi="ar"/>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8020">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-4745.68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5B6D">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-4226.73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BCE3">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-3731.13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B08E">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-3257.99 </w:t>
            </w:r>
          </w:p>
        </w:tc>
        <w:tc>
          <w:tcPr>
            <w:tcW w:w="1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2EC2">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-2806.49 </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7905">
            <w:pPr>
              <w:keepNext w:val="0"/>
              <w:keepLines w:val="0"/>
              <w:widowControl/>
              <w:suppressLineNumbers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-2376.54 </w:t>
            </w:r>
          </w:p>
        </w:tc>
      </w:tr>
    </w:tbl>
    <w:p w14:paraId="325F76EA">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77E00E1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i w:val="0"/>
          <w:iCs w:val="0"/>
          <w:color w:val="auto"/>
          <w:kern w:val="0"/>
          <w:sz w:val="28"/>
          <w:szCs w:val="28"/>
          <w:u w:val="none"/>
          <w:lang w:val="en-US" w:eastAsia="zh-CN"/>
        </w:rPr>
      </w:pPr>
      <w:r>
        <w:rPr>
          <w:rFonts w:hint="eastAsia" w:ascii="仿宋" w:hAnsi="仿宋" w:eastAsia="仿宋" w:cs="仿宋"/>
          <w:b/>
          <w:bCs/>
          <w:i w:val="0"/>
          <w:iCs w:val="0"/>
          <w:color w:val="auto"/>
          <w:kern w:val="0"/>
          <w:sz w:val="28"/>
          <w:szCs w:val="28"/>
          <w:u w:val="none"/>
          <w:lang w:val="en-US" w:eastAsia="zh-CN"/>
        </w:rPr>
        <w:t>附表6：项目投资现金流量表</w:t>
      </w:r>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2710"/>
        <w:gridCol w:w="851"/>
        <w:gridCol w:w="416"/>
        <w:gridCol w:w="236"/>
        <w:gridCol w:w="984"/>
        <w:gridCol w:w="280"/>
        <w:gridCol w:w="704"/>
        <w:gridCol w:w="795"/>
        <w:gridCol w:w="189"/>
        <w:gridCol w:w="984"/>
        <w:gridCol w:w="326"/>
        <w:gridCol w:w="658"/>
        <w:gridCol w:w="841"/>
        <w:gridCol w:w="143"/>
        <w:gridCol w:w="984"/>
        <w:gridCol w:w="371"/>
        <w:gridCol w:w="612"/>
        <w:gridCol w:w="942"/>
      </w:tblGrid>
      <w:tr w14:paraId="7B68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13957" w:type="dxa"/>
            <w:gridSpan w:val="19"/>
            <w:tcBorders>
              <w:top w:val="nil"/>
              <w:left w:val="nil"/>
              <w:bottom w:val="nil"/>
              <w:right w:val="nil"/>
            </w:tcBorders>
            <w:shd w:val="clear" w:color="auto" w:fill="auto"/>
            <w:noWrap/>
            <w:vAlign w:val="center"/>
          </w:tcPr>
          <w:p w14:paraId="5C143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3812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E3F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D7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 目</w:t>
            </w:r>
          </w:p>
        </w:tc>
        <w:tc>
          <w:tcPr>
            <w:tcW w:w="1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367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904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445F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计算期</w:t>
            </w:r>
          </w:p>
        </w:tc>
      </w:tr>
      <w:tr w14:paraId="37A9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blHeader/>
        </w:trPr>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91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FB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6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9F6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9F3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F98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B50E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245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4B4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r>
      <w:tr w14:paraId="5524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A8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EF2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现金流入</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0B3F">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12394.53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C35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827.86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7873">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826.28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1ADE">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824.70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6454">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823.13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0BD5">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821.57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E9A0">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3200.53 </w:t>
            </w:r>
          </w:p>
        </w:tc>
      </w:tr>
      <w:tr w14:paraId="39CC2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C83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F29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营业收入</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F160">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9495.14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FA5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827.86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4261">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826.28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3459">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824.70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A11C">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823.13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696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821.57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DD18">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820.01 </w:t>
            </w:r>
          </w:p>
        </w:tc>
      </w:tr>
      <w:tr w14:paraId="62A1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71A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058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留抵退税</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700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3346">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D40D">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07B6">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E68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6CBE">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4B5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0746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25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271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回收固定资产余值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1198">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2380.52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0318">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AEAE">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7CC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005A">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745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E7A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2380.52 </w:t>
            </w:r>
          </w:p>
        </w:tc>
      </w:tr>
      <w:tr w14:paraId="21EB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D2B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A15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回收流动资金</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966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57C8">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EE5A">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C07E">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08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AA0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F706">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305D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AC9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E3F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现金流出</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BFF4">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8310.11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640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221.54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24D1">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221.28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C67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221.03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FD9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220.78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0E3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220.52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196E">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220.27 </w:t>
            </w:r>
          </w:p>
        </w:tc>
      </w:tr>
      <w:tr w14:paraId="74BB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8AD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784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建设投资</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05A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5765.19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4815">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80E7">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FA6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2603">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BEF4">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6AAA">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6E95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EB2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2.2</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F32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流动资金</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36D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67BD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1B0F">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AFC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C8F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9267">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E74E">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46535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652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98F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经营成本</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734F">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1256.35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7CB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109.29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9B2B">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109.26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79CE">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109.23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AFE1">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109.20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E771">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109.17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467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109.14 </w:t>
            </w:r>
          </w:p>
        </w:tc>
      </w:tr>
      <w:tr w14:paraId="6D3A9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3D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7DC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营业税金及附加</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78F1">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C07A">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10.20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612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10.18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CF72">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C2AE">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10.14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567B">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10.12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1425">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10.10 </w:t>
            </w:r>
          </w:p>
        </w:tc>
      </w:tr>
      <w:tr w14:paraId="2F98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595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2.5</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39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增值税</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1799">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1171.43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0CE3">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102.04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F145">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101.84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220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101.63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1270">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101.43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EF23">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101.23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938B">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101.03 </w:t>
            </w:r>
          </w:p>
        </w:tc>
      </w:tr>
      <w:tr w14:paraId="731E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C17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2.6</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996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维持运营投资</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7AE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83D3">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F2C9">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2B3D">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17B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495B">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E3C7">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6BDA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7A0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3</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C70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所得税前净现金流量（1-2）</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3931">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4084.42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439A">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606.33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DB5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605.00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793B">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603.68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B880">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602.36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66CE">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601.05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DC2A">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2980.26 </w:t>
            </w:r>
          </w:p>
        </w:tc>
      </w:tr>
      <w:tr w14:paraId="2048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62F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456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累计所得税前净现金流量</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788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7FCC">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-1307.92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88CB">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-702.92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A29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-99.25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DC49">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503.11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C640">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1104.16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67E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4084.42 </w:t>
            </w:r>
          </w:p>
        </w:tc>
      </w:tr>
      <w:tr w14:paraId="0D96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B43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5</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F05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所得税前净现金流量现值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7D48">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1908.53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F10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454.60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D003">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435.32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D0A2">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416.86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A95C">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399.19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1C93">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398.32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6443">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1975.04 </w:t>
            </w:r>
          </w:p>
        </w:tc>
      </w:tr>
      <w:tr w14:paraId="5A44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CF9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6</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46B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累计所得税前净现金流量现值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183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90C4">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-1716.22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D2D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-1280.89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D752">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-864.03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200F">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-464.84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E1F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-66.52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63EA">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1908.53 </w:t>
            </w:r>
          </w:p>
        </w:tc>
      </w:tr>
      <w:tr w14:paraId="2E76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F11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C64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调整所得税</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EF68">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678.80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2EF">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61.38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DF5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65.66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147B">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70.11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48C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74.73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F77E">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79.64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A8B8">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83.42 </w:t>
            </w:r>
          </w:p>
        </w:tc>
      </w:tr>
      <w:tr w14:paraId="3FD8F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8FA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8</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5A4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所得税后净现金流量（3-5）</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239E">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3405.62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9B25">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544.94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60F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539.34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ABD0">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533.56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4EB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527.63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06AC">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521.41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2037">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2896.84 </w:t>
            </w:r>
          </w:p>
        </w:tc>
      </w:tr>
      <w:tr w14:paraId="6339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D99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960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累计所得税后净现金流量</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14C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76B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-1613.16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ACB6">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-1073.82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D924">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-540.26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F24C">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-12.63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C515">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508.78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3812">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3405.62 </w:t>
            </w:r>
          </w:p>
        </w:tc>
      </w:tr>
      <w:tr w14:paraId="24CA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087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10</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71C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所得税后净现金流量现值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67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1402.05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94E8">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408.58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A198">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386.59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CBBA">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368.45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F949">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349.66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8712">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345.54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E5D2">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1919.76 </w:t>
            </w:r>
          </w:p>
        </w:tc>
      </w:tr>
      <w:tr w14:paraId="3A5D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7C3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72E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累计所得税后净现金流量现值</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6AE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D41E">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-1967.96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C10A">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-1581.37 </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BBDF">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-1212.92 </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4B79">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-863.26 </w:t>
            </w:r>
          </w:p>
        </w:tc>
        <w:tc>
          <w:tcPr>
            <w:tcW w:w="14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A43C">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-517.71 </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25BA">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1402.05 </w:t>
            </w:r>
          </w:p>
        </w:tc>
      </w:tr>
      <w:tr w14:paraId="41FA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641" w:type="dxa"/>
            <w:gridSpan w:val="2"/>
            <w:tcBorders>
              <w:top w:val="nil"/>
              <w:left w:val="nil"/>
              <w:bottom w:val="nil"/>
              <w:right w:val="nil"/>
            </w:tcBorders>
            <w:shd w:val="clear" w:color="auto" w:fill="auto"/>
            <w:noWrap/>
            <w:vAlign w:val="center"/>
          </w:tcPr>
          <w:p w14:paraId="10B4EC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计算指标：</w:t>
            </w:r>
          </w:p>
        </w:tc>
        <w:tc>
          <w:tcPr>
            <w:tcW w:w="851" w:type="dxa"/>
            <w:tcBorders>
              <w:top w:val="nil"/>
              <w:left w:val="nil"/>
              <w:bottom w:val="nil"/>
              <w:right w:val="nil"/>
            </w:tcBorders>
            <w:shd w:val="clear" w:color="auto" w:fill="auto"/>
            <w:noWrap/>
            <w:vAlign w:val="center"/>
          </w:tcPr>
          <w:p w14:paraId="501A24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652" w:type="dxa"/>
            <w:gridSpan w:val="2"/>
            <w:tcBorders>
              <w:top w:val="nil"/>
              <w:left w:val="nil"/>
              <w:bottom w:val="nil"/>
              <w:right w:val="nil"/>
            </w:tcBorders>
            <w:shd w:val="clear" w:color="auto" w:fill="auto"/>
            <w:noWrap/>
            <w:vAlign w:val="center"/>
          </w:tcPr>
          <w:p w14:paraId="59752A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tcBorders>
              <w:top w:val="nil"/>
              <w:left w:val="nil"/>
              <w:bottom w:val="nil"/>
              <w:right w:val="nil"/>
            </w:tcBorders>
            <w:shd w:val="clear" w:color="auto" w:fill="auto"/>
            <w:noWrap/>
            <w:vAlign w:val="center"/>
          </w:tcPr>
          <w:p w14:paraId="4C3182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gridSpan w:val="2"/>
            <w:tcBorders>
              <w:top w:val="nil"/>
              <w:left w:val="nil"/>
              <w:bottom w:val="nil"/>
              <w:right w:val="nil"/>
            </w:tcBorders>
            <w:shd w:val="clear" w:color="auto" w:fill="auto"/>
            <w:noWrap/>
            <w:vAlign w:val="center"/>
          </w:tcPr>
          <w:p w14:paraId="056081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gridSpan w:val="2"/>
            <w:tcBorders>
              <w:top w:val="nil"/>
              <w:left w:val="nil"/>
              <w:bottom w:val="nil"/>
              <w:right w:val="nil"/>
            </w:tcBorders>
            <w:shd w:val="clear" w:color="auto" w:fill="auto"/>
            <w:noWrap/>
            <w:vAlign w:val="center"/>
          </w:tcPr>
          <w:p w14:paraId="0AD456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tcBorders>
              <w:top w:val="nil"/>
              <w:left w:val="nil"/>
              <w:bottom w:val="nil"/>
              <w:right w:val="nil"/>
            </w:tcBorders>
            <w:shd w:val="clear" w:color="auto" w:fill="auto"/>
            <w:noWrap/>
            <w:vAlign w:val="center"/>
          </w:tcPr>
          <w:p w14:paraId="78FB87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gridSpan w:val="2"/>
            <w:tcBorders>
              <w:top w:val="nil"/>
              <w:left w:val="nil"/>
              <w:bottom w:val="nil"/>
              <w:right w:val="nil"/>
            </w:tcBorders>
            <w:shd w:val="clear" w:color="auto" w:fill="auto"/>
            <w:noWrap/>
            <w:vAlign w:val="center"/>
          </w:tcPr>
          <w:p w14:paraId="024BD3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gridSpan w:val="2"/>
            <w:tcBorders>
              <w:top w:val="nil"/>
              <w:left w:val="nil"/>
              <w:bottom w:val="nil"/>
              <w:right w:val="nil"/>
            </w:tcBorders>
            <w:shd w:val="clear" w:color="auto" w:fill="auto"/>
            <w:noWrap/>
            <w:vAlign w:val="center"/>
          </w:tcPr>
          <w:p w14:paraId="321501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tcBorders>
              <w:top w:val="nil"/>
              <w:left w:val="nil"/>
              <w:bottom w:val="nil"/>
              <w:right w:val="nil"/>
            </w:tcBorders>
            <w:shd w:val="clear" w:color="auto" w:fill="auto"/>
            <w:noWrap/>
            <w:vAlign w:val="center"/>
          </w:tcPr>
          <w:p w14:paraId="3A1F8E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3" w:type="dxa"/>
            <w:gridSpan w:val="2"/>
            <w:tcBorders>
              <w:top w:val="nil"/>
              <w:left w:val="nil"/>
              <w:bottom w:val="nil"/>
              <w:right w:val="nil"/>
            </w:tcBorders>
            <w:shd w:val="clear" w:color="auto" w:fill="auto"/>
            <w:noWrap/>
            <w:vAlign w:val="center"/>
          </w:tcPr>
          <w:p w14:paraId="3F4CC47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c>
          <w:tcPr>
            <w:tcW w:w="942" w:type="dxa"/>
            <w:tcBorders>
              <w:top w:val="nil"/>
              <w:left w:val="nil"/>
              <w:bottom w:val="nil"/>
              <w:right w:val="nil"/>
            </w:tcBorders>
            <w:shd w:val="clear" w:color="auto" w:fill="auto"/>
            <w:noWrap/>
            <w:vAlign w:val="center"/>
          </w:tcPr>
          <w:p w14:paraId="0EA92C3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r>
      <w:tr w14:paraId="3B14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2" w:type="dxa"/>
            <w:gridSpan w:val="3"/>
            <w:tcBorders>
              <w:top w:val="nil"/>
              <w:left w:val="nil"/>
              <w:bottom w:val="nil"/>
              <w:right w:val="nil"/>
            </w:tcBorders>
            <w:shd w:val="clear" w:color="auto" w:fill="auto"/>
            <w:noWrap/>
            <w:vAlign w:val="center"/>
          </w:tcPr>
          <w:p w14:paraId="29855C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项目投资财务内部收益率（%）（所得税前）</w:t>
            </w:r>
          </w:p>
        </w:tc>
        <w:tc>
          <w:tcPr>
            <w:tcW w:w="652" w:type="dxa"/>
            <w:gridSpan w:val="2"/>
            <w:tcBorders>
              <w:top w:val="nil"/>
              <w:left w:val="nil"/>
              <w:bottom w:val="nil"/>
              <w:right w:val="nil"/>
            </w:tcBorders>
            <w:shd w:val="clear" w:color="auto" w:fill="auto"/>
            <w:noWrap/>
            <w:vAlign w:val="center"/>
          </w:tcPr>
          <w:p w14:paraId="6C64A3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tcBorders>
              <w:top w:val="nil"/>
              <w:left w:val="nil"/>
              <w:bottom w:val="nil"/>
              <w:right w:val="nil"/>
            </w:tcBorders>
            <w:shd w:val="clear" w:color="auto" w:fill="auto"/>
            <w:noWrap/>
            <w:vAlign w:val="center"/>
          </w:tcPr>
          <w:p w14:paraId="2A9A6361">
            <w:pPr>
              <w:keepNext w:val="0"/>
              <w:keepLines w:val="0"/>
              <w:pageBreakBefore w:val="0"/>
              <w:widowControl/>
              <w:suppressLineNumbers w:val="0"/>
              <w:kinsoku w:val="0"/>
              <w:wordWrap/>
              <w:overflowPunct/>
              <w:topLinePunct w:val="0"/>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9.33%</w:t>
            </w:r>
          </w:p>
        </w:tc>
        <w:tc>
          <w:tcPr>
            <w:tcW w:w="984" w:type="dxa"/>
            <w:gridSpan w:val="2"/>
            <w:tcBorders>
              <w:top w:val="nil"/>
              <w:left w:val="nil"/>
              <w:bottom w:val="nil"/>
              <w:right w:val="nil"/>
            </w:tcBorders>
            <w:shd w:val="clear" w:color="auto" w:fill="auto"/>
            <w:noWrap/>
            <w:vAlign w:val="center"/>
          </w:tcPr>
          <w:p w14:paraId="391C0D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3936" w:type="dxa"/>
            <w:gridSpan w:val="7"/>
            <w:tcBorders>
              <w:top w:val="nil"/>
              <w:left w:val="nil"/>
              <w:bottom w:val="nil"/>
              <w:right w:val="nil"/>
            </w:tcBorders>
            <w:shd w:val="clear" w:color="auto" w:fill="auto"/>
            <w:noWrap/>
            <w:vAlign w:val="center"/>
          </w:tcPr>
          <w:p w14:paraId="39DC8C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项目投资财务内部收益率（%）（所得税后）</w:t>
            </w:r>
          </w:p>
        </w:tc>
        <w:tc>
          <w:tcPr>
            <w:tcW w:w="984" w:type="dxa"/>
            <w:tcBorders>
              <w:top w:val="nil"/>
              <w:left w:val="nil"/>
              <w:bottom w:val="nil"/>
              <w:right w:val="nil"/>
            </w:tcBorders>
            <w:shd w:val="clear" w:color="auto" w:fill="auto"/>
            <w:noWrap/>
            <w:vAlign w:val="center"/>
          </w:tcPr>
          <w:p w14:paraId="36F7E1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3" w:type="dxa"/>
            <w:gridSpan w:val="2"/>
            <w:tcBorders>
              <w:top w:val="nil"/>
              <w:left w:val="nil"/>
              <w:bottom w:val="nil"/>
              <w:right w:val="nil"/>
            </w:tcBorders>
            <w:shd w:val="clear" w:color="auto" w:fill="auto"/>
            <w:noWrap/>
            <w:vAlign w:val="center"/>
          </w:tcPr>
          <w:p w14:paraId="1E35113C">
            <w:pPr>
              <w:keepNext w:val="0"/>
              <w:keepLines w:val="0"/>
              <w:pageBreakBefore w:val="0"/>
              <w:widowControl/>
              <w:suppressLineNumbers w:val="0"/>
              <w:kinsoku w:val="0"/>
              <w:wordWrap/>
              <w:overflowPunct/>
              <w:topLinePunct w:val="0"/>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7.92%</w:t>
            </w:r>
          </w:p>
        </w:tc>
        <w:tc>
          <w:tcPr>
            <w:tcW w:w="942" w:type="dxa"/>
            <w:tcBorders>
              <w:top w:val="nil"/>
              <w:left w:val="nil"/>
              <w:bottom w:val="nil"/>
              <w:right w:val="nil"/>
            </w:tcBorders>
            <w:shd w:val="clear" w:color="auto" w:fill="auto"/>
            <w:noWrap/>
            <w:vAlign w:val="center"/>
          </w:tcPr>
          <w:p w14:paraId="38AAA4C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r>
      <w:tr w14:paraId="450A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2" w:type="dxa"/>
            <w:gridSpan w:val="3"/>
            <w:tcBorders>
              <w:top w:val="nil"/>
              <w:left w:val="nil"/>
              <w:bottom w:val="nil"/>
              <w:right w:val="nil"/>
            </w:tcBorders>
            <w:shd w:val="clear" w:color="auto" w:fill="auto"/>
            <w:noWrap/>
            <w:vAlign w:val="center"/>
          </w:tcPr>
          <w:p w14:paraId="03B8AD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项目投资财务净现值（所得税前）（ic=4.2%）</w:t>
            </w:r>
          </w:p>
        </w:tc>
        <w:tc>
          <w:tcPr>
            <w:tcW w:w="652" w:type="dxa"/>
            <w:gridSpan w:val="2"/>
            <w:tcBorders>
              <w:top w:val="nil"/>
              <w:left w:val="nil"/>
              <w:bottom w:val="nil"/>
              <w:right w:val="nil"/>
            </w:tcBorders>
            <w:shd w:val="clear" w:color="auto" w:fill="auto"/>
            <w:noWrap/>
            <w:vAlign w:val="center"/>
          </w:tcPr>
          <w:p w14:paraId="1470D8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tcBorders>
              <w:top w:val="nil"/>
              <w:left w:val="nil"/>
              <w:bottom w:val="nil"/>
              <w:right w:val="nil"/>
            </w:tcBorders>
            <w:shd w:val="clear" w:color="auto" w:fill="auto"/>
            <w:noWrap/>
            <w:vAlign w:val="center"/>
          </w:tcPr>
          <w:p w14:paraId="1163C52F">
            <w:pPr>
              <w:keepNext w:val="0"/>
              <w:keepLines w:val="0"/>
              <w:pageBreakBefore w:val="0"/>
              <w:widowControl/>
              <w:suppressLineNumbers w:val="0"/>
              <w:kinsoku w:val="0"/>
              <w:wordWrap/>
              <w:overflowPunct/>
              <w:topLinePunct w:val="0"/>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1908.53 </w:t>
            </w:r>
          </w:p>
        </w:tc>
        <w:tc>
          <w:tcPr>
            <w:tcW w:w="984" w:type="dxa"/>
            <w:gridSpan w:val="2"/>
            <w:tcBorders>
              <w:top w:val="nil"/>
              <w:left w:val="nil"/>
              <w:bottom w:val="nil"/>
              <w:right w:val="nil"/>
            </w:tcBorders>
            <w:shd w:val="clear" w:color="auto" w:fill="auto"/>
            <w:noWrap/>
            <w:vAlign w:val="center"/>
          </w:tcPr>
          <w:p w14:paraId="37C484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3936" w:type="dxa"/>
            <w:gridSpan w:val="7"/>
            <w:tcBorders>
              <w:top w:val="nil"/>
              <w:left w:val="nil"/>
              <w:bottom w:val="nil"/>
              <w:right w:val="nil"/>
            </w:tcBorders>
            <w:shd w:val="clear" w:color="auto" w:fill="auto"/>
            <w:noWrap/>
            <w:vAlign w:val="center"/>
          </w:tcPr>
          <w:p w14:paraId="7E03FE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项目投资财务净现值（所得税后）（ic=4.2%）</w:t>
            </w:r>
          </w:p>
        </w:tc>
        <w:tc>
          <w:tcPr>
            <w:tcW w:w="984" w:type="dxa"/>
            <w:tcBorders>
              <w:top w:val="nil"/>
              <w:left w:val="nil"/>
              <w:bottom w:val="nil"/>
              <w:right w:val="nil"/>
            </w:tcBorders>
            <w:shd w:val="clear" w:color="auto" w:fill="auto"/>
            <w:noWrap/>
            <w:vAlign w:val="center"/>
          </w:tcPr>
          <w:p w14:paraId="55B5AA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3" w:type="dxa"/>
            <w:gridSpan w:val="2"/>
            <w:tcBorders>
              <w:top w:val="nil"/>
              <w:left w:val="nil"/>
              <w:bottom w:val="nil"/>
              <w:right w:val="nil"/>
            </w:tcBorders>
            <w:shd w:val="clear" w:color="auto" w:fill="auto"/>
            <w:noWrap/>
            <w:vAlign w:val="center"/>
          </w:tcPr>
          <w:p w14:paraId="53DC500B">
            <w:pPr>
              <w:keepNext w:val="0"/>
              <w:keepLines w:val="0"/>
              <w:pageBreakBefore w:val="0"/>
              <w:widowControl/>
              <w:suppressLineNumbers w:val="0"/>
              <w:kinsoku w:val="0"/>
              <w:wordWrap/>
              <w:overflowPunct/>
              <w:topLinePunct w:val="0"/>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1402.05 </w:t>
            </w:r>
          </w:p>
        </w:tc>
        <w:tc>
          <w:tcPr>
            <w:tcW w:w="942" w:type="dxa"/>
            <w:tcBorders>
              <w:top w:val="nil"/>
              <w:left w:val="nil"/>
              <w:bottom w:val="nil"/>
              <w:right w:val="nil"/>
            </w:tcBorders>
            <w:shd w:val="clear" w:color="auto" w:fill="auto"/>
            <w:noWrap/>
            <w:vAlign w:val="center"/>
          </w:tcPr>
          <w:p w14:paraId="653A42A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r>
      <w:tr w14:paraId="59964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92" w:type="dxa"/>
            <w:gridSpan w:val="3"/>
            <w:tcBorders>
              <w:top w:val="nil"/>
              <w:left w:val="nil"/>
              <w:bottom w:val="nil"/>
              <w:right w:val="nil"/>
            </w:tcBorders>
            <w:shd w:val="clear" w:color="auto" w:fill="auto"/>
            <w:noWrap/>
            <w:vAlign w:val="center"/>
          </w:tcPr>
          <w:p w14:paraId="3F04B5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项目投资回收期（年）（所得税前）</w:t>
            </w:r>
          </w:p>
        </w:tc>
        <w:tc>
          <w:tcPr>
            <w:tcW w:w="652" w:type="dxa"/>
            <w:gridSpan w:val="2"/>
            <w:tcBorders>
              <w:top w:val="nil"/>
              <w:left w:val="nil"/>
              <w:bottom w:val="nil"/>
              <w:right w:val="nil"/>
            </w:tcBorders>
            <w:shd w:val="clear" w:color="auto" w:fill="auto"/>
            <w:noWrap/>
            <w:vAlign w:val="center"/>
          </w:tcPr>
          <w:p w14:paraId="298269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4" w:type="dxa"/>
            <w:tcBorders>
              <w:top w:val="nil"/>
              <w:left w:val="nil"/>
              <w:bottom w:val="nil"/>
              <w:right w:val="nil"/>
            </w:tcBorders>
            <w:shd w:val="clear" w:color="auto" w:fill="auto"/>
            <w:noWrap/>
            <w:vAlign w:val="center"/>
          </w:tcPr>
          <w:p w14:paraId="367B02BC">
            <w:pPr>
              <w:keepNext w:val="0"/>
              <w:keepLines w:val="0"/>
              <w:pageBreakBefore w:val="0"/>
              <w:widowControl/>
              <w:suppressLineNumbers w:val="0"/>
              <w:kinsoku w:val="0"/>
              <w:wordWrap/>
              <w:overflowPunct/>
              <w:topLinePunct w:val="0"/>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11.03 </w:t>
            </w:r>
          </w:p>
        </w:tc>
        <w:tc>
          <w:tcPr>
            <w:tcW w:w="984" w:type="dxa"/>
            <w:gridSpan w:val="2"/>
            <w:tcBorders>
              <w:top w:val="nil"/>
              <w:left w:val="nil"/>
              <w:bottom w:val="nil"/>
              <w:right w:val="nil"/>
            </w:tcBorders>
            <w:shd w:val="clear" w:color="auto" w:fill="auto"/>
            <w:noWrap/>
            <w:vAlign w:val="center"/>
          </w:tcPr>
          <w:p w14:paraId="72E41A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3936" w:type="dxa"/>
            <w:gridSpan w:val="7"/>
            <w:tcBorders>
              <w:top w:val="nil"/>
              <w:left w:val="nil"/>
              <w:bottom w:val="nil"/>
              <w:right w:val="nil"/>
            </w:tcBorders>
            <w:shd w:val="clear" w:color="auto" w:fill="auto"/>
            <w:noWrap/>
            <w:vAlign w:val="center"/>
          </w:tcPr>
          <w:p w14:paraId="1B43E8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项目投资回收期（年）（所得税后）</w:t>
            </w:r>
          </w:p>
        </w:tc>
        <w:tc>
          <w:tcPr>
            <w:tcW w:w="984" w:type="dxa"/>
            <w:tcBorders>
              <w:top w:val="nil"/>
              <w:left w:val="nil"/>
              <w:bottom w:val="nil"/>
              <w:right w:val="nil"/>
            </w:tcBorders>
            <w:shd w:val="clear" w:color="auto" w:fill="auto"/>
            <w:noWrap/>
            <w:vAlign w:val="center"/>
          </w:tcPr>
          <w:p w14:paraId="4F08D4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i w:val="0"/>
                <w:iCs w:val="0"/>
                <w:color w:val="000000"/>
                <w:kern w:val="0"/>
                <w:sz w:val="21"/>
                <w:szCs w:val="21"/>
                <w:u w:val="none"/>
                <w:lang w:val="en-US" w:eastAsia="zh-CN" w:bidi="ar"/>
              </w:rPr>
            </w:pPr>
          </w:p>
        </w:tc>
        <w:tc>
          <w:tcPr>
            <w:tcW w:w="983" w:type="dxa"/>
            <w:gridSpan w:val="2"/>
            <w:tcBorders>
              <w:top w:val="nil"/>
              <w:left w:val="nil"/>
              <w:bottom w:val="nil"/>
              <w:right w:val="nil"/>
            </w:tcBorders>
            <w:shd w:val="clear" w:color="auto" w:fill="auto"/>
            <w:noWrap/>
            <w:vAlign w:val="center"/>
          </w:tcPr>
          <w:p w14:paraId="6BEE252C">
            <w:pPr>
              <w:keepNext w:val="0"/>
              <w:keepLines w:val="0"/>
              <w:pageBreakBefore w:val="0"/>
              <w:widowControl/>
              <w:suppressLineNumbers w:val="0"/>
              <w:kinsoku w:val="0"/>
              <w:wordWrap/>
              <w:overflowPunct/>
              <w:topLinePunct w:val="0"/>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11.27 </w:t>
            </w:r>
          </w:p>
        </w:tc>
        <w:tc>
          <w:tcPr>
            <w:tcW w:w="942" w:type="dxa"/>
            <w:tcBorders>
              <w:top w:val="nil"/>
              <w:left w:val="nil"/>
              <w:bottom w:val="nil"/>
              <w:right w:val="nil"/>
            </w:tcBorders>
            <w:shd w:val="clear" w:color="auto" w:fill="auto"/>
            <w:noWrap/>
            <w:vAlign w:val="center"/>
          </w:tcPr>
          <w:p w14:paraId="031E885F">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iCs w:val="0"/>
                <w:color w:val="000000"/>
                <w:sz w:val="21"/>
                <w:szCs w:val="21"/>
                <w:u w:val="none"/>
              </w:rPr>
            </w:pPr>
          </w:p>
        </w:tc>
      </w:tr>
    </w:tbl>
    <w:p w14:paraId="4677A0B5">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12793CA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0"/>
        <w:rPr>
          <w:rFonts w:hint="eastAsia" w:ascii="仿宋" w:hAnsi="仿宋" w:eastAsia="仿宋" w:cs="仿宋"/>
          <w:b/>
          <w:bCs/>
          <w:i w:val="0"/>
          <w:iCs w:val="0"/>
          <w:color w:val="auto"/>
          <w:kern w:val="0"/>
          <w:sz w:val="28"/>
          <w:szCs w:val="28"/>
          <w:u w:val="none"/>
          <w:lang w:val="en-US" w:eastAsia="zh-CN"/>
        </w:rPr>
      </w:pPr>
      <w:bookmarkStart w:id="19" w:name="_Toc8075"/>
      <w:bookmarkStart w:id="20" w:name="_Toc28353"/>
      <w:bookmarkStart w:id="21" w:name="_Toc23809"/>
      <w:r>
        <w:rPr>
          <w:rFonts w:hint="eastAsia" w:ascii="仿宋" w:hAnsi="仿宋" w:eastAsia="仿宋" w:cs="仿宋"/>
          <w:b/>
          <w:bCs/>
          <w:i w:val="0"/>
          <w:iCs w:val="0"/>
          <w:color w:val="auto"/>
          <w:kern w:val="0"/>
          <w:sz w:val="28"/>
          <w:szCs w:val="28"/>
          <w:u w:val="none"/>
          <w:lang w:val="en-US" w:eastAsia="zh-CN"/>
        </w:rPr>
        <w:t>附表7：还本付息表</w:t>
      </w:r>
      <w:bookmarkEnd w:id="19"/>
      <w:bookmarkEnd w:id="20"/>
      <w:bookmarkEnd w:id="21"/>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2145"/>
        <w:gridCol w:w="1020"/>
        <w:gridCol w:w="1438"/>
        <w:gridCol w:w="1438"/>
        <w:gridCol w:w="1438"/>
        <w:gridCol w:w="1438"/>
        <w:gridCol w:w="1438"/>
        <w:gridCol w:w="1438"/>
        <w:gridCol w:w="1441"/>
      </w:tblGrid>
      <w:tr w14:paraId="4285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3946" w:type="dxa"/>
            <w:gridSpan w:val="10"/>
            <w:tcBorders>
              <w:top w:val="nil"/>
              <w:left w:val="nil"/>
              <w:bottom w:val="nil"/>
              <w:right w:val="nil"/>
            </w:tcBorders>
            <w:shd w:val="clear" w:color="auto" w:fill="auto"/>
            <w:noWrap/>
            <w:vAlign w:val="center"/>
          </w:tcPr>
          <w:p w14:paraId="6FDB9D1A">
            <w:pPr>
              <w:keepNext w:val="0"/>
              <w:keepLines w:val="0"/>
              <w:pageBreakBefore w:val="0"/>
              <w:widowControl/>
              <w:wordWrap/>
              <w:overflowPunct/>
              <w:topLinePunct w:val="0"/>
              <w:bidi w:val="0"/>
              <w:jc w:val="right"/>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5B02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C675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序号</w:t>
            </w:r>
          </w:p>
        </w:tc>
        <w:tc>
          <w:tcPr>
            <w:tcW w:w="2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6DD4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 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97FC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10069" w:type="dxa"/>
            <w:gridSpan w:val="7"/>
            <w:tcBorders>
              <w:top w:val="single" w:color="000000" w:sz="4" w:space="0"/>
              <w:left w:val="single" w:color="000000" w:sz="4" w:space="0"/>
              <w:bottom w:val="single" w:color="000000" w:sz="4" w:space="0"/>
              <w:right w:val="nil"/>
            </w:tcBorders>
            <w:shd w:val="clear" w:color="auto" w:fill="auto"/>
            <w:vAlign w:val="center"/>
          </w:tcPr>
          <w:p w14:paraId="1BEB031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计算期</w:t>
            </w:r>
          </w:p>
        </w:tc>
      </w:tr>
      <w:tr w14:paraId="3DF7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96E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2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417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FC2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D2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0.5建设期</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FD8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0.5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7FE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0D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52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BA7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F59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r>
      <w:tr w14:paraId="3DAA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69E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93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建设投资借款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AD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4600.00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25A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4600.00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68C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77E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EC2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A88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DA3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A92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r>
      <w:tr w14:paraId="7592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3ED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CC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期初借款余额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622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CC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137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4600.00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EC2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4450.00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031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4130.00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69AA">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3790.00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D96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3440.00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AAA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3060.00 </w:t>
            </w:r>
          </w:p>
        </w:tc>
      </w:tr>
      <w:tr w14:paraId="5074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3DE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1.2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5E1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当期还本付息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3D2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5946.06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21B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51.75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AEE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251.81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14C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513.05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311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518.20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EDA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512.68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B69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526.25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6F9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509.15 </w:t>
            </w:r>
          </w:p>
        </w:tc>
      </w:tr>
      <w:tr w14:paraId="478E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5CE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9FA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其中：还本</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0F0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4600.00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E18B">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268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150.00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A60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320.00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2F6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340.00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E7C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350.00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B46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380.00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94A6">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380.00 </w:t>
            </w:r>
          </w:p>
        </w:tc>
      </w:tr>
      <w:tr w14:paraId="1141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50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CDC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付息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B0F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1346.06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B67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51.75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9EE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101.81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4A0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193.05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543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178.20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89D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162.68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9FB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146.25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05F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129.15 </w:t>
            </w:r>
          </w:p>
        </w:tc>
      </w:tr>
      <w:tr w14:paraId="4A69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852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1.3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283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期末借款余额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6CF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33200.00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318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4600.00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AE5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4450.00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C4E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4130.00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2A20">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3790.00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AC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3440.00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F81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3060.00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74E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2680.00 </w:t>
            </w:r>
          </w:p>
        </w:tc>
      </w:tr>
      <w:tr w14:paraId="08B4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7A0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 </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BEA7">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可用于还本付息的资金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C26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6950.22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22C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F87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301.32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BAF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603.87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1D8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605.13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E3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606.41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76C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607.69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E388">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607.66 </w:t>
            </w:r>
          </w:p>
        </w:tc>
      </w:tr>
      <w:tr w14:paraId="06F1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98B1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指标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350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利息备付率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606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5.16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213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348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2.96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374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3.13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403">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3.40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E7C1">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3.73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F3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4.16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8F9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4.71 </w:t>
            </w:r>
          </w:p>
        </w:tc>
      </w:tr>
      <w:tr w14:paraId="45B7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194C">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8E3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偿债备付率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D3D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1.17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58D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1A8E">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1.20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F3C9">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1.18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AD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1.17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EABD">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1.18 </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80C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1.15 </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343F">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1.19 </w:t>
            </w:r>
          </w:p>
        </w:tc>
      </w:tr>
    </w:tbl>
    <w:p w14:paraId="7B31CD1F">
      <w:pPr>
        <w:rPr>
          <w:rFonts w:hint="eastAsia" w:ascii="仿宋" w:hAnsi="仿宋" w:eastAsia="仿宋" w:cs="仿宋"/>
        </w:rPr>
      </w:pPr>
      <w:r>
        <w:rPr>
          <w:rFonts w:hint="eastAsia" w:ascii="仿宋" w:hAnsi="仿宋" w:eastAsia="仿宋" w:cs="仿宋"/>
        </w:rPr>
        <w:br w:type="page"/>
      </w:r>
    </w:p>
    <w:p w14:paraId="445BB6D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bCs/>
          <w:i w:val="0"/>
          <w:iCs w:val="0"/>
          <w:color w:val="auto"/>
          <w:kern w:val="0"/>
          <w:sz w:val="28"/>
          <w:szCs w:val="28"/>
          <w:u w:val="none"/>
          <w:lang w:val="en-US" w:eastAsia="zh-CN"/>
        </w:rPr>
      </w:pPr>
      <w:r>
        <w:rPr>
          <w:rFonts w:hint="eastAsia" w:ascii="仿宋" w:hAnsi="仿宋" w:eastAsia="仿宋" w:cs="仿宋"/>
          <w:b/>
          <w:bCs/>
          <w:i w:val="0"/>
          <w:iCs w:val="0"/>
          <w:color w:val="auto"/>
          <w:kern w:val="0"/>
          <w:sz w:val="28"/>
          <w:szCs w:val="28"/>
          <w:u w:val="none"/>
          <w:lang w:val="en-US" w:eastAsia="zh-CN"/>
        </w:rPr>
        <w:t>附表7：还本付息表</w:t>
      </w:r>
    </w:p>
    <w:tbl>
      <w:tblPr>
        <w:tblStyle w:val="22"/>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2"/>
        <w:gridCol w:w="2085"/>
        <w:gridCol w:w="1200"/>
        <w:gridCol w:w="1633"/>
        <w:gridCol w:w="1633"/>
        <w:gridCol w:w="1633"/>
        <w:gridCol w:w="1633"/>
        <w:gridCol w:w="1633"/>
        <w:gridCol w:w="1634"/>
      </w:tblGrid>
      <w:tr w14:paraId="27C1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3946" w:type="dxa"/>
            <w:gridSpan w:val="9"/>
            <w:tcBorders>
              <w:top w:val="nil"/>
              <w:left w:val="nil"/>
              <w:bottom w:val="nil"/>
              <w:right w:val="nil"/>
            </w:tcBorders>
            <w:shd w:val="clear" w:color="auto" w:fill="auto"/>
            <w:noWrap/>
            <w:vAlign w:val="center"/>
          </w:tcPr>
          <w:p w14:paraId="16F2B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单位：万元</w:t>
            </w:r>
          </w:p>
        </w:tc>
      </w:tr>
      <w:tr w14:paraId="3E1A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FBE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序号</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657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 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F8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合计</w:t>
            </w:r>
          </w:p>
        </w:tc>
        <w:tc>
          <w:tcPr>
            <w:tcW w:w="9799" w:type="dxa"/>
            <w:gridSpan w:val="6"/>
            <w:tcBorders>
              <w:top w:val="single" w:color="000000" w:sz="4" w:space="0"/>
              <w:left w:val="single" w:color="000000" w:sz="4" w:space="0"/>
              <w:bottom w:val="single" w:color="000000" w:sz="4" w:space="0"/>
              <w:right w:val="nil"/>
            </w:tcBorders>
            <w:shd w:val="clear" w:color="auto" w:fill="auto"/>
            <w:vAlign w:val="center"/>
          </w:tcPr>
          <w:p w14:paraId="45264D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计算期</w:t>
            </w:r>
          </w:p>
        </w:tc>
      </w:tr>
      <w:tr w14:paraId="2D01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D7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79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3A3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61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8A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65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4E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BA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1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top"/>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r>
      <w:tr w14:paraId="2569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CD5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7EC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建设投资借款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D26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4600.00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6FAA">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2CF0">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28BA">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432A">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CE51">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992">
            <w:pPr>
              <w:keepNext w:val="0"/>
              <w:keepLines w:val="0"/>
              <w:pageBreakBefore w:val="0"/>
              <w:widowControl/>
              <w:wordWrap/>
              <w:overflowPunct/>
              <w:topLinePunct w:val="0"/>
              <w:bidi w:val="0"/>
              <w:jc w:val="center"/>
              <w:rPr>
                <w:rFonts w:hint="eastAsia" w:ascii="仿宋" w:hAnsi="仿宋" w:eastAsia="仿宋" w:cs="仿宋"/>
                <w:i w:val="0"/>
                <w:iCs w:val="0"/>
                <w:snapToGrid w:val="0"/>
                <w:color w:val="000000"/>
                <w:kern w:val="0"/>
                <w:sz w:val="21"/>
                <w:szCs w:val="21"/>
                <w:u w:val="none"/>
                <w:lang w:val="en-US" w:eastAsia="zh-CN" w:bidi="ar"/>
              </w:rPr>
            </w:pPr>
          </w:p>
        </w:tc>
      </w:tr>
      <w:tr w14:paraId="1676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8AD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0E7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期初借款余额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AA6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17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2680.00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F6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2280.00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72B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1860.00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E0A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1430.00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FDA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980.00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CF9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500.00 </w:t>
            </w:r>
          </w:p>
        </w:tc>
      </w:tr>
      <w:tr w14:paraId="1D21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335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4A6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当期还本付息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B3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5946.06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92A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511.60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93D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513.15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94D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504.03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144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504.23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775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513.30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CAB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516.88 </w:t>
            </w:r>
          </w:p>
        </w:tc>
      </w:tr>
      <w:tr w14:paraId="64B1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D7F4">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1B6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其中：还本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EDC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4600.00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A2B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400.00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C6A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420.00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264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430.00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1CD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450.00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526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480.00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07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500.00 </w:t>
            </w:r>
          </w:p>
        </w:tc>
      </w:tr>
      <w:tr w14:paraId="55B4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6562">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B4A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付息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390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1346.06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A14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111.60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772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93.15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3DE3">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74.03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E152">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54.23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E41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33.30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8C2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16.88 </w:t>
            </w:r>
          </w:p>
        </w:tc>
      </w:tr>
      <w:tr w14:paraId="19DE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04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5CB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期末借款余额</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2B7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33200.00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A71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2280.00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4E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1860.00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BAF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1430.00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FDE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980.00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B6A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500.00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77D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0.00 </w:t>
            </w:r>
          </w:p>
        </w:tc>
      </w:tr>
      <w:tr w14:paraId="79053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5FF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ECAA">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可用于还本付息的资金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49C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6950.22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40E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606.33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4417">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605.00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04DD">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603.68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8135">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602.36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C5F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601.05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5D2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599.74 </w:t>
            </w:r>
          </w:p>
        </w:tc>
      </w:tr>
      <w:tr w14:paraId="0DD3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C214D">
            <w:pPr>
              <w:keepNext w:val="0"/>
              <w:keepLines w:val="0"/>
              <w:pageBreakBefore w:val="0"/>
              <w:widowControl/>
              <w:suppressLineNumbers w:val="0"/>
              <w:wordWrap/>
              <w:overflowPunct/>
              <w:topLinePunct w:val="0"/>
              <w:bidi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指标</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306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利息备付率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86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5.16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5F3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5.43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079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6.49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3F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8.16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BDA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11.11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88F9">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18.05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B3C6">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35.54 </w:t>
            </w:r>
          </w:p>
        </w:tc>
      </w:tr>
      <w:tr w14:paraId="5FD2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54B5">
            <w:pPr>
              <w:keepNext w:val="0"/>
              <w:keepLines w:val="0"/>
              <w:pageBreakBefore w:val="0"/>
              <w:widowControl/>
              <w:wordWrap/>
              <w:overflowPunct/>
              <w:topLinePunct w:val="0"/>
              <w:bidi w:val="0"/>
              <w:jc w:val="center"/>
              <w:rPr>
                <w:rFonts w:hint="eastAsia" w:ascii="仿宋" w:hAnsi="仿宋" w:eastAsia="仿宋" w:cs="仿宋"/>
                <w:i w:val="0"/>
                <w:iCs w:val="0"/>
                <w:color w:val="000000"/>
                <w:kern w:val="0"/>
                <w:sz w:val="21"/>
                <w:szCs w:val="21"/>
                <w:u w:val="none"/>
                <w:lang w:val="en-US" w:eastAsia="zh-CN" w:bidi="ar"/>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6B0B">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偿债备付率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FB10">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D81C">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1.19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551F">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1.18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0B11">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1.20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DBBE">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1.19 </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CBA8">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1.17 </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5204">
            <w:pPr>
              <w:keepNext w:val="0"/>
              <w:keepLines w:val="0"/>
              <w:pageBreakBefore w:val="0"/>
              <w:widowControl/>
              <w:suppressLineNumbers w:val="0"/>
              <w:wordWrap/>
              <w:overflowPunct/>
              <w:topLinePunct w:val="0"/>
              <w:bidi w:val="0"/>
              <w:jc w:val="center"/>
              <w:textAlignment w:val="top"/>
              <w:rPr>
                <w:rFonts w:hint="eastAsia" w:ascii="仿宋" w:hAnsi="仿宋" w:eastAsia="仿宋" w:cs="仿宋"/>
                <w:i w:val="0"/>
                <w:iCs w:val="0"/>
                <w:snapToGrid w:val="0"/>
                <w:color w:val="000000"/>
                <w:kern w:val="0"/>
                <w:sz w:val="21"/>
                <w:szCs w:val="21"/>
                <w:u w:val="none"/>
                <w:lang w:val="en-US" w:eastAsia="zh-CN" w:bidi="ar"/>
              </w:rPr>
            </w:pPr>
            <w:r>
              <w:rPr>
                <w:rFonts w:hint="eastAsia" w:ascii="仿宋" w:hAnsi="仿宋" w:eastAsia="仿宋" w:cs="仿宋"/>
                <w:i w:val="0"/>
                <w:iCs w:val="0"/>
                <w:snapToGrid w:val="0"/>
                <w:color w:val="000000"/>
                <w:kern w:val="0"/>
                <w:sz w:val="21"/>
                <w:szCs w:val="21"/>
                <w:u w:val="none"/>
                <w:lang w:val="en-US" w:eastAsia="zh-CN" w:bidi="ar"/>
              </w:rPr>
              <w:t xml:space="preserve">1.16 </w:t>
            </w:r>
          </w:p>
        </w:tc>
      </w:tr>
    </w:tbl>
    <w:p w14:paraId="0F9D96CB">
      <w:pPr>
        <w:rPr>
          <w:rFonts w:hint="eastAsia"/>
          <w:lang w:val="en-US" w:eastAsia="zh-CN"/>
        </w:rPr>
      </w:pPr>
    </w:p>
    <w:p w14:paraId="333EEDC3">
      <w:pPr>
        <w:rPr>
          <w:rFonts w:ascii="仿宋" w:hAnsi="仿宋" w:eastAsia="仿宋" w:cstheme="minorEastAsia"/>
          <w:sz w:val="24"/>
        </w:rPr>
      </w:pPr>
    </w:p>
    <w:sectPr>
      <w:pgSz w:w="16838" w:h="11906" w:orient="landscape"/>
      <w:pgMar w:top="1610" w:right="1440" w:bottom="1134"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IAODIAN">
    <w:altName w:val="Times New Roman"/>
    <w:panose1 w:val="00000000000000000000"/>
    <w:charset w:val="00"/>
    <w:family w:val="roman"/>
    <w:pitch w:val="default"/>
    <w:sig w:usb0="00000000" w:usb1="00000000" w:usb2="00000000" w:usb3="00000000" w:csb0="00000001" w:csb1="00000000"/>
  </w:font>
  <w:font w:name="彩虹黑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彩虹粗仿宋">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C290">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59B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20F1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IgyorAgAAVg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sSIMqKwIAAFYEAAAOAAAAAAAAAAEAIAAAAB8BAABkcnMvZTJvRG9jLnhtbFBLBQYAAAAABgAG&#10;AFkBAAC8BQAAAAA=&#10;">
              <v:fill on="f" focussize="0,0"/>
              <v:stroke on="f" weight="0.5pt"/>
              <v:imagedata o:title=""/>
              <o:lock v:ext="edit" aspectratio="f"/>
              <v:textbox inset="0mm,0mm,0mm,0mm" style="mso-fit-shape-to-text:t;">
                <w:txbxContent>
                  <w:p w14:paraId="5DD20F1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9DC6134">
      <w:pPr>
        <w:pStyle w:val="1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TQwMDdmZjQ3NTg0ZmZjYjc2NzdiMTg5YWQ2MWUifQ=="/>
  </w:docVars>
  <w:rsids>
    <w:rsidRoot w:val="6DF45E0A"/>
    <w:rsid w:val="0006170B"/>
    <w:rsid w:val="000A0F46"/>
    <w:rsid w:val="000A6DFE"/>
    <w:rsid w:val="000B23EE"/>
    <w:rsid w:val="000D1E34"/>
    <w:rsid w:val="000D22B3"/>
    <w:rsid w:val="000E3594"/>
    <w:rsid w:val="000E5010"/>
    <w:rsid w:val="000E7293"/>
    <w:rsid w:val="00107002"/>
    <w:rsid w:val="0011397B"/>
    <w:rsid w:val="00154620"/>
    <w:rsid w:val="0017626B"/>
    <w:rsid w:val="0018172C"/>
    <w:rsid w:val="00182ADB"/>
    <w:rsid w:val="00192DA8"/>
    <w:rsid w:val="0019433B"/>
    <w:rsid w:val="001A7461"/>
    <w:rsid w:val="001C2BC4"/>
    <w:rsid w:val="001C7B60"/>
    <w:rsid w:val="001D2B0B"/>
    <w:rsid w:val="001F0A1D"/>
    <w:rsid w:val="00214C48"/>
    <w:rsid w:val="00217273"/>
    <w:rsid w:val="00250B90"/>
    <w:rsid w:val="00276353"/>
    <w:rsid w:val="002B0B3D"/>
    <w:rsid w:val="002D06B4"/>
    <w:rsid w:val="00325006"/>
    <w:rsid w:val="00331E51"/>
    <w:rsid w:val="00353660"/>
    <w:rsid w:val="0036458B"/>
    <w:rsid w:val="00364E3F"/>
    <w:rsid w:val="00381912"/>
    <w:rsid w:val="0039152C"/>
    <w:rsid w:val="003A121C"/>
    <w:rsid w:val="003B2291"/>
    <w:rsid w:val="00424B24"/>
    <w:rsid w:val="004340B2"/>
    <w:rsid w:val="00480158"/>
    <w:rsid w:val="004A15A7"/>
    <w:rsid w:val="004A528D"/>
    <w:rsid w:val="004B75F7"/>
    <w:rsid w:val="004C4B70"/>
    <w:rsid w:val="004D6378"/>
    <w:rsid w:val="00533D89"/>
    <w:rsid w:val="00540BC5"/>
    <w:rsid w:val="00545E7B"/>
    <w:rsid w:val="00554183"/>
    <w:rsid w:val="00554261"/>
    <w:rsid w:val="005619AC"/>
    <w:rsid w:val="00575AFC"/>
    <w:rsid w:val="00577FA4"/>
    <w:rsid w:val="005F0944"/>
    <w:rsid w:val="005F760C"/>
    <w:rsid w:val="006002FA"/>
    <w:rsid w:val="00610054"/>
    <w:rsid w:val="0066652B"/>
    <w:rsid w:val="006B47BC"/>
    <w:rsid w:val="006C29C4"/>
    <w:rsid w:val="006D3B90"/>
    <w:rsid w:val="00713279"/>
    <w:rsid w:val="007415BE"/>
    <w:rsid w:val="00751653"/>
    <w:rsid w:val="00756611"/>
    <w:rsid w:val="008160BE"/>
    <w:rsid w:val="00845AA2"/>
    <w:rsid w:val="00930F98"/>
    <w:rsid w:val="009665E8"/>
    <w:rsid w:val="009D2132"/>
    <w:rsid w:val="00A2748E"/>
    <w:rsid w:val="00A94D39"/>
    <w:rsid w:val="00B4293F"/>
    <w:rsid w:val="00B42C3B"/>
    <w:rsid w:val="00B64ECF"/>
    <w:rsid w:val="00B73412"/>
    <w:rsid w:val="00B834B7"/>
    <w:rsid w:val="00BF3B29"/>
    <w:rsid w:val="00C731CB"/>
    <w:rsid w:val="00CA586D"/>
    <w:rsid w:val="00CB3211"/>
    <w:rsid w:val="00CD00F3"/>
    <w:rsid w:val="00CE7185"/>
    <w:rsid w:val="00CF0B61"/>
    <w:rsid w:val="00D06F75"/>
    <w:rsid w:val="00D12D00"/>
    <w:rsid w:val="00D35777"/>
    <w:rsid w:val="00D65BB5"/>
    <w:rsid w:val="00D76104"/>
    <w:rsid w:val="00D81355"/>
    <w:rsid w:val="00D83746"/>
    <w:rsid w:val="00D8413D"/>
    <w:rsid w:val="00D84791"/>
    <w:rsid w:val="00DD2A13"/>
    <w:rsid w:val="00E368DB"/>
    <w:rsid w:val="00E448E2"/>
    <w:rsid w:val="00E66DD6"/>
    <w:rsid w:val="00E722C1"/>
    <w:rsid w:val="00E95489"/>
    <w:rsid w:val="00E97739"/>
    <w:rsid w:val="00EC0669"/>
    <w:rsid w:val="00EC133A"/>
    <w:rsid w:val="00ED24A5"/>
    <w:rsid w:val="00EF31E9"/>
    <w:rsid w:val="00F10B3F"/>
    <w:rsid w:val="00F1177A"/>
    <w:rsid w:val="00F54A03"/>
    <w:rsid w:val="00F6695B"/>
    <w:rsid w:val="00F93546"/>
    <w:rsid w:val="00FB4137"/>
    <w:rsid w:val="00FE18FE"/>
    <w:rsid w:val="00FF00CF"/>
    <w:rsid w:val="00FF2A0B"/>
    <w:rsid w:val="011164C1"/>
    <w:rsid w:val="01610873"/>
    <w:rsid w:val="016B6DDA"/>
    <w:rsid w:val="019F658D"/>
    <w:rsid w:val="022946CB"/>
    <w:rsid w:val="028D0499"/>
    <w:rsid w:val="04657101"/>
    <w:rsid w:val="05006BBF"/>
    <w:rsid w:val="050D2A9B"/>
    <w:rsid w:val="05527A69"/>
    <w:rsid w:val="06A85A15"/>
    <w:rsid w:val="07146C2B"/>
    <w:rsid w:val="08764C05"/>
    <w:rsid w:val="087813D6"/>
    <w:rsid w:val="08A5647C"/>
    <w:rsid w:val="09372D22"/>
    <w:rsid w:val="09966B46"/>
    <w:rsid w:val="09E96FBB"/>
    <w:rsid w:val="0A316B49"/>
    <w:rsid w:val="0A57020D"/>
    <w:rsid w:val="0A63294F"/>
    <w:rsid w:val="0AB62FC9"/>
    <w:rsid w:val="0B05584A"/>
    <w:rsid w:val="0B504393"/>
    <w:rsid w:val="0B6F3651"/>
    <w:rsid w:val="0B92405B"/>
    <w:rsid w:val="0BA85F42"/>
    <w:rsid w:val="0C4628B6"/>
    <w:rsid w:val="0C9C0287"/>
    <w:rsid w:val="0E586B2F"/>
    <w:rsid w:val="0EA37FCC"/>
    <w:rsid w:val="0F0764C6"/>
    <w:rsid w:val="0F962F45"/>
    <w:rsid w:val="0FB475BE"/>
    <w:rsid w:val="0FCC6397"/>
    <w:rsid w:val="0FE847BA"/>
    <w:rsid w:val="101D60CF"/>
    <w:rsid w:val="10755FC9"/>
    <w:rsid w:val="11C92FDC"/>
    <w:rsid w:val="12921274"/>
    <w:rsid w:val="12CA00E8"/>
    <w:rsid w:val="130936F2"/>
    <w:rsid w:val="1377201B"/>
    <w:rsid w:val="138430E9"/>
    <w:rsid w:val="14AB30F5"/>
    <w:rsid w:val="14B363B3"/>
    <w:rsid w:val="14DB11C6"/>
    <w:rsid w:val="159A282C"/>
    <w:rsid w:val="15C619B2"/>
    <w:rsid w:val="164A1933"/>
    <w:rsid w:val="16D47282"/>
    <w:rsid w:val="16D528BC"/>
    <w:rsid w:val="16E91BEB"/>
    <w:rsid w:val="172A6D75"/>
    <w:rsid w:val="182061EA"/>
    <w:rsid w:val="182A734D"/>
    <w:rsid w:val="18EB5CD9"/>
    <w:rsid w:val="19AA0FA9"/>
    <w:rsid w:val="19AE4373"/>
    <w:rsid w:val="1B317607"/>
    <w:rsid w:val="1BFF498A"/>
    <w:rsid w:val="1C1D3CA0"/>
    <w:rsid w:val="1CA81F76"/>
    <w:rsid w:val="1D4744BD"/>
    <w:rsid w:val="1D605BC2"/>
    <w:rsid w:val="1D614DDB"/>
    <w:rsid w:val="1D667600"/>
    <w:rsid w:val="1D9500CD"/>
    <w:rsid w:val="1DA0760B"/>
    <w:rsid w:val="1E080DE7"/>
    <w:rsid w:val="1E4C5F8A"/>
    <w:rsid w:val="1E880EA7"/>
    <w:rsid w:val="20124FB2"/>
    <w:rsid w:val="20BB69CC"/>
    <w:rsid w:val="210821C0"/>
    <w:rsid w:val="21B257CB"/>
    <w:rsid w:val="21CB0D23"/>
    <w:rsid w:val="21FF5757"/>
    <w:rsid w:val="2245507D"/>
    <w:rsid w:val="22637523"/>
    <w:rsid w:val="228533BC"/>
    <w:rsid w:val="229B12DF"/>
    <w:rsid w:val="22DF73CD"/>
    <w:rsid w:val="234C2589"/>
    <w:rsid w:val="251E4A80"/>
    <w:rsid w:val="25227A45"/>
    <w:rsid w:val="25871E91"/>
    <w:rsid w:val="270616D7"/>
    <w:rsid w:val="27085537"/>
    <w:rsid w:val="273A72C8"/>
    <w:rsid w:val="29647A76"/>
    <w:rsid w:val="2A523D82"/>
    <w:rsid w:val="2A693E17"/>
    <w:rsid w:val="2A763ACC"/>
    <w:rsid w:val="2A7F52B9"/>
    <w:rsid w:val="2A964F4D"/>
    <w:rsid w:val="2C7E7C57"/>
    <w:rsid w:val="2CB155FA"/>
    <w:rsid w:val="2D6A1584"/>
    <w:rsid w:val="2E4C78E1"/>
    <w:rsid w:val="2E9865CB"/>
    <w:rsid w:val="2FF40230"/>
    <w:rsid w:val="30050E24"/>
    <w:rsid w:val="30BA2ACD"/>
    <w:rsid w:val="30BA5C4C"/>
    <w:rsid w:val="3162048C"/>
    <w:rsid w:val="31B34772"/>
    <w:rsid w:val="31D66599"/>
    <w:rsid w:val="32AC4204"/>
    <w:rsid w:val="33252B11"/>
    <w:rsid w:val="33FC3171"/>
    <w:rsid w:val="34676FD2"/>
    <w:rsid w:val="346B298C"/>
    <w:rsid w:val="34AC3E66"/>
    <w:rsid w:val="357F7873"/>
    <w:rsid w:val="363A04F6"/>
    <w:rsid w:val="36BB1AA7"/>
    <w:rsid w:val="378E21C2"/>
    <w:rsid w:val="37B12C1C"/>
    <w:rsid w:val="38735A08"/>
    <w:rsid w:val="394A5721"/>
    <w:rsid w:val="3965670D"/>
    <w:rsid w:val="39981698"/>
    <w:rsid w:val="3A10344B"/>
    <w:rsid w:val="3A536E61"/>
    <w:rsid w:val="3AA244C9"/>
    <w:rsid w:val="3AC73156"/>
    <w:rsid w:val="3B586FE8"/>
    <w:rsid w:val="3BC231CF"/>
    <w:rsid w:val="3C4816E7"/>
    <w:rsid w:val="3C4E720D"/>
    <w:rsid w:val="3CAB1C17"/>
    <w:rsid w:val="3CF9530F"/>
    <w:rsid w:val="3D5D72DD"/>
    <w:rsid w:val="3DF60E28"/>
    <w:rsid w:val="3EB5648D"/>
    <w:rsid w:val="3ED8003B"/>
    <w:rsid w:val="3F6F78D3"/>
    <w:rsid w:val="4106468B"/>
    <w:rsid w:val="412734C4"/>
    <w:rsid w:val="4202739C"/>
    <w:rsid w:val="42446DF5"/>
    <w:rsid w:val="429379A3"/>
    <w:rsid w:val="43A134B7"/>
    <w:rsid w:val="43AC7599"/>
    <w:rsid w:val="442D2A0C"/>
    <w:rsid w:val="44A727DE"/>
    <w:rsid w:val="44E45D83"/>
    <w:rsid w:val="450D1720"/>
    <w:rsid w:val="4514025E"/>
    <w:rsid w:val="45390767"/>
    <w:rsid w:val="453E659F"/>
    <w:rsid w:val="45457766"/>
    <w:rsid w:val="45746C77"/>
    <w:rsid w:val="45A0459F"/>
    <w:rsid w:val="45E9627C"/>
    <w:rsid w:val="45ED1E31"/>
    <w:rsid w:val="46A21FD5"/>
    <w:rsid w:val="46B27300"/>
    <w:rsid w:val="46CB53D5"/>
    <w:rsid w:val="46F621DE"/>
    <w:rsid w:val="48724347"/>
    <w:rsid w:val="499222AC"/>
    <w:rsid w:val="49BE748D"/>
    <w:rsid w:val="4A4C4A1C"/>
    <w:rsid w:val="4AEB3076"/>
    <w:rsid w:val="4B103D18"/>
    <w:rsid w:val="4B7145D4"/>
    <w:rsid w:val="4B9648D7"/>
    <w:rsid w:val="4D2F402D"/>
    <w:rsid w:val="4D7247FE"/>
    <w:rsid w:val="4E4916E5"/>
    <w:rsid w:val="4F0D419E"/>
    <w:rsid w:val="4FAB6A6B"/>
    <w:rsid w:val="4FFD05E3"/>
    <w:rsid w:val="50131BB5"/>
    <w:rsid w:val="50927F38"/>
    <w:rsid w:val="51603CAA"/>
    <w:rsid w:val="522404FD"/>
    <w:rsid w:val="52546BE0"/>
    <w:rsid w:val="529652C7"/>
    <w:rsid w:val="52B601AE"/>
    <w:rsid w:val="539B083F"/>
    <w:rsid w:val="53A11C9D"/>
    <w:rsid w:val="54965C21"/>
    <w:rsid w:val="54B94315"/>
    <w:rsid w:val="54DF6509"/>
    <w:rsid w:val="55A60D46"/>
    <w:rsid w:val="55D55825"/>
    <w:rsid w:val="56657288"/>
    <w:rsid w:val="56B07015"/>
    <w:rsid w:val="56E55958"/>
    <w:rsid w:val="578A39AD"/>
    <w:rsid w:val="58353010"/>
    <w:rsid w:val="594159E5"/>
    <w:rsid w:val="59653481"/>
    <w:rsid w:val="59C81813"/>
    <w:rsid w:val="59FA1FC5"/>
    <w:rsid w:val="5A6E7475"/>
    <w:rsid w:val="5AD45B8B"/>
    <w:rsid w:val="5AD65B69"/>
    <w:rsid w:val="5BE70AC5"/>
    <w:rsid w:val="5D20063B"/>
    <w:rsid w:val="5D9A321B"/>
    <w:rsid w:val="5DA440D5"/>
    <w:rsid w:val="5DE153CD"/>
    <w:rsid w:val="5E6621E8"/>
    <w:rsid w:val="60FE4595"/>
    <w:rsid w:val="61B47804"/>
    <w:rsid w:val="63990993"/>
    <w:rsid w:val="63F85CD2"/>
    <w:rsid w:val="64B534AF"/>
    <w:rsid w:val="65270184"/>
    <w:rsid w:val="655800D0"/>
    <w:rsid w:val="65C50FC8"/>
    <w:rsid w:val="65DC6D2B"/>
    <w:rsid w:val="66383CCB"/>
    <w:rsid w:val="66652ED8"/>
    <w:rsid w:val="66FA1D8F"/>
    <w:rsid w:val="674C09E2"/>
    <w:rsid w:val="67D83125"/>
    <w:rsid w:val="685811C0"/>
    <w:rsid w:val="6868024D"/>
    <w:rsid w:val="694E001D"/>
    <w:rsid w:val="6A8F66E9"/>
    <w:rsid w:val="6C3B64B1"/>
    <w:rsid w:val="6C3C6FA4"/>
    <w:rsid w:val="6C4C227F"/>
    <w:rsid w:val="6C912C20"/>
    <w:rsid w:val="6C983716"/>
    <w:rsid w:val="6CE54BAD"/>
    <w:rsid w:val="6D286899"/>
    <w:rsid w:val="6D2E0B7C"/>
    <w:rsid w:val="6DEA1D4F"/>
    <w:rsid w:val="6DF45E0A"/>
    <w:rsid w:val="6E206D49"/>
    <w:rsid w:val="6E646D58"/>
    <w:rsid w:val="6E9323E7"/>
    <w:rsid w:val="6EA44317"/>
    <w:rsid w:val="6EAD4A45"/>
    <w:rsid w:val="6EAE3DEF"/>
    <w:rsid w:val="6EE03BEE"/>
    <w:rsid w:val="6FF34D50"/>
    <w:rsid w:val="70012593"/>
    <w:rsid w:val="70F74663"/>
    <w:rsid w:val="71BA6247"/>
    <w:rsid w:val="71F9646F"/>
    <w:rsid w:val="729C5939"/>
    <w:rsid w:val="791D381B"/>
    <w:rsid w:val="792F0F5E"/>
    <w:rsid w:val="79321F63"/>
    <w:rsid w:val="793E051E"/>
    <w:rsid w:val="79554E68"/>
    <w:rsid w:val="79731093"/>
    <w:rsid w:val="799E680F"/>
    <w:rsid w:val="7A611F79"/>
    <w:rsid w:val="7AB9018D"/>
    <w:rsid w:val="7C6E0F8E"/>
    <w:rsid w:val="7CAF5449"/>
    <w:rsid w:val="7DFD6687"/>
    <w:rsid w:val="7E452183"/>
    <w:rsid w:val="7EA65BD8"/>
    <w:rsid w:val="7F0C76E6"/>
    <w:rsid w:val="7F7F4001"/>
    <w:rsid w:val="7FA270F4"/>
    <w:rsid w:val="7FB74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2"/>
    <w:basedOn w:val="1"/>
    <w:next w:val="1"/>
    <w:unhideWhenUsed/>
    <w:qFormat/>
    <w:uiPriority w:val="0"/>
    <w:pPr>
      <w:keepNext/>
      <w:keepLines/>
      <w:widowControl/>
      <w:pBdr>
        <w:top w:val="single" w:color="FFFFFF" w:sz="4" w:space="27"/>
      </w:pBdr>
      <w:overflowPunct w:val="0"/>
      <w:snapToGrid w:val="0"/>
      <w:spacing w:after="544" w:line="549" w:lineRule="exact"/>
      <w:jc w:val="center"/>
      <w:outlineLvl w:val="1"/>
    </w:pPr>
    <w:rPr>
      <w:rFonts w:ascii="BIAODIAN" w:hAnsi="BIAODIAN" w:eastAsia="彩虹黑体" w:cs="宋体"/>
      <w:kern w:val="0"/>
      <w:sz w:val="32"/>
      <w:szCs w:val="20"/>
    </w:rPr>
  </w:style>
  <w:style w:type="paragraph" w:styleId="4">
    <w:name w:val="heading 3"/>
    <w:basedOn w:val="1"/>
    <w:next w:val="1"/>
    <w:autoRedefine/>
    <w:unhideWhenUsed/>
    <w:qFormat/>
    <w:uiPriority w:val="0"/>
    <w:pPr>
      <w:keepNext/>
      <w:keepLines/>
      <w:widowControl/>
      <w:pBdr>
        <w:top w:val="single" w:color="FFFFFF" w:sz="4" w:space="27"/>
      </w:pBdr>
      <w:overflowPunct w:val="0"/>
      <w:snapToGrid w:val="0"/>
      <w:spacing w:after="544" w:line="549" w:lineRule="exact"/>
      <w:jc w:val="center"/>
      <w:outlineLvl w:val="2"/>
    </w:pPr>
    <w:rPr>
      <w:rFonts w:ascii="BIAODIAN" w:hAnsi="BIAODIAN" w:eastAsia="彩虹粗仿宋" w:cs="宋体"/>
      <w:kern w:val="0"/>
      <w:sz w:val="32"/>
      <w:szCs w:val="2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rPr>
      <w:rFonts w:ascii="Times New Roman" w:hAnsi="Times New Roman" w:cs="Times New Roman"/>
      <w:szCs w:val="20"/>
    </w:rPr>
  </w:style>
  <w:style w:type="paragraph" w:styleId="6">
    <w:name w:val="Normal Indent"/>
    <w:basedOn w:val="1"/>
    <w:autoRedefine/>
    <w:unhideWhenUsed/>
    <w:qFormat/>
    <w:uiPriority w:val="99"/>
    <w:pPr>
      <w:ind w:firstLine="420" w:firstLineChars="200"/>
    </w:pPr>
    <w:rPr>
      <w:szCs w:val="22"/>
    </w:rPr>
  </w:style>
  <w:style w:type="paragraph" w:styleId="7">
    <w:name w:val="annotation text"/>
    <w:basedOn w:val="1"/>
    <w:link w:val="39"/>
    <w:autoRedefine/>
    <w:qFormat/>
    <w:uiPriority w:val="0"/>
    <w:pPr>
      <w:jc w:val="left"/>
    </w:pPr>
  </w:style>
  <w:style w:type="paragraph" w:styleId="8">
    <w:name w:val="Body Text"/>
    <w:basedOn w:val="1"/>
    <w:next w:val="9"/>
    <w:autoRedefine/>
    <w:qFormat/>
    <w:uiPriority w:val="0"/>
    <w:pPr>
      <w:spacing w:after="120"/>
    </w:pPr>
  </w:style>
  <w:style w:type="paragraph" w:styleId="9">
    <w:name w:val="Body Text 2"/>
    <w:basedOn w:val="1"/>
    <w:next w:val="8"/>
    <w:autoRedefine/>
    <w:unhideWhenUsed/>
    <w:qFormat/>
    <w:uiPriority w:val="99"/>
    <w:pPr>
      <w:spacing w:after="120" w:afterLines="0" w:line="480" w:lineRule="auto"/>
    </w:pPr>
  </w:style>
  <w:style w:type="paragraph" w:styleId="10">
    <w:name w:val="Body Text Indent"/>
    <w:basedOn w:val="1"/>
    <w:next w:val="11"/>
    <w:link w:val="34"/>
    <w:qFormat/>
    <w:uiPriority w:val="0"/>
    <w:pPr>
      <w:spacing w:after="120"/>
      <w:ind w:left="420" w:leftChars="200"/>
    </w:pPr>
  </w:style>
  <w:style w:type="paragraph" w:styleId="11">
    <w:name w:val="index 7"/>
    <w:basedOn w:val="1"/>
    <w:next w:val="1"/>
    <w:autoRedefine/>
    <w:unhideWhenUsed/>
    <w:qFormat/>
    <w:uiPriority w:val="99"/>
    <w:pPr>
      <w:spacing w:before="100" w:beforeAutospacing="1" w:after="100" w:afterAutospacing="1"/>
      <w:ind w:left="2520"/>
    </w:pPr>
  </w:style>
  <w:style w:type="paragraph" w:styleId="12">
    <w:name w:val="Body Text Indent 2"/>
    <w:basedOn w:val="1"/>
    <w:autoRedefine/>
    <w:qFormat/>
    <w:uiPriority w:val="0"/>
    <w:pPr>
      <w:spacing w:after="120" w:line="480" w:lineRule="auto"/>
      <w:ind w:left="420" w:leftChars="200"/>
    </w:pPr>
    <w:rPr>
      <w:rFonts w:ascii="Times New Roman" w:hAnsi="Times New Roman"/>
      <w:szCs w:val="24"/>
    </w:rPr>
  </w:style>
  <w:style w:type="paragraph" w:styleId="13">
    <w:name w:val="Balloon Text"/>
    <w:basedOn w:val="1"/>
    <w:link w:val="37"/>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val="0"/>
      <w:spacing w:after="100" w:line="259" w:lineRule="auto"/>
      <w:ind w:left="0" w:firstLine="0" w:firstLineChars="200"/>
    </w:pPr>
    <w:rPr>
      <w:rFonts w:eastAsia="仿宋_GB2312" w:cs="Times New Roman" w:asciiTheme="minorHAnsi" w:hAnsiTheme="minorHAnsi"/>
      <w:sz w:val="32"/>
      <w:szCs w:val="32"/>
      <w:lang w:val="en-GB" w:eastAsia="zh-CN" w:bidi="ar-SA"/>
    </w:rPr>
  </w:style>
  <w:style w:type="paragraph" w:styleId="17">
    <w:name w:val="footnote text"/>
    <w:basedOn w:val="1"/>
    <w:autoRedefine/>
    <w:unhideWhenUsed/>
    <w:qFormat/>
    <w:uiPriority w:val="99"/>
    <w:pPr>
      <w:snapToGrid w:val="0"/>
      <w:jc w:val="left"/>
    </w:pPr>
    <w:rPr>
      <w:rFonts w:ascii="Times New Roman" w:hAnsi="Times New Roman" w:eastAsia="宋体" w:cs="Times New Roman"/>
      <w:sz w:val="18"/>
      <w:szCs w:val="18"/>
    </w:rPr>
  </w:style>
  <w:style w:type="paragraph" w:styleId="18">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9">
    <w:name w:val="annotation subject"/>
    <w:basedOn w:val="7"/>
    <w:next w:val="7"/>
    <w:link w:val="44"/>
    <w:autoRedefine/>
    <w:qFormat/>
    <w:uiPriority w:val="0"/>
    <w:rPr>
      <w:b/>
      <w:bCs/>
    </w:rPr>
  </w:style>
  <w:style w:type="paragraph" w:styleId="20">
    <w:name w:val="Body Text First Indent"/>
    <w:basedOn w:val="8"/>
    <w:next w:val="21"/>
    <w:qFormat/>
    <w:uiPriority w:val="0"/>
    <w:pPr>
      <w:ind w:firstLine="976" w:firstLineChars="200"/>
    </w:pPr>
  </w:style>
  <w:style w:type="paragraph" w:styleId="21">
    <w:name w:val="Body Text First Indent 2"/>
    <w:basedOn w:val="10"/>
    <w:next w:val="1"/>
    <w:link w:val="33"/>
    <w:autoRedefine/>
    <w:qFormat/>
    <w:uiPriority w:val="0"/>
    <w:pPr>
      <w:adjustRightInd w:val="0"/>
      <w:snapToGrid w:val="0"/>
      <w:spacing w:after="0" w:line="360" w:lineRule="auto"/>
      <w:ind w:left="0" w:leftChars="0" w:firstLine="420" w:firstLineChars="200"/>
    </w:pPr>
    <w:rPr>
      <w:rFonts w:ascii="楷体_GB2312" w:hAnsi="宋体" w:eastAsia="楷体_GB2312" w:cs="Times New Roman"/>
      <w:szCs w:val="2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Hyperlink"/>
    <w:basedOn w:val="24"/>
    <w:autoRedefine/>
    <w:unhideWhenUsed/>
    <w:qFormat/>
    <w:uiPriority w:val="0"/>
    <w:rPr>
      <w:color w:val="0000FF"/>
      <w:u w:val="single"/>
    </w:rPr>
  </w:style>
  <w:style w:type="character" w:styleId="27">
    <w:name w:val="annotation reference"/>
    <w:basedOn w:val="24"/>
    <w:autoRedefine/>
    <w:qFormat/>
    <w:uiPriority w:val="0"/>
    <w:rPr>
      <w:sz w:val="21"/>
      <w:szCs w:val="21"/>
    </w:rPr>
  </w:style>
  <w:style w:type="character" w:styleId="28">
    <w:name w:val="footnote reference"/>
    <w:basedOn w:val="24"/>
    <w:autoRedefine/>
    <w:unhideWhenUsed/>
    <w:qFormat/>
    <w:uiPriority w:val="99"/>
    <w:rPr>
      <w:vertAlign w:val="superscript"/>
    </w:rPr>
  </w:style>
  <w:style w:type="character" w:customStyle="1" w:styleId="29">
    <w:name w:val="fontstyle01"/>
    <w:basedOn w:val="24"/>
    <w:autoRedefine/>
    <w:qFormat/>
    <w:uiPriority w:val="0"/>
    <w:rPr>
      <w:rFonts w:ascii="宋体" w:hAnsi="宋体" w:eastAsia="宋体" w:cs="宋体"/>
      <w:color w:val="000000"/>
      <w:sz w:val="28"/>
      <w:szCs w:val="28"/>
    </w:rPr>
  </w:style>
  <w:style w:type="character" w:customStyle="1" w:styleId="30">
    <w:name w:val="font141"/>
    <w:basedOn w:val="24"/>
    <w:qFormat/>
    <w:uiPriority w:val="0"/>
    <w:rPr>
      <w:rFonts w:hint="eastAsia" w:ascii="宋体" w:hAnsi="宋体" w:eastAsia="宋体" w:cs="宋体"/>
      <w:color w:val="000000"/>
      <w:sz w:val="14"/>
      <w:szCs w:val="14"/>
      <w:u w:val="none"/>
    </w:rPr>
  </w:style>
  <w:style w:type="character" w:customStyle="1" w:styleId="31">
    <w:name w:val="font31"/>
    <w:basedOn w:val="24"/>
    <w:autoRedefine/>
    <w:qFormat/>
    <w:uiPriority w:val="0"/>
    <w:rPr>
      <w:rFonts w:hint="eastAsia" w:ascii="宋体" w:hAnsi="宋体" w:eastAsia="宋体" w:cs="宋体"/>
      <w:b/>
      <w:color w:val="000000"/>
      <w:sz w:val="18"/>
      <w:szCs w:val="18"/>
      <w:u w:val="none"/>
    </w:rPr>
  </w:style>
  <w:style w:type="character" w:customStyle="1" w:styleId="32">
    <w:name w:val="font121"/>
    <w:basedOn w:val="24"/>
    <w:autoRedefine/>
    <w:qFormat/>
    <w:uiPriority w:val="0"/>
    <w:rPr>
      <w:rFonts w:hint="eastAsia" w:ascii="宋体" w:hAnsi="宋体" w:eastAsia="宋体" w:cs="宋体"/>
      <w:i/>
      <w:iCs/>
      <w:color w:val="000000"/>
      <w:sz w:val="24"/>
      <w:szCs w:val="24"/>
      <w:u w:val="none"/>
    </w:rPr>
  </w:style>
  <w:style w:type="character" w:customStyle="1" w:styleId="33">
    <w:name w:val="正文文本首行缩进 2 字符"/>
    <w:basedOn w:val="34"/>
    <w:link w:val="21"/>
    <w:autoRedefine/>
    <w:qFormat/>
    <w:uiPriority w:val="0"/>
    <w:rPr>
      <w:rFonts w:ascii="楷体_GB2312" w:hAnsi="宋体" w:eastAsia="楷体_GB2312" w:cstheme="minorBidi"/>
      <w:kern w:val="2"/>
      <w:sz w:val="21"/>
      <w:szCs w:val="22"/>
    </w:rPr>
  </w:style>
  <w:style w:type="character" w:customStyle="1" w:styleId="34">
    <w:name w:val="正文文本缩进 字符"/>
    <w:basedOn w:val="24"/>
    <w:link w:val="10"/>
    <w:autoRedefine/>
    <w:qFormat/>
    <w:uiPriority w:val="0"/>
    <w:rPr>
      <w:rFonts w:asciiTheme="minorHAnsi" w:hAnsiTheme="minorHAnsi" w:eastAsiaTheme="minorEastAsia" w:cstheme="minorBidi"/>
      <w:kern w:val="2"/>
      <w:sz w:val="21"/>
      <w:szCs w:val="24"/>
    </w:rPr>
  </w:style>
  <w:style w:type="character" w:customStyle="1" w:styleId="35">
    <w:name w:val="font61"/>
    <w:basedOn w:val="24"/>
    <w:autoRedefine/>
    <w:qFormat/>
    <w:uiPriority w:val="0"/>
    <w:rPr>
      <w:rFonts w:hint="default" w:ascii="Times New Roman" w:hAnsi="Times New Roman" w:cs="Times New Roman"/>
      <w:color w:val="000000"/>
      <w:sz w:val="24"/>
      <w:szCs w:val="24"/>
      <w:u w:val="none"/>
    </w:rPr>
  </w:style>
  <w:style w:type="paragraph" w:customStyle="1" w:styleId="36">
    <w:name w:val="列表段落1"/>
    <w:basedOn w:val="1"/>
    <w:autoRedefine/>
    <w:unhideWhenUsed/>
    <w:qFormat/>
    <w:uiPriority w:val="99"/>
    <w:pPr>
      <w:ind w:firstLine="420" w:firstLineChars="200"/>
    </w:pPr>
  </w:style>
  <w:style w:type="character" w:customStyle="1" w:styleId="37">
    <w:name w:val="批注框文本 字符"/>
    <w:basedOn w:val="24"/>
    <w:link w:val="13"/>
    <w:autoRedefine/>
    <w:qFormat/>
    <w:uiPriority w:val="0"/>
    <w:rPr>
      <w:kern w:val="2"/>
      <w:sz w:val="18"/>
      <w:szCs w:val="18"/>
    </w:rPr>
  </w:style>
  <w:style w:type="character" w:customStyle="1" w:styleId="38">
    <w:name w:val="font181"/>
    <w:basedOn w:val="24"/>
    <w:qFormat/>
    <w:uiPriority w:val="0"/>
    <w:rPr>
      <w:rFonts w:hint="default" w:ascii="Times New Roman" w:hAnsi="Times New Roman" w:cs="Times New Roman"/>
      <w:color w:val="000000"/>
      <w:sz w:val="14"/>
      <w:szCs w:val="14"/>
      <w:u w:val="none"/>
    </w:rPr>
  </w:style>
  <w:style w:type="character" w:customStyle="1" w:styleId="39">
    <w:name w:val="批注文字 字符"/>
    <w:basedOn w:val="24"/>
    <w:link w:val="7"/>
    <w:autoRedefine/>
    <w:qFormat/>
    <w:uiPriority w:val="0"/>
    <w:rPr>
      <w:kern w:val="2"/>
      <w:sz w:val="21"/>
      <w:szCs w:val="24"/>
    </w:rPr>
  </w:style>
  <w:style w:type="character" w:customStyle="1" w:styleId="40">
    <w:name w:val="font122"/>
    <w:basedOn w:val="24"/>
    <w:qFormat/>
    <w:uiPriority w:val="0"/>
    <w:rPr>
      <w:rFonts w:hint="eastAsia" w:ascii="宋体" w:hAnsi="宋体" w:eastAsia="宋体" w:cs="宋体"/>
      <w:color w:val="000000"/>
      <w:sz w:val="14"/>
      <w:szCs w:val="14"/>
      <w:u w:val="none"/>
    </w:rPr>
  </w:style>
  <w:style w:type="table" w:customStyle="1" w:styleId="41">
    <w:name w:val="网格型4"/>
    <w:basedOn w:val="2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font41"/>
    <w:basedOn w:val="24"/>
    <w:autoRedefine/>
    <w:qFormat/>
    <w:uiPriority w:val="0"/>
    <w:rPr>
      <w:rFonts w:ascii="宋体" w:hAnsi="宋体" w:eastAsia="宋体" w:cs="宋体"/>
      <w:color w:val="000000"/>
      <w:sz w:val="20"/>
      <w:szCs w:val="20"/>
      <w:u w:val="none"/>
    </w:rPr>
  </w:style>
  <w:style w:type="character" w:customStyle="1" w:styleId="43">
    <w:name w:val="font01"/>
    <w:basedOn w:val="24"/>
    <w:autoRedefine/>
    <w:qFormat/>
    <w:uiPriority w:val="0"/>
    <w:rPr>
      <w:rFonts w:hint="eastAsia" w:ascii="仿宋" w:hAnsi="仿宋" w:eastAsia="仿宋" w:cs="仿宋"/>
      <w:color w:val="000000"/>
      <w:sz w:val="21"/>
      <w:szCs w:val="21"/>
      <w:u w:val="none"/>
    </w:rPr>
  </w:style>
  <w:style w:type="character" w:customStyle="1" w:styleId="44">
    <w:name w:val="批注主题 字符"/>
    <w:basedOn w:val="39"/>
    <w:link w:val="19"/>
    <w:autoRedefine/>
    <w:qFormat/>
    <w:uiPriority w:val="0"/>
    <w:rPr>
      <w:b/>
      <w:bCs/>
      <w:kern w:val="2"/>
      <w:sz w:val="21"/>
      <w:szCs w:val="24"/>
    </w:rPr>
  </w:style>
  <w:style w:type="character" w:customStyle="1" w:styleId="45">
    <w:name w:val="font71"/>
    <w:basedOn w:val="24"/>
    <w:autoRedefine/>
    <w:qFormat/>
    <w:uiPriority w:val="0"/>
    <w:rPr>
      <w:rFonts w:hint="eastAsia" w:ascii="宋体" w:hAnsi="宋体" w:eastAsia="宋体" w:cs="宋体"/>
      <w:color w:val="000000"/>
      <w:sz w:val="24"/>
      <w:szCs w:val="24"/>
      <w:u w:val="none"/>
    </w:rPr>
  </w:style>
  <w:style w:type="table" w:customStyle="1" w:styleId="46">
    <w:name w:val="网格型2"/>
    <w:basedOn w:val="2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Body Text 21"/>
    <w:basedOn w:val="1"/>
    <w:autoRedefine/>
    <w:qFormat/>
    <w:uiPriority w:val="0"/>
    <w:pPr>
      <w:spacing w:after="120" w:line="480" w:lineRule="auto"/>
    </w:pPr>
  </w:style>
  <w:style w:type="character" w:customStyle="1" w:styleId="48">
    <w:name w:val="页眉 字符"/>
    <w:basedOn w:val="24"/>
    <w:link w:val="15"/>
    <w:autoRedefine/>
    <w:qFormat/>
    <w:uiPriority w:val="0"/>
    <w:rPr>
      <w:rFonts w:asciiTheme="minorHAnsi" w:hAnsiTheme="minorHAnsi" w:eastAsiaTheme="minorEastAsia" w:cstheme="minorBidi"/>
      <w:kern w:val="2"/>
      <w:sz w:val="18"/>
      <w:szCs w:val="18"/>
    </w:rPr>
  </w:style>
  <w:style w:type="paragraph" w:customStyle="1" w:styleId="49">
    <w:name w:val="Body text|1"/>
    <w:basedOn w:val="1"/>
    <w:autoRedefine/>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character" w:customStyle="1" w:styleId="50">
    <w:name w:val="font131"/>
    <w:basedOn w:val="24"/>
    <w:qFormat/>
    <w:uiPriority w:val="0"/>
    <w:rPr>
      <w:rFonts w:hint="default" w:ascii="Times New Roman" w:hAnsi="Times New Roman" w:cs="Times New Roman"/>
      <w:color w:val="000000"/>
      <w:sz w:val="24"/>
      <w:szCs w:val="24"/>
      <w:u w:val="none"/>
      <w:vertAlign w:val="superscript"/>
    </w:rPr>
  </w:style>
  <w:style w:type="character" w:customStyle="1" w:styleId="51">
    <w:name w:val="font21"/>
    <w:basedOn w:val="24"/>
    <w:qFormat/>
    <w:uiPriority w:val="0"/>
    <w:rPr>
      <w:rFonts w:ascii="Arial" w:hAnsi="Arial" w:cs="Arial"/>
      <w:color w:val="000000"/>
      <w:sz w:val="16"/>
      <w:szCs w:val="16"/>
      <w:u w:val="none"/>
    </w:rPr>
  </w:style>
  <w:style w:type="character" w:customStyle="1" w:styleId="52">
    <w:name w:val="font112"/>
    <w:basedOn w:val="24"/>
    <w:qFormat/>
    <w:uiPriority w:val="0"/>
    <w:rPr>
      <w:rFonts w:hint="eastAsia" w:ascii="宋体" w:hAnsi="宋体" w:eastAsia="宋体" w:cs="宋体"/>
      <w:color w:val="000000"/>
      <w:sz w:val="14"/>
      <w:szCs w:val="14"/>
      <w:u w:val="none"/>
    </w:rPr>
  </w:style>
  <w:style w:type="table" w:customStyle="1" w:styleId="53">
    <w:name w:val="网格型1"/>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font171"/>
    <w:basedOn w:val="24"/>
    <w:qFormat/>
    <w:uiPriority w:val="0"/>
    <w:rPr>
      <w:rFonts w:hint="default" w:ascii="Times New Roman" w:hAnsi="Times New Roman" w:cs="Times New Roman"/>
      <w:color w:val="000000"/>
      <w:sz w:val="14"/>
      <w:szCs w:val="14"/>
      <w:u w:val="none"/>
    </w:rPr>
  </w:style>
  <w:style w:type="paragraph" w:customStyle="1" w:styleId="55">
    <w:name w:val="h31 Char"/>
    <w:basedOn w:val="1"/>
    <w:autoRedefine/>
    <w:qFormat/>
    <w:uiPriority w:val="0"/>
    <w:pPr>
      <w:widowControl/>
      <w:jc w:val="left"/>
    </w:pPr>
    <w:rPr>
      <w:rFonts w:ascii="宋体" w:hAnsi="宋体" w:eastAsia="宋体" w:cs="宋体"/>
      <w:b/>
      <w:bCs/>
      <w:kern w:val="0"/>
      <w:szCs w:val="21"/>
    </w:rPr>
  </w:style>
  <w:style w:type="paragraph" w:styleId="56">
    <w:name w:val="List Paragraph"/>
    <w:basedOn w:val="1"/>
    <w:autoRedefine/>
    <w:qFormat/>
    <w:uiPriority w:val="34"/>
    <w:pPr>
      <w:ind w:firstLine="420" w:firstLineChars="200"/>
    </w:pPr>
    <w:rPr>
      <w:rFonts w:ascii="Times New Roman" w:hAnsi="Times New Roman" w:eastAsia="宋体" w:cs="Times New Roman"/>
      <w:szCs w:val="20"/>
    </w:rPr>
  </w:style>
  <w:style w:type="paragraph" w:customStyle="1" w:styleId="57">
    <w:name w:val="样式 Arial 行距: 1.5 倍行距"/>
    <w:basedOn w:val="1"/>
    <w:autoRedefine/>
    <w:qFormat/>
    <w:uiPriority w:val="0"/>
    <w:pPr>
      <w:spacing w:line="360" w:lineRule="auto"/>
      <w:ind w:firstLine="200" w:firstLineChars="200"/>
    </w:pPr>
    <w:rPr>
      <w:rFonts w:ascii="Arial" w:hAnsi="Arial" w:eastAsia="宋体" w:cs="宋体"/>
      <w:szCs w:val="20"/>
    </w:rPr>
  </w:style>
  <w:style w:type="paragraph" w:customStyle="1" w:styleId="58">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59">
    <w:name w:val="fontstyle21"/>
    <w:basedOn w:val="24"/>
    <w:autoRedefine/>
    <w:qFormat/>
    <w:uiPriority w:val="0"/>
    <w:rPr>
      <w:rFonts w:ascii="TimesNewRomanPSMT" w:hAnsi="TimesNewRomanPSMT" w:eastAsia="TimesNewRomanPSMT" w:cs="TimesNewRomanPSMT"/>
      <w:color w:val="000000"/>
      <w:sz w:val="28"/>
      <w:szCs w:val="28"/>
    </w:rPr>
  </w:style>
  <w:style w:type="character" w:customStyle="1" w:styleId="60">
    <w:name w:val="font51"/>
    <w:basedOn w:val="24"/>
    <w:autoRedefine/>
    <w:qFormat/>
    <w:uiPriority w:val="0"/>
    <w:rPr>
      <w:rFonts w:hint="eastAsia" w:ascii="仿宋" w:hAnsi="仿宋" w:eastAsia="仿宋" w:cs="仿宋"/>
      <w:b/>
      <w:color w:val="000000"/>
      <w:sz w:val="21"/>
      <w:szCs w:val="21"/>
      <w:u w:val="none"/>
      <w:vertAlign w:val="superscript"/>
    </w:rPr>
  </w:style>
  <w:style w:type="character" w:customStyle="1" w:styleId="61">
    <w:name w:val="font151"/>
    <w:basedOn w:val="24"/>
    <w:qFormat/>
    <w:uiPriority w:val="0"/>
    <w:rPr>
      <w:rFonts w:hint="eastAsia" w:ascii="宋体" w:hAnsi="宋体" w:eastAsia="宋体" w:cs="宋体"/>
      <w:color w:val="000000"/>
      <w:sz w:val="14"/>
      <w:szCs w:val="14"/>
      <w:u w:val="none"/>
    </w:rPr>
  </w:style>
  <w:style w:type="character" w:customStyle="1" w:styleId="62">
    <w:name w:val="font11"/>
    <w:basedOn w:val="24"/>
    <w:autoRedefine/>
    <w:qFormat/>
    <w:uiPriority w:val="0"/>
    <w:rPr>
      <w:rFonts w:hint="eastAsia" w:ascii="宋体" w:hAnsi="宋体" w:eastAsia="宋体" w:cs="宋体"/>
      <w:color w:val="000000"/>
      <w:sz w:val="24"/>
      <w:szCs w:val="24"/>
      <w:u w:val="none"/>
    </w:rPr>
  </w:style>
  <w:style w:type="character" w:customStyle="1" w:styleId="63">
    <w:name w:val="font91"/>
    <w:basedOn w:val="2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12134</Words>
  <Characters>13704</Characters>
  <TotalTime>2</TotalTime>
  <ScaleCrop>false</ScaleCrop>
  <LinksUpToDate>false</LinksUpToDate>
  <CharactersWithSpaces>13934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2025-10-28T10:56:00Z</dcterms:created>
  <dc:creator>Administrator</dc:creator>
  <cp:lastModifiedBy>高昂</cp:lastModifiedBy>
  <dcterms:modified xsi:type="dcterms:W3CDTF">2025-10-28T08:49:16Z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eyJoZGlkIjoiMDc3OTI0Zjg1OWJkMjY4YjkyZmJhYWE2MGVkMDZlYTYiLCJ1c2VySWQiOiIxNjMzOTIwMzE5In0=</vt:lpwstr>
  </property>
  <property fmtid="{D5CDD505-2E9C-101B-9397-08002B2CF9AE}" pid="3" name="KSOProductBuildVer">
    <vt:lpwstr>2052-12.1.0.23125</vt:lpwstr>
  </property>
  <property fmtid="{D5CDD505-2E9C-101B-9397-08002B2CF9AE}" pid="4" name="ICV">
    <vt:lpwstr>B1352FD6CA8841848DA051C1851C865D_12</vt:lpwstr>
  </property>
</Properties>
</file>