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7BDF16">
      <w:pPr>
        <w:rPr>
          <w:rFonts w:hint="eastAsia" w:eastAsia="宋体"/>
          <w:lang w:val="en-US" w:eastAsia="zh-CN"/>
        </w:rPr>
      </w:pPr>
      <w:r>
        <w:rPr>
          <w:rFonts w:hint="eastAsia" w:eastAsia="宋体"/>
          <w:lang w:val="en-US" w:eastAsia="zh-CN"/>
        </w:rPr>
        <w:t xml:space="preserve">  </w:t>
      </w:r>
    </w:p>
    <w:p w14:paraId="46823D3F">
      <w:pPr>
        <w:keepNext w:val="0"/>
        <w:keepLines w:val="0"/>
        <w:pageBreakBefore w:val="0"/>
        <w:widowControl/>
        <w:suppressLineNumbers w:val="0"/>
        <w:kinsoku w:val="0"/>
        <w:wordWrap/>
        <w:overflowPunct/>
        <w:topLinePunct w:val="0"/>
        <w:autoSpaceDE w:val="0"/>
        <w:autoSpaceDN w:val="0"/>
        <w:bidi w:val="0"/>
        <w:adjustRightInd/>
        <w:snapToGrid/>
        <w:spacing w:before="1249" w:beforeLines="400" w:after="937" w:afterLines="300" w:line="360" w:lineRule="auto"/>
        <w:jc w:val="center"/>
        <w:textAlignment w:val="baseline"/>
        <w:outlineLvl w:val="9"/>
        <w:rPr>
          <w:rFonts w:hint="eastAsia" w:ascii="宋体" w:hAnsi="宋体" w:eastAsia="宋体" w:cs="宋体"/>
          <w:b/>
          <w:bCs/>
          <w:snapToGrid w:val="0"/>
          <w:color w:val="000000"/>
          <w:kern w:val="0"/>
          <w:sz w:val="52"/>
          <w:szCs w:val="52"/>
          <w:lang w:val="en-US" w:eastAsia="zh-CN"/>
        </w:rPr>
      </w:pPr>
      <w:r>
        <w:rPr>
          <w:rFonts w:hint="eastAsia" w:ascii="宋体" w:hAnsi="宋体" w:eastAsia="宋体" w:cs="宋体"/>
          <w:b/>
          <w:bCs/>
          <w:snapToGrid w:val="0"/>
          <w:color w:val="000000"/>
          <w:kern w:val="0"/>
          <w:sz w:val="52"/>
          <w:szCs w:val="52"/>
          <w:lang w:val="en-US" w:eastAsia="zh-CN"/>
        </w:rPr>
        <w:t>河南大成包装材料有限公司源网荷储一体化项目</w:t>
      </w:r>
    </w:p>
    <w:p w14:paraId="40D987DD">
      <w:pPr>
        <w:keepNext w:val="0"/>
        <w:keepLines w:val="0"/>
        <w:pageBreakBefore w:val="0"/>
        <w:widowControl/>
        <w:suppressLineNumbers w:val="0"/>
        <w:kinsoku w:val="0"/>
        <w:wordWrap/>
        <w:overflowPunct/>
        <w:topLinePunct w:val="0"/>
        <w:autoSpaceDE w:val="0"/>
        <w:autoSpaceDN w:val="0"/>
        <w:bidi w:val="0"/>
        <w:adjustRightInd/>
        <w:snapToGrid/>
        <w:spacing w:before="1249" w:beforeLines="400" w:after="937" w:afterLines="300" w:line="360" w:lineRule="auto"/>
        <w:jc w:val="center"/>
        <w:textAlignment w:val="baseline"/>
        <w:rPr>
          <w:rFonts w:hint="eastAsia" w:ascii="宋体" w:hAnsi="宋体" w:eastAsia="宋体" w:cs="宋体"/>
          <w:sz w:val="52"/>
          <w:szCs w:val="52"/>
        </w:rPr>
      </w:pPr>
      <w:r>
        <w:rPr>
          <w:rFonts w:hint="eastAsia" w:ascii="宋体" w:hAnsi="宋体" w:eastAsia="宋体" w:cs="宋体"/>
          <w:b/>
          <w:bCs/>
          <w:snapToGrid w:val="0"/>
          <w:color w:val="000000"/>
          <w:kern w:val="0"/>
          <w:sz w:val="52"/>
          <w:szCs w:val="52"/>
          <w:lang w:val="en-US" w:eastAsia="zh-CN"/>
        </w:rPr>
        <w:t>可行性研究报告</w:t>
      </w:r>
    </w:p>
    <w:p w14:paraId="5EFC94D4">
      <w:pPr>
        <w:keepNext w:val="0"/>
        <w:keepLines w:val="0"/>
        <w:pageBreakBefore w:val="0"/>
        <w:widowControl/>
        <w:kinsoku w:val="0"/>
        <w:wordWrap/>
        <w:overflowPunct/>
        <w:topLinePunct w:val="0"/>
        <w:autoSpaceDE w:val="0"/>
        <w:autoSpaceDN w:val="0"/>
        <w:bidi w:val="0"/>
        <w:adjustRightInd/>
        <w:snapToGrid/>
        <w:spacing w:before="0" w:beforeLines="100" w:after="0" w:afterLines="100" w:line="360" w:lineRule="auto"/>
        <w:ind w:firstLine="1441" w:firstLineChars="400"/>
        <w:jc w:val="left"/>
        <w:textAlignment w:val="baseline"/>
        <w:outlineLvl w:val="9"/>
        <w:rPr>
          <w:rFonts w:hint="eastAsia" w:ascii="宋体" w:hAnsi="宋体" w:eastAsia="宋体" w:cs="宋体"/>
          <w:b/>
          <w:bCs/>
          <w:sz w:val="36"/>
          <w:szCs w:val="36"/>
          <w:lang w:val="en-US" w:eastAsia="zh-CN"/>
        </w:rPr>
      </w:pPr>
      <w:bookmarkStart w:id="0" w:name="_Toc3961"/>
    </w:p>
    <w:p w14:paraId="77939643">
      <w:pPr>
        <w:keepNext w:val="0"/>
        <w:keepLines w:val="0"/>
        <w:pageBreakBefore w:val="0"/>
        <w:widowControl/>
        <w:kinsoku w:val="0"/>
        <w:wordWrap/>
        <w:overflowPunct/>
        <w:topLinePunct w:val="0"/>
        <w:autoSpaceDE w:val="0"/>
        <w:autoSpaceDN w:val="0"/>
        <w:bidi w:val="0"/>
        <w:adjustRightInd/>
        <w:snapToGrid/>
        <w:spacing w:before="0" w:beforeLines="100" w:after="0" w:afterLines="100" w:line="360" w:lineRule="auto"/>
        <w:ind w:firstLine="1441" w:firstLineChars="400"/>
        <w:jc w:val="left"/>
        <w:textAlignment w:val="baseline"/>
        <w:outlineLvl w:val="9"/>
        <w:rPr>
          <w:rFonts w:hint="eastAsia" w:ascii="宋体" w:hAnsi="宋体" w:eastAsia="宋体" w:cs="宋体"/>
          <w:b/>
          <w:bCs/>
          <w:sz w:val="36"/>
          <w:szCs w:val="36"/>
          <w:lang w:val="en-US" w:eastAsia="zh-CN"/>
        </w:rPr>
      </w:pPr>
    </w:p>
    <w:p w14:paraId="5C3C0999">
      <w:pPr>
        <w:keepNext w:val="0"/>
        <w:keepLines w:val="0"/>
        <w:pageBreakBefore w:val="0"/>
        <w:widowControl/>
        <w:kinsoku w:val="0"/>
        <w:wordWrap/>
        <w:overflowPunct/>
        <w:topLinePunct w:val="0"/>
        <w:autoSpaceDE w:val="0"/>
        <w:autoSpaceDN w:val="0"/>
        <w:bidi w:val="0"/>
        <w:adjustRightInd/>
        <w:snapToGrid/>
        <w:spacing w:before="0" w:beforeLines="100" w:after="0" w:afterLines="100" w:line="360" w:lineRule="auto"/>
        <w:ind w:firstLine="1441" w:firstLineChars="400"/>
        <w:jc w:val="left"/>
        <w:textAlignment w:val="baseline"/>
        <w:outlineLvl w:val="9"/>
        <w:rPr>
          <w:rFonts w:hint="eastAsia" w:ascii="宋体" w:hAnsi="宋体" w:eastAsia="宋体" w:cs="宋体"/>
          <w:b/>
          <w:bCs/>
          <w:sz w:val="36"/>
          <w:szCs w:val="36"/>
          <w:lang w:val="en-US" w:eastAsia="zh-CN"/>
        </w:rPr>
      </w:pPr>
    </w:p>
    <w:p w14:paraId="10249800">
      <w:pPr>
        <w:keepNext w:val="0"/>
        <w:keepLines w:val="0"/>
        <w:pageBreakBefore w:val="0"/>
        <w:widowControl/>
        <w:kinsoku w:val="0"/>
        <w:wordWrap/>
        <w:overflowPunct/>
        <w:topLinePunct w:val="0"/>
        <w:autoSpaceDE w:val="0"/>
        <w:autoSpaceDN w:val="0"/>
        <w:bidi w:val="0"/>
        <w:adjustRightInd/>
        <w:snapToGrid/>
        <w:spacing w:before="0" w:beforeLines="100" w:after="0" w:afterLines="100" w:line="360" w:lineRule="auto"/>
        <w:ind w:firstLine="1441" w:firstLineChars="400"/>
        <w:jc w:val="left"/>
        <w:textAlignment w:val="baseline"/>
        <w:outlineLvl w:val="9"/>
        <w:rPr>
          <w:rFonts w:hint="eastAsia" w:ascii="宋体" w:hAnsi="宋体" w:eastAsia="宋体" w:cs="宋体"/>
          <w:b/>
          <w:bCs/>
          <w:sz w:val="36"/>
          <w:szCs w:val="36"/>
          <w:lang w:val="en-US" w:eastAsia="zh-CN"/>
        </w:rPr>
      </w:pPr>
    </w:p>
    <w:p w14:paraId="120B72E2">
      <w:pPr>
        <w:keepNext w:val="0"/>
        <w:keepLines w:val="0"/>
        <w:pageBreakBefore w:val="0"/>
        <w:widowControl/>
        <w:kinsoku w:val="0"/>
        <w:wordWrap/>
        <w:overflowPunct/>
        <w:topLinePunct w:val="0"/>
        <w:autoSpaceDE w:val="0"/>
        <w:autoSpaceDN w:val="0"/>
        <w:bidi w:val="0"/>
        <w:adjustRightInd/>
        <w:snapToGrid/>
        <w:spacing w:before="0" w:beforeLines="100" w:after="0" w:afterLines="100" w:line="360" w:lineRule="auto"/>
        <w:ind w:firstLine="1441" w:firstLineChars="400"/>
        <w:jc w:val="left"/>
        <w:textAlignment w:val="baseline"/>
        <w:outlineLvl w:val="9"/>
        <w:rPr>
          <w:rFonts w:hint="eastAsia" w:ascii="宋体" w:hAnsi="宋体" w:eastAsia="宋体" w:cs="宋体"/>
          <w:b/>
          <w:bCs/>
          <w:sz w:val="36"/>
          <w:szCs w:val="36"/>
          <w:lang w:val="en-US" w:eastAsia="zh-CN"/>
        </w:rPr>
      </w:pPr>
    </w:p>
    <w:p w14:paraId="10FF98E1">
      <w:pPr>
        <w:keepNext w:val="0"/>
        <w:keepLines w:val="0"/>
        <w:pageBreakBefore w:val="0"/>
        <w:widowControl/>
        <w:kinsoku w:val="0"/>
        <w:wordWrap/>
        <w:overflowPunct/>
        <w:topLinePunct w:val="0"/>
        <w:autoSpaceDE w:val="0"/>
        <w:autoSpaceDN w:val="0"/>
        <w:bidi w:val="0"/>
        <w:adjustRightInd/>
        <w:snapToGrid/>
        <w:spacing w:before="0" w:beforeLines="100" w:after="0" w:afterLines="100" w:line="360" w:lineRule="auto"/>
        <w:ind w:firstLine="0" w:firstLineChars="0"/>
        <w:jc w:val="center"/>
        <w:textAlignment w:val="baseline"/>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建设单位：</w:t>
      </w:r>
      <w:bookmarkEnd w:id="0"/>
      <w:r>
        <w:rPr>
          <w:rFonts w:hint="eastAsia" w:ascii="宋体" w:hAnsi="宋体" w:eastAsia="宋体" w:cs="宋体"/>
          <w:b/>
          <w:bCs/>
          <w:sz w:val="32"/>
          <w:szCs w:val="32"/>
          <w:lang w:val="en-US" w:eastAsia="zh-CN"/>
        </w:rPr>
        <w:t>河南中原智慧冷链物流园管理运营有限公司</w:t>
      </w:r>
    </w:p>
    <w:p w14:paraId="4974C5BE">
      <w:pPr>
        <w:keepNext w:val="0"/>
        <w:keepLines w:val="0"/>
        <w:pageBreakBefore w:val="0"/>
        <w:widowControl/>
        <w:kinsoku w:val="0"/>
        <w:wordWrap/>
        <w:overflowPunct/>
        <w:topLinePunct w:val="0"/>
        <w:autoSpaceDE w:val="0"/>
        <w:autoSpaceDN w:val="0"/>
        <w:bidi w:val="0"/>
        <w:adjustRightInd/>
        <w:snapToGrid/>
        <w:spacing w:before="0" w:beforeLines="100" w:after="0" w:afterLines="100" w:line="360" w:lineRule="auto"/>
        <w:ind w:firstLine="0" w:firstLineChars="0"/>
        <w:jc w:val="center"/>
        <w:textAlignment w:val="baseline"/>
        <w:outlineLvl w:val="9"/>
        <w:rPr>
          <w:rFonts w:hint="eastAsia" w:ascii="宋体" w:hAnsi="宋体" w:eastAsia="宋体" w:cs="宋体"/>
          <w:b/>
          <w:bCs/>
          <w:sz w:val="32"/>
          <w:szCs w:val="32"/>
          <w:lang w:val="en-US" w:eastAsia="zh-CN"/>
        </w:rPr>
      </w:pPr>
      <w:bookmarkStart w:id="1" w:name="_Toc32090"/>
      <w:r>
        <w:rPr>
          <w:rFonts w:hint="eastAsia" w:ascii="宋体" w:hAnsi="宋体" w:eastAsia="宋体" w:cs="宋体"/>
          <w:b/>
          <w:bCs/>
          <w:sz w:val="32"/>
          <w:szCs w:val="32"/>
          <w:lang w:val="en-US" w:eastAsia="zh-CN"/>
        </w:rPr>
        <w:t>编制单位：北京新元工程咨询有限公司</w:t>
      </w:r>
      <w:bookmarkEnd w:id="1"/>
    </w:p>
    <w:p w14:paraId="4A9C5BEB">
      <w:pPr>
        <w:keepNext w:val="0"/>
        <w:keepLines w:val="0"/>
        <w:pageBreakBefore w:val="0"/>
        <w:widowControl/>
        <w:kinsoku w:val="0"/>
        <w:wordWrap/>
        <w:overflowPunct/>
        <w:topLinePunct w:val="0"/>
        <w:autoSpaceDE w:val="0"/>
        <w:autoSpaceDN w:val="0"/>
        <w:bidi w:val="0"/>
        <w:adjustRightInd/>
        <w:snapToGrid/>
        <w:spacing w:before="0" w:beforeLines="100" w:after="0" w:afterLines="100" w:line="360" w:lineRule="auto"/>
        <w:ind w:firstLine="0" w:firstLineChars="0"/>
        <w:jc w:val="center"/>
        <w:textAlignment w:val="baseline"/>
        <w:outlineLvl w:val="9"/>
        <w:rPr>
          <w:rFonts w:hint="eastAsia" w:ascii="宋体" w:hAnsi="宋体" w:eastAsia="宋体" w:cs="宋体"/>
          <w:b/>
          <w:bCs/>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ascii="宋体" w:hAnsi="宋体" w:eastAsia="宋体" w:cs="宋体"/>
          <w:b/>
          <w:bCs/>
          <w:sz w:val="32"/>
          <w:szCs w:val="32"/>
          <w:lang w:val="en-US" w:eastAsia="zh-CN"/>
        </w:rPr>
        <w:t>编制日期：2025年5月</w:t>
      </w:r>
    </w:p>
    <w:p w14:paraId="0EEC3904">
      <w:pPr>
        <w:keepNext w:val="0"/>
        <w:keepLines w:val="0"/>
        <w:pageBreakBefore w:val="0"/>
        <w:widowControl/>
        <w:kinsoku w:val="0"/>
        <w:wordWrap/>
        <w:overflowPunct/>
        <w:topLinePunct w:val="0"/>
        <w:autoSpaceDE w:val="0"/>
        <w:autoSpaceDN w:val="0"/>
        <w:bidi w:val="0"/>
        <w:adjustRightInd/>
        <w:snapToGrid/>
        <w:spacing w:before="0" w:beforeLines="100" w:after="0" w:afterLines="100" w:line="360" w:lineRule="auto"/>
        <w:ind w:firstLine="0" w:firstLineChars="0"/>
        <w:jc w:val="center"/>
        <w:textAlignment w:val="baseline"/>
        <w:outlineLvl w:val="9"/>
        <w:rPr>
          <w:rFonts w:hint="eastAsia" w:ascii="宋体" w:hAnsi="宋体" w:eastAsia="宋体" w:cs="宋体"/>
          <w:b/>
          <w:bCs/>
          <w:sz w:val="32"/>
          <w:szCs w:val="32"/>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ascii="宋体" w:hAnsi="宋体" w:eastAsia="宋体" w:cs="宋体"/>
          <w:b/>
          <w:bCs/>
          <w:sz w:val="32"/>
          <w:szCs w:val="32"/>
          <w:lang w:val="en-US" w:eastAsia="zh-CN"/>
        </w:rPr>
        <w:drawing>
          <wp:inline distT="0" distB="0" distL="114300" distR="114300">
            <wp:extent cx="7040880" cy="4984115"/>
            <wp:effectExtent l="0" t="0" r="7620" b="6985"/>
            <wp:docPr id="2"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
                    <pic:cNvPicPr>
                      <a:picLocks noChangeAspect="1"/>
                    </pic:cNvPicPr>
                  </pic:nvPicPr>
                  <pic:blipFill>
                    <a:blip r:embed="rId7"/>
                    <a:stretch>
                      <a:fillRect/>
                    </a:stretch>
                  </pic:blipFill>
                  <pic:spPr>
                    <a:xfrm>
                      <a:off x="0" y="0"/>
                      <a:ext cx="7040880" cy="4984115"/>
                    </a:xfrm>
                    <a:prstGeom prst="rect">
                      <a:avLst/>
                    </a:prstGeom>
                  </pic:spPr>
                </pic:pic>
              </a:graphicData>
            </a:graphic>
          </wp:inline>
        </w:drawing>
      </w:r>
      <w:r>
        <w:rPr>
          <w:rFonts w:hint="eastAsia" w:ascii="宋体" w:hAnsi="宋体" w:eastAsia="宋体" w:cs="宋体"/>
          <w:b/>
          <w:bCs/>
          <w:sz w:val="32"/>
          <w:szCs w:val="32"/>
          <w:lang w:val="en-US" w:eastAsia="zh-CN"/>
        </w:rPr>
        <w:drawing>
          <wp:inline distT="0" distB="0" distL="114300" distR="114300">
            <wp:extent cx="6872605" cy="4757420"/>
            <wp:effectExtent l="0" t="0" r="4445" b="5080"/>
            <wp:docPr id="5"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2"/>
                    <pic:cNvPicPr>
                      <a:picLocks noChangeAspect="1"/>
                    </pic:cNvPicPr>
                  </pic:nvPicPr>
                  <pic:blipFill>
                    <a:blip r:embed="rId8"/>
                    <a:stretch>
                      <a:fillRect/>
                    </a:stretch>
                  </pic:blipFill>
                  <pic:spPr>
                    <a:xfrm>
                      <a:off x="0" y="0"/>
                      <a:ext cx="6872605" cy="4757420"/>
                    </a:xfrm>
                    <a:prstGeom prst="rect">
                      <a:avLst/>
                    </a:prstGeom>
                  </pic:spPr>
                </pic:pic>
              </a:graphicData>
            </a:graphic>
          </wp:inline>
        </w:drawing>
      </w:r>
    </w:p>
    <w:sdt>
      <w:sdtPr>
        <w:rPr>
          <w:rFonts w:ascii="宋体" w:hAnsi="宋体" w:eastAsia="宋体" w:cs="Arial"/>
          <w:snapToGrid w:val="0"/>
          <w:color w:val="000000"/>
          <w:kern w:val="0"/>
          <w:sz w:val="21"/>
          <w:szCs w:val="21"/>
          <w:lang w:val="en-US" w:eastAsia="en-US" w:bidi="ar-SA"/>
        </w:rPr>
        <w:id w:val="147457988"/>
        <w15:color w:val="DBDBDB"/>
        <w:docPartObj>
          <w:docPartGallery w:val="Table of Contents"/>
          <w:docPartUnique/>
        </w:docPartObj>
      </w:sdtPr>
      <w:sdtEndPr>
        <w:rPr>
          <w:rFonts w:ascii="宋体" w:hAnsi="宋体" w:eastAsia="宋体" w:cs="Arial"/>
          <w:b/>
          <w:snapToGrid w:val="0"/>
          <w:color w:val="000000"/>
          <w:kern w:val="0"/>
          <w:sz w:val="21"/>
          <w:szCs w:val="21"/>
          <w:lang w:val="en-US" w:eastAsia="en-US" w:bidi="ar-SA"/>
        </w:rPr>
      </w:sdtEndPr>
      <w:sdtContent>
        <w:p w14:paraId="0129CA12">
          <w:pPr>
            <w:keepNext w:val="0"/>
            <w:keepLines w:val="0"/>
            <w:pageBreakBefore w:val="0"/>
            <w:widowControl/>
            <w:wordWrap/>
            <w:overflowPunct/>
            <w:topLinePunct w:val="0"/>
            <w:bidi w:val="0"/>
            <w:spacing w:before="0" w:beforeLines="0" w:after="0" w:afterLines="0" w:line="360" w:lineRule="auto"/>
            <w:ind w:left="0" w:leftChars="0" w:right="0" w:rightChars="0" w:firstLine="0" w:firstLineChars="0"/>
            <w:jc w:val="center"/>
            <w:rPr>
              <w:rFonts w:hint="eastAsia" w:ascii="宋体" w:hAnsi="宋体" w:eastAsia="宋体" w:cs="宋体"/>
              <w:b/>
              <w:bCs/>
              <w:sz w:val="44"/>
              <w:szCs w:val="44"/>
            </w:rPr>
          </w:pPr>
          <w:bookmarkStart w:id="2" w:name="_Toc13134"/>
          <w:bookmarkStart w:id="3" w:name="_Toc32442"/>
          <w:bookmarkStart w:id="4" w:name="_Toc32307"/>
          <w:r>
            <w:rPr>
              <w:rFonts w:hint="eastAsia" w:ascii="宋体" w:hAnsi="宋体" w:eastAsia="宋体" w:cs="宋体"/>
              <w:b/>
              <w:bCs/>
              <w:sz w:val="44"/>
              <w:szCs w:val="44"/>
            </w:rPr>
            <w:t>目录</w:t>
          </w:r>
        </w:p>
        <w:p w14:paraId="414A1BE9">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"1-2" \h \u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_Toc19208 </w:instrText>
          </w:r>
          <w:r>
            <w:rPr>
              <w:rFonts w:hint="eastAsia" w:ascii="宋体" w:hAnsi="宋体" w:eastAsia="宋体" w:cs="宋体"/>
              <w:sz w:val="24"/>
              <w:szCs w:val="24"/>
            </w:rPr>
            <w:fldChar w:fldCharType="separate"/>
          </w:r>
          <w:r>
            <w:rPr>
              <w:rFonts w:hint="eastAsia" w:ascii="宋体" w:hAnsi="宋体" w:eastAsia="宋体" w:cs="宋体"/>
              <w:bCs/>
              <w:sz w:val="24"/>
              <w:szCs w:val="24"/>
            </w:rPr>
            <w:t>第一章 总论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_Toc19208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20A1825">
          <w:pPr>
            <w:pStyle w:val="12"/>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_Toc17556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1.1 项目概况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_Toc17556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22B8AB5">
          <w:pPr>
            <w:pStyle w:val="12"/>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_Toc1371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1.2 企业及实际控制人概况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_Toc1371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93DB59C">
          <w:pPr>
            <w:pStyle w:val="12"/>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_Toc20656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1.3 编制依据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_Toc20656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7295FB3">
          <w:pPr>
            <w:pStyle w:val="12"/>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_Toc17379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1.4 研究范围</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_Toc17379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2D7C650">
          <w:pPr>
            <w:pStyle w:val="12"/>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_Toc12322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1.5 结论及建议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_Toc12322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B527C5A">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_Toc2447 </w:instrText>
          </w:r>
          <w:r>
            <w:rPr>
              <w:rFonts w:hint="eastAsia" w:ascii="宋体" w:hAnsi="宋体" w:eastAsia="宋体" w:cs="宋体"/>
              <w:sz w:val="24"/>
              <w:szCs w:val="24"/>
            </w:rPr>
            <w:fldChar w:fldCharType="separate"/>
          </w:r>
          <w:r>
            <w:rPr>
              <w:rFonts w:hint="eastAsia" w:ascii="宋体" w:hAnsi="宋体" w:eastAsia="宋体" w:cs="宋体"/>
              <w:bCs/>
              <w:sz w:val="24"/>
              <w:szCs w:val="24"/>
            </w:rPr>
            <w:t>第二章 项目建设背景及必要性</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_Toc2447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097F48F">
          <w:pPr>
            <w:pStyle w:val="12"/>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_Toc5056 </w:instrText>
          </w:r>
          <w:r>
            <w:rPr>
              <w:rFonts w:hint="eastAsia" w:ascii="宋体" w:hAnsi="宋体" w:eastAsia="宋体" w:cs="宋体"/>
              <w:sz w:val="24"/>
              <w:szCs w:val="24"/>
            </w:rPr>
            <w:fldChar w:fldCharType="separate"/>
          </w:r>
          <w:r>
            <w:rPr>
              <w:rFonts w:hint="eastAsia" w:ascii="宋体" w:hAnsi="宋体" w:eastAsia="宋体" w:cs="宋体"/>
              <w:bCs/>
              <w:sz w:val="24"/>
              <w:szCs w:val="24"/>
            </w:rPr>
            <w:t>2.1 规划政策符合性</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_Toc5056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9C74390">
          <w:pPr>
            <w:pStyle w:val="12"/>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_Toc7919 </w:instrText>
          </w:r>
          <w:r>
            <w:rPr>
              <w:rFonts w:hint="eastAsia" w:ascii="宋体" w:hAnsi="宋体" w:eastAsia="宋体" w:cs="宋体"/>
              <w:sz w:val="24"/>
              <w:szCs w:val="24"/>
            </w:rPr>
            <w:fldChar w:fldCharType="separate"/>
          </w:r>
          <w:r>
            <w:rPr>
              <w:rFonts w:hint="eastAsia" w:ascii="宋体" w:hAnsi="宋体" w:eastAsia="宋体" w:cs="宋体"/>
              <w:bCs/>
              <w:sz w:val="24"/>
              <w:szCs w:val="24"/>
            </w:rPr>
            <w:t>2.2 项目主体发展战略需求分析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_Toc7919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C996AF0">
          <w:pPr>
            <w:pStyle w:val="12"/>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_Toc30857 </w:instrText>
          </w:r>
          <w:r>
            <w:rPr>
              <w:rFonts w:hint="eastAsia" w:ascii="宋体" w:hAnsi="宋体" w:eastAsia="宋体" w:cs="宋体"/>
              <w:sz w:val="24"/>
              <w:szCs w:val="24"/>
            </w:rPr>
            <w:fldChar w:fldCharType="separate"/>
          </w:r>
          <w:r>
            <w:rPr>
              <w:rFonts w:hint="eastAsia" w:ascii="宋体" w:hAnsi="宋体" w:eastAsia="宋体" w:cs="宋体"/>
              <w:bCs/>
              <w:sz w:val="24"/>
              <w:szCs w:val="24"/>
            </w:rPr>
            <w:t>2.3 项目市场需求分析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_Toc30857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0E7849A">
          <w:pPr>
            <w:pStyle w:val="12"/>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_Toc20731 </w:instrText>
          </w:r>
          <w:r>
            <w:rPr>
              <w:rFonts w:hint="eastAsia" w:ascii="宋体" w:hAnsi="宋体" w:eastAsia="宋体" w:cs="宋体"/>
              <w:sz w:val="24"/>
              <w:szCs w:val="24"/>
            </w:rPr>
            <w:fldChar w:fldCharType="separate"/>
          </w:r>
          <w:r>
            <w:rPr>
              <w:rFonts w:hint="eastAsia" w:ascii="宋体" w:hAnsi="宋体" w:eastAsia="宋体" w:cs="宋体"/>
              <w:bCs/>
              <w:sz w:val="24"/>
              <w:szCs w:val="24"/>
            </w:rPr>
            <w:t>2.4 项目建设内容、规模及产出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_Toc20731 \h </w:instrText>
          </w:r>
          <w:r>
            <w:rPr>
              <w:rFonts w:hint="eastAsia" w:ascii="宋体" w:hAnsi="宋体" w:eastAsia="宋体" w:cs="宋体"/>
              <w:sz w:val="24"/>
              <w:szCs w:val="24"/>
            </w:rPr>
            <w:fldChar w:fldCharType="separate"/>
          </w:r>
          <w:r>
            <w:rPr>
              <w:rFonts w:hint="eastAsia" w:ascii="宋体" w:hAnsi="宋体" w:eastAsia="宋体" w:cs="宋体"/>
              <w:sz w:val="24"/>
              <w:szCs w:val="24"/>
            </w:rPr>
            <w:t>32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4633128">
          <w:pPr>
            <w:pStyle w:val="12"/>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_Toc21466 </w:instrText>
          </w:r>
          <w:r>
            <w:rPr>
              <w:rFonts w:hint="eastAsia" w:ascii="宋体" w:hAnsi="宋体" w:eastAsia="宋体" w:cs="宋体"/>
              <w:sz w:val="24"/>
              <w:szCs w:val="24"/>
            </w:rPr>
            <w:fldChar w:fldCharType="separate"/>
          </w:r>
          <w:r>
            <w:rPr>
              <w:rFonts w:hint="eastAsia" w:ascii="宋体" w:hAnsi="宋体" w:eastAsia="宋体" w:cs="宋体"/>
              <w:bCs/>
              <w:sz w:val="24"/>
              <w:szCs w:val="24"/>
            </w:rPr>
            <w:t>2.5 项目商业模式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_Toc21466 \h </w:instrText>
          </w:r>
          <w:r>
            <w:rPr>
              <w:rFonts w:hint="eastAsia" w:ascii="宋体" w:hAnsi="宋体" w:eastAsia="宋体" w:cs="宋体"/>
              <w:sz w:val="24"/>
              <w:szCs w:val="24"/>
            </w:rPr>
            <w:fldChar w:fldCharType="separate"/>
          </w:r>
          <w:r>
            <w:rPr>
              <w:rFonts w:hint="eastAsia" w:ascii="宋体" w:hAnsi="宋体" w:eastAsia="宋体" w:cs="宋体"/>
              <w:sz w:val="24"/>
              <w:szCs w:val="24"/>
            </w:rPr>
            <w:t>35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6C32CD8">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_Toc13005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第三章 项目选址与要素保障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_Toc13005 \h </w:instrText>
          </w:r>
          <w:r>
            <w:rPr>
              <w:rFonts w:hint="eastAsia" w:ascii="宋体" w:hAnsi="宋体" w:eastAsia="宋体" w:cs="宋体"/>
              <w:sz w:val="24"/>
              <w:szCs w:val="24"/>
            </w:rPr>
            <w:fldChar w:fldCharType="separate"/>
          </w:r>
          <w:r>
            <w:rPr>
              <w:rFonts w:hint="eastAsia" w:ascii="宋体" w:hAnsi="宋体" w:eastAsia="宋体" w:cs="宋体"/>
              <w:sz w:val="24"/>
              <w:szCs w:val="24"/>
            </w:rPr>
            <w:t>40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95AE89A">
          <w:pPr>
            <w:pStyle w:val="12"/>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_Toc31412 </w:instrText>
          </w:r>
          <w:r>
            <w:rPr>
              <w:rFonts w:hint="eastAsia" w:ascii="宋体" w:hAnsi="宋体" w:eastAsia="宋体" w:cs="宋体"/>
              <w:sz w:val="24"/>
              <w:szCs w:val="24"/>
            </w:rPr>
            <w:fldChar w:fldCharType="separate"/>
          </w:r>
          <w:r>
            <w:rPr>
              <w:rFonts w:hint="eastAsia" w:ascii="宋体" w:hAnsi="宋体" w:eastAsia="宋体" w:cs="宋体"/>
              <w:bCs/>
              <w:sz w:val="24"/>
              <w:szCs w:val="24"/>
            </w:rPr>
            <w:t>3.1 项目地址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_Toc31412 \h </w:instrText>
          </w:r>
          <w:r>
            <w:rPr>
              <w:rFonts w:hint="eastAsia" w:ascii="宋体" w:hAnsi="宋体" w:eastAsia="宋体" w:cs="宋体"/>
              <w:sz w:val="24"/>
              <w:szCs w:val="24"/>
            </w:rPr>
            <w:fldChar w:fldCharType="separate"/>
          </w:r>
          <w:r>
            <w:rPr>
              <w:rFonts w:hint="eastAsia" w:ascii="宋体" w:hAnsi="宋体" w:eastAsia="宋体" w:cs="宋体"/>
              <w:sz w:val="24"/>
              <w:szCs w:val="24"/>
            </w:rPr>
            <w:t>40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BC61A60">
          <w:pPr>
            <w:pStyle w:val="12"/>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_Toc25200 </w:instrText>
          </w:r>
          <w:r>
            <w:rPr>
              <w:rFonts w:hint="eastAsia" w:ascii="宋体" w:hAnsi="宋体" w:eastAsia="宋体" w:cs="宋体"/>
              <w:sz w:val="24"/>
              <w:szCs w:val="24"/>
            </w:rPr>
            <w:fldChar w:fldCharType="separate"/>
          </w:r>
          <w:r>
            <w:rPr>
              <w:rFonts w:hint="eastAsia" w:ascii="宋体" w:hAnsi="宋体" w:eastAsia="宋体" w:cs="宋体"/>
              <w:bCs/>
              <w:sz w:val="24"/>
              <w:szCs w:val="24"/>
            </w:rPr>
            <w:t>3.2 项目建设条件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_Toc25200 \h </w:instrText>
          </w:r>
          <w:r>
            <w:rPr>
              <w:rFonts w:hint="eastAsia" w:ascii="宋体" w:hAnsi="宋体" w:eastAsia="宋体" w:cs="宋体"/>
              <w:sz w:val="24"/>
              <w:szCs w:val="24"/>
            </w:rPr>
            <w:fldChar w:fldCharType="separate"/>
          </w:r>
          <w:r>
            <w:rPr>
              <w:rFonts w:hint="eastAsia" w:ascii="宋体" w:hAnsi="宋体" w:eastAsia="宋体" w:cs="宋体"/>
              <w:sz w:val="24"/>
              <w:szCs w:val="24"/>
            </w:rPr>
            <w:t>40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1CDDE5C">
          <w:pPr>
            <w:pStyle w:val="12"/>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_Toc25559 </w:instrText>
          </w:r>
          <w:r>
            <w:rPr>
              <w:rFonts w:hint="eastAsia" w:ascii="宋体" w:hAnsi="宋体" w:eastAsia="宋体" w:cs="宋体"/>
              <w:sz w:val="24"/>
              <w:szCs w:val="24"/>
            </w:rPr>
            <w:fldChar w:fldCharType="separate"/>
          </w:r>
          <w:r>
            <w:rPr>
              <w:rFonts w:hint="eastAsia" w:ascii="宋体" w:hAnsi="宋体" w:eastAsia="宋体" w:cs="宋体"/>
              <w:i w:val="0"/>
              <w:strike w:val="0"/>
              <w:spacing w:val="0"/>
              <w:sz w:val="24"/>
              <w:szCs w:val="24"/>
              <w:vertAlign w:val="baseline"/>
            </w:rPr>
            <w:t>3.3 要素保障分析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_Toc25559 \h </w:instrText>
          </w:r>
          <w:r>
            <w:rPr>
              <w:rFonts w:hint="eastAsia" w:ascii="宋体" w:hAnsi="宋体" w:eastAsia="宋体" w:cs="宋体"/>
              <w:sz w:val="24"/>
              <w:szCs w:val="24"/>
            </w:rPr>
            <w:fldChar w:fldCharType="separate"/>
          </w:r>
          <w:r>
            <w:rPr>
              <w:rFonts w:hint="eastAsia" w:ascii="宋体" w:hAnsi="宋体" w:eastAsia="宋体" w:cs="宋体"/>
              <w:sz w:val="24"/>
              <w:szCs w:val="24"/>
            </w:rPr>
            <w:t>44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4BA9FE4">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_Toc4346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第四章 项目建设方案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_Toc4346 \h </w:instrText>
          </w:r>
          <w:r>
            <w:rPr>
              <w:rFonts w:hint="eastAsia" w:ascii="宋体" w:hAnsi="宋体" w:eastAsia="宋体" w:cs="宋体"/>
              <w:sz w:val="24"/>
              <w:szCs w:val="24"/>
            </w:rPr>
            <w:fldChar w:fldCharType="separate"/>
          </w:r>
          <w:r>
            <w:rPr>
              <w:rFonts w:hint="eastAsia" w:ascii="宋体" w:hAnsi="宋体" w:eastAsia="宋体" w:cs="宋体"/>
              <w:sz w:val="24"/>
              <w:szCs w:val="24"/>
            </w:rPr>
            <w:t>46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A6E6CE8">
          <w:pPr>
            <w:pStyle w:val="12"/>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_Toc9208 </w:instrText>
          </w:r>
          <w:r>
            <w:rPr>
              <w:rFonts w:hint="eastAsia" w:ascii="宋体" w:hAnsi="宋体" w:eastAsia="宋体" w:cs="宋体"/>
              <w:sz w:val="24"/>
              <w:szCs w:val="24"/>
            </w:rPr>
            <w:fldChar w:fldCharType="separate"/>
          </w:r>
          <w:r>
            <w:rPr>
              <w:rFonts w:hint="eastAsia" w:ascii="宋体" w:hAnsi="宋体" w:eastAsia="宋体" w:cs="宋体"/>
              <w:bCs/>
              <w:sz w:val="24"/>
              <w:szCs w:val="24"/>
            </w:rPr>
            <w:t>4.1 技术方案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_Toc9208 \h </w:instrText>
          </w:r>
          <w:r>
            <w:rPr>
              <w:rFonts w:hint="eastAsia" w:ascii="宋体" w:hAnsi="宋体" w:eastAsia="宋体" w:cs="宋体"/>
              <w:sz w:val="24"/>
              <w:szCs w:val="24"/>
            </w:rPr>
            <w:fldChar w:fldCharType="separate"/>
          </w:r>
          <w:r>
            <w:rPr>
              <w:rFonts w:hint="eastAsia" w:ascii="宋体" w:hAnsi="宋体" w:eastAsia="宋体" w:cs="宋体"/>
              <w:sz w:val="24"/>
              <w:szCs w:val="24"/>
            </w:rPr>
            <w:t>46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CA1418E">
          <w:pPr>
            <w:pStyle w:val="12"/>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_Toc20607 </w:instrText>
          </w:r>
          <w:r>
            <w:rPr>
              <w:rFonts w:hint="eastAsia" w:ascii="宋体" w:hAnsi="宋体" w:eastAsia="宋体" w:cs="宋体"/>
              <w:sz w:val="24"/>
              <w:szCs w:val="24"/>
            </w:rPr>
            <w:fldChar w:fldCharType="separate"/>
          </w:r>
          <w:r>
            <w:rPr>
              <w:rFonts w:hint="eastAsia" w:ascii="宋体" w:hAnsi="宋体" w:eastAsia="宋体" w:cs="宋体"/>
              <w:bCs/>
              <w:sz w:val="24"/>
              <w:szCs w:val="24"/>
            </w:rPr>
            <w:t>4.2 设备方案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_Toc20607 \h </w:instrText>
          </w:r>
          <w:r>
            <w:rPr>
              <w:rFonts w:hint="eastAsia" w:ascii="宋体" w:hAnsi="宋体" w:eastAsia="宋体" w:cs="宋体"/>
              <w:sz w:val="24"/>
              <w:szCs w:val="24"/>
            </w:rPr>
            <w:fldChar w:fldCharType="separate"/>
          </w:r>
          <w:r>
            <w:rPr>
              <w:rFonts w:hint="eastAsia" w:ascii="宋体" w:hAnsi="宋体" w:eastAsia="宋体" w:cs="宋体"/>
              <w:sz w:val="24"/>
              <w:szCs w:val="24"/>
            </w:rPr>
            <w:t>47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1A5913F">
          <w:pPr>
            <w:pStyle w:val="12"/>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_Toc15450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4.3 储能系统配置方案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_Toc15450 \h </w:instrText>
          </w:r>
          <w:r>
            <w:rPr>
              <w:rFonts w:hint="eastAsia" w:ascii="宋体" w:hAnsi="宋体" w:eastAsia="宋体" w:cs="宋体"/>
              <w:sz w:val="24"/>
              <w:szCs w:val="24"/>
            </w:rPr>
            <w:fldChar w:fldCharType="separate"/>
          </w:r>
          <w:r>
            <w:rPr>
              <w:rFonts w:hint="eastAsia" w:ascii="宋体" w:hAnsi="宋体" w:eastAsia="宋体" w:cs="宋体"/>
              <w:sz w:val="24"/>
              <w:szCs w:val="24"/>
            </w:rPr>
            <w:t>61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AB68151">
          <w:pPr>
            <w:pStyle w:val="12"/>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_Toc32422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4.4 建设管理方案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_Toc32422 \h </w:instrText>
          </w:r>
          <w:r>
            <w:rPr>
              <w:rFonts w:hint="eastAsia" w:ascii="宋体" w:hAnsi="宋体" w:eastAsia="宋体" w:cs="宋体"/>
              <w:sz w:val="24"/>
              <w:szCs w:val="24"/>
            </w:rPr>
            <w:fldChar w:fldCharType="separate"/>
          </w:r>
          <w:r>
            <w:rPr>
              <w:rFonts w:hint="eastAsia" w:ascii="宋体" w:hAnsi="宋体" w:eastAsia="宋体" w:cs="宋体"/>
              <w:sz w:val="24"/>
              <w:szCs w:val="24"/>
            </w:rPr>
            <w:t>71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5F0F8B8">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_Toc22426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第五章 项目运营方案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_Toc22426 \h </w:instrText>
          </w:r>
          <w:r>
            <w:rPr>
              <w:rFonts w:hint="eastAsia" w:ascii="宋体" w:hAnsi="宋体" w:eastAsia="宋体" w:cs="宋体"/>
              <w:sz w:val="24"/>
              <w:szCs w:val="24"/>
            </w:rPr>
            <w:fldChar w:fldCharType="separate"/>
          </w:r>
          <w:r>
            <w:rPr>
              <w:rFonts w:hint="eastAsia" w:ascii="宋体" w:hAnsi="宋体" w:eastAsia="宋体" w:cs="宋体"/>
              <w:sz w:val="24"/>
              <w:szCs w:val="24"/>
            </w:rPr>
            <w:t>81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18853FC">
          <w:pPr>
            <w:pStyle w:val="12"/>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_Toc6377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5.1 运营方案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_Toc6377 \h </w:instrText>
          </w:r>
          <w:r>
            <w:rPr>
              <w:rFonts w:hint="eastAsia" w:ascii="宋体" w:hAnsi="宋体" w:eastAsia="宋体" w:cs="宋体"/>
              <w:sz w:val="24"/>
              <w:szCs w:val="24"/>
            </w:rPr>
            <w:fldChar w:fldCharType="separate"/>
          </w:r>
          <w:r>
            <w:rPr>
              <w:rFonts w:hint="eastAsia" w:ascii="宋体" w:hAnsi="宋体" w:eastAsia="宋体" w:cs="宋体"/>
              <w:sz w:val="24"/>
              <w:szCs w:val="24"/>
            </w:rPr>
            <w:t>81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82B5639">
          <w:pPr>
            <w:pStyle w:val="12"/>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_Toc11627 </w:instrText>
          </w:r>
          <w:r>
            <w:rPr>
              <w:rFonts w:hint="eastAsia" w:ascii="宋体" w:hAnsi="宋体" w:eastAsia="宋体" w:cs="宋体"/>
              <w:sz w:val="24"/>
              <w:szCs w:val="24"/>
            </w:rPr>
            <w:fldChar w:fldCharType="separate"/>
          </w:r>
          <w:r>
            <w:rPr>
              <w:rFonts w:hint="eastAsia" w:ascii="宋体" w:hAnsi="宋体" w:eastAsia="宋体" w:cs="宋体"/>
              <w:bCs/>
              <w:sz w:val="24"/>
              <w:szCs w:val="24"/>
            </w:rPr>
            <w:t>5.2 安全保障方案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_Toc11627 \h </w:instrText>
          </w:r>
          <w:r>
            <w:rPr>
              <w:rFonts w:hint="eastAsia" w:ascii="宋体" w:hAnsi="宋体" w:eastAsia="宋体" w:cs="宋体"/>
              <w:sz w:val="24"/>
              <w:szCs w:val="24"/>
            </w:rPr>
            <w:fldChar w:fldCharType="separate"/>
          </w:r>
          <w:r>
            <w:rPr>
              <w:rFonts w:hint="eastAsia" w:ascii="宋体" w:hAnsi="宋体" w:eastAsia="宋体" w:cs="宋体"/>
              <w:sz w:val="24"/>
              <w:szCs w:val="24"/>
            </w:rPr>
            <w:t>85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6AEF34B">
          <w:pPr>
            <w:pStyle w:val="12"/>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_Toc28611 </w:instrText>
          </w:r>
          <w:r>
            <w:rPr>
              <w:rFonts w:hint="eastAsia" w:ascii="宋体" w:hAnsi="宋体" w:eastAsia="宋体" w:cs="宋体"/>
              <w:sz w:val="24"/>
              <w:szCs w:val="24"/>
            </w:rPr>
            <w:fldChar w:fldCharType="separate"/>
          </w:r>
          <w:r>
            <w:rPr>
              <w:rFonts w:hint="eastAsia" w:ascii="宋体" w:hAnsi="宋体" w:eastAsia="宋体" w:cs="宋体"/>
              <w:bCs/>
              <w:sz w:val="24"/>
              <w:szCs w:val="24"/>
            </w:rPr>
            <w:t>5.3 运营管理方案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_Toc28611 \h </w:instrText>
          </w:r>
          <w:r>
            <w:rPr>
              <w:rFonts w:hint="eastAsia" w:ascii="宋体" w:hAnsi="宋体" w:eastAsia="宋体" w:cs="宋体"/>
              <w:sz w:val="24"/>
              <w:szCs w:val="24"/>
            </w:rPr>
            <w:fldChar w:fldCharType="separate"/>
          </w:r>
          <w:r>
            <w:rPr>
              <w:rFonts w:hint="eastAsia" w:ascii="宋体" w:hAnsi="宋体" w:eastAsia="宋体" w:cs="宋体"/>
              <w:sz w:val="24"/>
              <w:szCs w:val="24"/>
            </w:rPr>
            <w:t>86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B899791">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_Toc19857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第六章 项目投融资与财务方案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_Toc19857 \h </w:instrText>
          </w:r>
          <w:r>
            <w:rPr>
              <w:rFonts w:hint="eastAsia" w:ascii="宋体" w:hAnsi="宋体" w:eastAsia="宋体" w:cs="宋体"/>
              <w:sz w:val="24"/>
              <w:szCs w:val="24"/>
            </w:rPr>
            <w:fldChar w:fldCharType="separate"/>
          </w:r>
          <w:r>
            <w:rPr>
              <w:rFonts w:hint="eastAsia" w:ascii="宋体" w:hAnsi="宋体" w:eastAsia="宋体" w:cs="宋体"/>
              <w:sz w:val="24"/>
              <w:szCs w:val="24"/>
            </w:rPr>
            <w:t>93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D3C84FB">
          <w:pPr>
            <w:pStyle w:val="12"/>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_Toc6231 </w:instrText>
          </w:r>
          <w:r>
            <w:rPr>
              <w:rFonts w:hint="eastAsia" w:ascii="宋体" w:hAnsi="宋体" w:eastAsia="宋体" w:cs="宋体"/>
              <w:sz w:val="24"/>
              <w:szCs w:val="24"/>
            </w:rPr>
            <w:fldChar w:fldCharType="separate"/>
          </w:r>
          <w:r>
            <w:rPr>
              <w:rFonts w:hint="eastAsia" w:ascii="宋体" w:hAnsi="宋体" w:eastAsia="宋体" w:cs="宋体"/>
              <w:bCs/>
              <w:sz w:val="24"/>
              <w:szCs w:val="24"/>
            </w:rPr>
            <w:t>6.1 项目投资估算及说明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_Toc6231 \h </w:instrText>
          </w:r>
          <w:r>
            <w:rPr>
              <w:rFonts w:hint="eastAsia" w:ascii="宋体" w:hAnsi="宋体" w:eastAsia="宋体" w:cs="宋体"/>
              <w:sz w:val="24"/>
              <w:szCs w:val="24"/>
            </w:rPr>
            <w:fldChar w:fldCharType="separate"/>
          </w:r>
          <w:r>
            <w:rPr>
              <w:rFonts w:hint="eastAsia" w:ascii="宋体" w:hAnsi="宋体" w:eastAsia="宋体" w:cs="宋体"/>
              <w:sz w:val="24"/>
              <w:szCs w:val="24"/>
            </w:rPr>
            <w:t>93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618B888">
          <w:pPr>
            <w:pStyle w:val="12"/>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_Toc21346 </w:instrText>
          </w:r>
          <w:r>
            <w:rPr>
              <w:rFonts w:hint="eastAsia" w:ascii="宋体" w:hAnsi="宋体" w:eastAsia="宋体" w:cs="宋体"/>
              <w:sz w:val="24"/>
              <w:szCs w:val="24"/>
            </w:rPr>
            <w:fldChar w:fldCharType="separate"/>
          </w:r>
          <w:r>
            <w:rPr>
              <w:rFonts w:hint="eastAsia" w:ascii="宋体" w:hAnsi="宋体" w:eastAsia="宋体" w:cs="宋体"/>
              <w:bCs/>
              <w:sz w:val="24"/>
              <w:szCs w:val="24"/>
            </w:rPr>
            <w:t>6.2 财务盈利能力分析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_Toc21346 \h </w:instrText>
          </w:r>
          <w:r>
            <w:rPr>
              <w:rFonts w:hint="eastAsia" w:ascii="宋体" w:hAnsi="宋体" w:eastAsia="宋体" w:cs="宋体"/>
              <w:sz w:val="24"/>
              <w:szCs w:val="24"/>
            </w:rPr>
            <w:fldChar w:fldCharType="separate"/>
          </w:r>
          <w:r>
            <w:rPr>
              <w:rFonts w:hint="eastAsia" w:ascii="宋体" w:hAnsi="宋体" w:eastAsia="宋体" w:cs="宋体"/>
              <w:sz w:val="24"/>
              <w:szCs w:val="24"/>
            </w:rPr>
            <w:t>99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3B509FD">
          <w:pPr>
            <w:pStyle w:val="12"/>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_Toc14428 </w:instrText>
          </w:r>
          <w:r>
            <w:rPr>
              <w:rFonts w:hint="eastAsia" w:ascii="宋体" w:hAnsi="宋体" w:eastAsia="宋体" w:cs="宋体"/>
              <w:sz w:val="24"/>
              <w:szCs w:val="24"/>
            </w:rPr>
            <w:fldChar w:fldCharType="separate"/>
          </w:r>
          <w:r>
            <w:rPr>
              <w:rFonts w:hint="eastAsia" w:ascii="宋体" w:hAnsi="宋体" w:eastAsia="宋体" w:cs="宋体"/>
              <w:bCs/>
              <w:sz w:val="24"/>
              <w:szCs w:val="24"/>
            </w:rPr>
            <w:t>6.3 资金投入计划和筹措方案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_Toc14428 \h </w:instrText>
          </w:r>
          <w:r>
            <w:rPr>
              <w:rFonts w:hint="eastAsia" w:ascii="宋体" w:hAnsi="宋体" w:eastAsia="宋体" w:cs="宋体"/>
              <w:sz w:val="24"/>
              <w:szCs w:val="24"/>
            </w:rPr>
            <w:fldChar w:fldCharType="separate"/>
          </w:r>
          <w:r>
            <w:rPr>
              <w:rFonts w:hint="eastAsia" w:ascii="宋体" w:hAnsi="宋体" w:eastAsia="宋体" w:cs="宋体"/>
              <w:sz w:val="24"/>
              <w:szCs w:val="24"/>
            </w:rPr>
            <w:t>109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D5EAD8C">
          <w:pPr>
            <w:pStyle w:val="12"/>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_Toc20110 </w:instrText>
          </w:r>
          <w:r>
            <w:rPr>
              <w:rFonts w:hint="eastAsia" w:ascii="宋体" w:hAnsi="宋体" w:eastAsia="宋体" w:cs="宋体"/>
              <w:sz w:val="24"/>
              <w:szCs w:val="24"/>
            </w:rPr>
            <w:fldChar w:fldCharType="separate"/>
          </w:r>
          <w:r>
            <w:rPr>
              <w:rFonts w:hint="eastAsia" w:ascii="宋体" w:hAnsi="宋体" w:eastAsia="宋体" w:cs="宋体"/>
              <w:bCs/>
              <w:sz w:val="24"/>
              <w:szCs w:val="24"/>
            </w:rPr>
            <w:t>6.4 债务清偿能力分析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_Toc20110 \h </w:instrText>
          </w:r>
          <w:r>
            <w:rPr>
              <w:rFonts w:hint="eastAsia" w:ascii="宋体" w:hAnsi="宋体" w:eastAsia="宋体" w:cs="宋体"/>
              <w:sz w:val="24"/>
              <w:szCs w:val="24"/>
            </w:rPr>
            <w:fldChar w:fldCharType="separate"/>
          </w:r>
          <w:r>
            <w:rPr>
              <w:rFonts w:hint="eastAsia" w:ascii="宋体" w:hAnsi="宋体" w:eastAsia="宋体" w:cs="宋体"/>
              <w:sz w:val="24"/>
              <w:szCs w:val="24"/>
            </w:rPr>
            <w:t>110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6E4A09D">
          <w:pPr>
            <w:pStyle w:val="12"/>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_Toc26187 </w:instrText>
          </w:r>
          <w:r>
            <w:rPr>
              <w:rFonts w:hint="eastAsia" w:ascii="宋体" w:hAnsi="宋体" w:eastAsia="宋体" w:cs="宋体"/>
              <w:sz w:val="24"/>
              <w:szCs w:val="24"/>
            </w:rPr>
            <w:fldChar w:fldCharType="separate"/>
          </w:r>
          <w:r>
            <w:rPr>
              <w:rFonts w:hint="eastAsia" w:ascii="宋体" w:hAnsi="宋体" w:eastAsia="宋体" w:cs="宋体"/>
              <w:bCs/>
              <w:sz w:val="24"/>
              <w:szCs w:val="24"/>
            </w:rPr>
            <w:t>6.5 财务可持续性分析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_Toc26187 \h </w:instrText>
          </w:r>
          <w:r>
            <w:rPr>
              <w:rFonts w:hint="eastAsia" w:ascii="宋体" w:hAnsi="宋体" w:eastAsia="宋体" w:cs="宋体"/>
              <w:sz w:val="24"/>
              <w:szCs w:val="24"/>
            </w:rPr>
            <w:fldChar w:fldCharType="separate"/>
          </w:r>
          <w:r>
            <w:rPr>
              <w:rFonts w:hint="eastAsia" w:ascii="宋体" w:hAnsi="宋体" w:eastAsia="宋体" w:cs="宋体"/>
              <w:sz w:val="24"/>
              <w:szCs w:val="24"/>
            </w:rPr>
            <w:t>110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1E4ECC8">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_Toc21255 </w:instrText>
          </w:r>
          <w:r>
            <w:rPr>
              <w:rFonts w:hint="eastAsia" w:ascii="宋体" w:hAnsi="宋体" w:eastAsia="宋体" w:cs="宋体"/>
              <w:sz w:val="24"/>
              <w:szCs w:val="24"/>
            </w:rPr>
            <w:fldChar w:fldCharType="separate"/>
          </w:r>
          <w:r>
            <w:rPr>
              <w:rFonts w:hint="eastAsia" w:ascii="宋体" w:hAnsi="宋体" w:eastAsia="宋体" w:cs="宋体"/>
              <w:bCs/>
              <w:sz w:val="24"/>
              <w:szCs w:val="24"/>
            </w:rPr>
            <w:t>第七章 项目影响效果分析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_Toc21255 \h </w:instrText>
          </w:r>
          <w:r>
            <w:rPr>
              <w:rFonts w:hint="eastAsia" w:ascii="宋体" w:hAnsi="宋体" w:eastAsia="宋体" w:cs="宋体"/>
              <w:sz w:val="24"/>
              <w:szCs w:val="24"/>
            </w:rPr>
            <w:fldChar w:fldCharType="separate"/>
          </w:r>
          <w:r>
            <w:rPr>
              <w:rFonts w:hint="eastAsia" w:ascii="宋体" w:hAnsi="宋体" w:eastAsia="宋体" w:cs="宋体"/>
              <w:sz w:val="24"/>
              <w:szCs w:val="24"/>
            </w:rPr>
            <w:t>111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F9AD29B">
          <w:pPr>
            <w:pStyle w:val="12"/>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_Toc26664 </w:instrText>
          </w:r>
          <w:r>
            <w:rPr>
              <w:rFonts w:hint="eastAsia" w:ascii="宋体" w:hAnsi="宋体" w:eastAsia="宋体" w:cs="宋体"/>
              <w:sz w:val="24"/>
              <w:szCs w:val="24"/>
            </w:rPr>
            <w:fldChar w:fldCharType="separate"/>
          </w:r>
          <w:r>
            <w:rPr>
              <w:rFonts w:hint="eastAsia" w:ascii="宋体" w:hAnsi="宋体" w:eastAsia="宋体" w:cs="宋体"/>
              <w:bCs/>
              <w:sz w:val="24"/>
              <w:szCs w:val="24"/>
            </w:rPr>
            <w:t>7.1 经济影响分析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_Toc26664 \h </w:instrText>
          </w:r>
          <w:r>
            <w:rPr>
              <w:rFonts w:hint="eastAsia" w:ascii="宋体" w:hAnsi="宋体" w:eastAsia="宋体" w:cs="宋体"/>
              <w:sz w:val="24"/>
              <w:szCs w:val="24"/>
            </w:rPr>
            <w:fldChar w:fldCharType="separate"/>
          </w:r>
          <w:r>
            <w:rPr>
              <w:rFonts w:hint="eastAsia" w:ascii="宋体" w:hAnsi="宋体" w:eastAsia="宋体" w:cs="宋体"/>
              <w:sz w:val="24"/>
              <w:szCs w:val="24"/>
            </w:rPr>
            <w:t>111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28E4ABD">
          <w:pPr>
            <w:pStyle w:val="12"/>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_Toc28986 </w:instrText>
          </w:r>
          <w:r>
            <w:rPr>
              <w:rFonts w:hint="eastAsia" w:ascii="宋体" w:hAnsi="宋体" w:eastAsia="宋体" w:cs="宋体"/>
              <w:sz w:val="24"/>
              <w:szCs w:val="24"/>
            </w:rPr>
            <w:fldChar w:fldCharType="separate"/>
          </w:r>
          <w:r>
            <w:rPr>
              <w:rFonts w:hint="eastAsia" w:ascii="宋体" w:hAnsi="宋体" w:eastAsia="宋体" w:cs="宋体"/>
              <w:bCs/>
              <w:sz w:val="24"/>
              <w:szCs w:val="24"/>
            </w:rPr>
            <w:t>7.2 社会影响分析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_Toc28986 \h </w:instrText>
          </w:r>
          <w:r>
            <w:rPr>
              <w:rFonts w:hint="eastAsia" w:ascii="宋体" w:hAnsi="宋体" w:eastAsia="宋体" w:cs="宋体"/>
              <w:sz w:val="24"/>
              <w:szCs w:val="24"/>
            </w:rPr>
            <w:fldChar w:fldCharType="separate"/>
          </w:r>
          <w:r>
            <w:rPr>
              <w:rFonts w:hint="eastAsia" w:ascii="宋体" w:hAnsi="宋体" w:eastAsia="宋体" w:cs="宋体"/>
              <w:sz w:val="24"/>
              <w:szCs w:val="24"/>
            </w:rPr>
            <w:t>117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2868127">
          <w:pPr>
            <w:pStyle w:val="12"/>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_Toc11607 </w:instrText>
          </w:r>
          <w:r>
            <w:rPr>
              <w:rFonts w:hint="eastAsia" w:ascii="宋体" w:hAnsi="宋体" w:eastAsia="宋体" w:cs="宋体"/>
              <w:sz w:val="24"/>
              <w:szCs w:val="24"/>
            </w:rPr>
            <w:fldChar w:fldCharType="separate"/>
          </w:r>
          <w:r>
            <w:rPr>
              <w:rFonts w:hint="eastAsia" w:ascii="宋体" w:hAnsi="宋体" w:eastAsia="宋体" w:cs="宋体"/>
              <w:bCs/>
              <w:sz w:val="24"/>
              <w:szCs w:val="24"/>
            </w:rPr>
            <w:t>7.3 生态环境影响分析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_Toc11607 \h </w:instrText>
          </w:r>
          <w:r>
            <w:rPr>
              <w:rFonts w:hint="eastAsia" w:ascii="宋体" w:hAnsi="宋体" w:eastAsia="宋体" w:cs="宋体"/>
              <w:sz w:val="24"/>
              <w:szCs w:val="24"/>
            </w:rPr>
            <w:fldChar w:fldCharType="separate"/>
          </w:r>
          <w:r>
            <w:rPr>
              <w:rFonts w:hint="eastAsia" w:ascii="宋体" w:hAnsi="宋体" w:eastAsia="宋体" w:cs="宋体"/>
              <w:sz w:val="24"/>
              <w:szCs w:val="24"/>
            </w:rPr>
            <w:t>119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C32E9AE">
          <w:pPr>
            <w:pStyle w:val="12"/>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_Toc8439 </w:instrText>
          </w:r>
          <w:r>
            <w:rPr>
              <w:rFonts w:hint="eastAsia" w:ascii="宋体" w:hAnsi="宋体" w:eastAsia="宋体" w:cs="宋体"/>
              <w:sz w:val="24"/>
              <w:szCs w:val="24"/>
            </w:rPr>
            <w:fldChar w:fldCharType="separate"/>
          </w:r>
          <w:r>
            <w:rPr>
              <w:rFonts w:hint="eastAsia" w:ascii="宋体" w:hAnsi="宋体" w:eastAsia="宋体" w:cs="宋体"/>
              <w:bCs/>
              <w:sz w:val="24"/>
              <w:szCs w:val="24"/>
            </w:rPr>
            <w:t>7.4 资源和能源利用效果分析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_Toc8439 \h </w:instrText>
          </w:r>
          <w:r>
            <w:rPr>
              <w:rFonts w:hint="eastAsia" w:ascii="宋体" w:hAnsi="宋体" w:eastAsia="宋体" w:cs="宋体"/>
              <w:sz w:val="24"/>
              <w:szCs w:val="24"/>
            </w:rPr>
            <w:fldChar w:fldCharType="separate"/>
          </w:r>
          <w:r>
            <w:rPr>
              <w:rFonts w:hint="eastAsia" w:ascii="宋体" w:hAnsi="宋体" w:eastAsia="宋体" w:cs="宋体"/>
              <w:sz w:val="24"/>
              <w:szCs w:val="24"/>
            </w:rPr>
            <w:t>123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0DD6B39">
          <w:pPr>
            <w:pStyle w:val="12"/>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_Toc1119 </w:instrText>
          </w:r>
          <w:r>
            <w:rPr>
              <w:rFonts w:hint="eastAsia" w:ascii="宋体" w:hAnsi="宋体" w:eastAsia="宋体" w:cs="宋体"/>
              <w:sz w:val="24"/>
              <w:szCs w:val="24"/>
            </w:rPr>
            <w:fldChar w:fldCharType="separate"/>
          </w:r>
          <w:r>
            <w:rPr>
              <w:rFonts w:hint="eastAsia" w:ascii="宋体" w:hAnsi="宋体" w:eastAsia="宋体" w:cs="宋体"/>
              <w:bCs/>
              <w:sz w:val="24"/>
              <w:szCs w:val="24"/>
            </w:rPr>
            <w:t>7.5 碳达峰碳中和分析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_Toc1119 \h </w:instrText>
          </w:r>
          <w:r>
            <w:rPr>
              <w:rFonts w:hint="eastAsia" w:ascii="宋体" w:hAnsi="宋体" w:eastAsia="宋体" w:cs="宋体"/>
              <w:sz w:val="24"/>
              <w:szCs w:val="24"/>
            </w:rPr>
            <w:fldChar w:fldCharType="separate"/>
          </w:r>
          <w:r>
            <w:rPr>
              <w:rFonts w:hint="eastAsia" w:ascii="宋体" w:hAnsi="宋体" w:eastAsia="宋体" w:cs="宋体"/>
              <w:sz w:val="24"/>
              <w:szCs w:val="24"/>
            </w:rPr>
            <w:t>127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1825D86">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_Toc15550 </w:instrText>
          </w:r>
          <w:r>
            <w:rPr>
              <w:rFonts w:hint="eastAsia" w:ascii="宋体" w:hAnsi="宋体" w:eastAsia="宋体" w:cs="宋体"/>
              <w:sz w:val="24"/>
              <w:szCs w:val="24"/>
            </w:rPr>
            <w:fldChar w:fldCharType="separate"/>
          </w:r>
          <w:r>
            <w:rPr>
              <w:rFonts w:hint="eastAsia" w:ascii="宋体" w:hAnsi="宋体" w:eastAsia="宋体" w:cs="宋体"/>
              <w:bCs/>
              <w:sz w:val="24"/>
              <w:szCs w:val="24"/>
            </w:rPr>
            <w:t>第八章 项目风险管控方案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_Toc15550 \h </w:instrText>
          </w:r>
          <w:r>
            <w:rPr>
              <w:rFonts w:hint="eastAsia" w:ascii="宋体" w:hAnsi="宋体" w:eastAsia="宋体" w:cs="宋体"/>
              <w:sz w:val="24"/>
              <w:szCs w:val="24"/>
            </w:rPr>
            <w:fldChar w:fldCharType="separate"/>
          </w:r>
          <w:r>
            <w:rPr>
              <w:rFonts w:hint="eastAsia" w:ascii="宋体" w:hAnsi="宋体" w:eastAsia="宋体" w:cs="宋体"/>
              <w:sz w:val="24"/>
              <w:szCs w:val="24"/>
            </w:rPr>
            <w:t>129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27C667F">
          <w:pPr>
            <w:pStyle w:val="12"/>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_Toc21389 </w:instrText>
          </w:r>
          <w:r>
            <w:rPr>
              <w:rFonts w:hint="eastAsia" w:ascii="宋体" w:hAnsi="宋体" w:eastAsia="宋体" w:cs="宋体"/>
              <w:sz w:val="24"/>
              <w:szCs w:val="24"/>
            </w:rPr>
            <w:fldChar w:fldCharType="separate"/>
          </w:r>
          <w:r>
            <w:rPr>
              <w:rFonts w:hint="eastAsia" w:ascii="宋体" w:hAnsi="宋体" w:eastAsia="宋体" w:cs="宋体"/>
              <w:bCs/>
              <w:sz w:val="24"/>
              <w:szCs w:val="24"/>
            </w:rPr>
            <w:t>8.1 风险识别与评价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_Toc21389 \h </w:instrText>
          </w:r>
          <w:r>
            <w:rPr>
              <w:rFonts w:hint="eastAsia" w:ascii="宋体" w:hAnsi="宋体" w:eastAsia="宋体" w:cs="宋体"/>
              <w:sz w:val="24"/>
              <w:szCs w:val="24"/>
            </w:rPr>
            <w:fldChar w:fldCharType="separate"/>
          </w:r>
          <w:r>
            <w:rPr>
              <w:rFonts w:hint="eastAsia" w:ascii="宋体" w:hAnsi="宋体" w:eastAsia="宋体" w:cs="宋体"/>
              <w:sz w:val="24"/>
              <w:szCs w:val="24"/>
            </w:rPr>
            <w:t>129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DAB69DD">
          <w:pPr>
            <w:pStyle w:val="12"/>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_Toc22602 </w:instrText>
          </w:r>
          <w:r>
            <w:rPr>
              <w:rFonts w:hint="eastAsia" w:ascii="宋体" w:hAnsi="宋体" w:eastAsia="宋体" w:cs="宋体"/>
              <w:sz w:val="24"/>
              <w:szCs w:val="24"/>
            </w:rPr>
            <w:fldChar w:fldCharType="separate"/>
          </w:r>
          <w:r>
            <w:rPr>
              <w:rFonts w:hint="eastAsia" w:ascii="宋体" w:hAnsi="宋体" w:eastAsia="宋体" w:cs="宋体"/>
              <w:bCs/>
              <w:sz w:val="24"/>
              <w:szCs w:val="24"/>
            </w:rPr>
            <w:t>8.2 风险评估</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_Toc22602 \h </w:instrText>
          </w:r>
          <w:r>
            <w:rPr>
              <w:rFonts w:hint="eastAsia" w:ascii="宋体" w:hAnsi="宋体" w:eastAsia="宋体" w:cs="宋体"/>
              <w:sz w:val="24"/>
              <w:szCs w:val="24"/>
            </w:rPr>
            <w:fldChar w:fldCharType="separate"/>
          </w:r>
          <w:r>
            <w:rPr>
              <w:rFonts w:hint="eastAsia" w:ascii="宋体" w:hAnsi="宋体" w:eastAsia="宋体" w:cs="宋体"/>
              <w:sz w:val="24"/>
              <w:szCs w:val="24"/>
            </w:rPr>
            <w:t>130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BACBF9B">
          <w:pPr>
            <w:pStyle w:val="12"/>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_Toc5068 </w:instrText>
          </w:r>
          <w:r>
            <w:rPr>
              <w:rFonts w:hint="eastAsia" w:ascii="宋体" w:hAnsi="宋体" w:eastAsia="宋体" w:cs="宋体"/>
              <w:sz w:val="24"/>
              <w:szCs w:val="24"/>
            </w:rPr>
            <w:fldChar w:fldCharType="separate"/>
          </w:r>
          <w:r>
            <w:rPr>
              <w:rFonts w:hint="eastAsia" w:ascii="宋体" w:hAnsi="宋体" w:eastAsia="宋体" w:cs="宋体"/>
              <w:bCs/>
              <w:sz w:val="24"/>
              <w:szCs w:val="24"/>
            </w:rPr>
            <w:t>8.3 风险管控方案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_Toc5068 \h </w:instrText>
          </w:r>
          <w:r>
            <w:rPr>
              <w:rFonts w:hint="eastAsia" w:ascii="宋体" w:hAnsi="宋体" w:eastAsia="宋体" w:cs="宋体"/>
              <w:sz w:val="24"/>
              <w:szCs w:val="24"/>
            </w:rPr>
            <w:fldChar w:fldCharType="separate"/>
          </w:r>
          <w:r>
            <w:rPr>
              <w:rFonts w:hint="eastAsia" w:ascii="宋体" w:hAnsi="宋体" w:eastAsia="宋体" w:cs="宋体"/>
              <w:sz w:val="24"/>
              <w:szCs w:val="24"/>
            </w:rPr>
            <w:t>131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8205468">
          <w:pPr>
            <w:pStyle w:val="12"/>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_Toc21641 </w:instrText>
          </w:r>
          <w:r>
            <w:rPr>
              <w:rFonts w:hint="eastAsia" w:ascii="宋体" w:hAnsi="宋体" w:eastAsia="宋体" w:cs="宋体"/>
              <w:sz w:val="24"/>
              <w:szCs w:val="24"/>
            </w:rPr>
            <w:fldChar w:fldCharType="separate"/>
          </w:r>
          <w:r>
            <w:rPr>
              <w:rFonts w:hint="eastAsia" w:ascii="宋体" w:hAnsi="宋体" w:eastAsia="宋体" w:cs="宋体"/>
              <w:bCs/>
              <w:sz w:val="24"/>
              <w:szCs w:val="24"/>
            </w:rPr>
            <w:t>8.4 重大风险管控应急预案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_Toc21641 \h </w:instrText>
          </w:r>
          <w:r>
            <w:rPr>
              <w:rFonts w:hint="eastAsia" w:ascii="宋体" w:hAnsi="宋体" w:eastAsia="宋体" w:cs="宋体"/>
              <w:sz w:val="24"/>
              <w:szCs w:val="24"/>
            </w:rPr>
            <w:fldChar w:fldCharType="separate"/>
          </w:r>
          <w:r>
            <w:rPr>
              <w:rFonts w:hint="eastAsia" w:ascii="宋体" w:hAnsi="宋体" w:eastAsia="宋体" w:cs="宋体"/>
              <w:sz w:val="24"/>
              <w:szCs w:val="24"/>
            </w:rPr>
            <w:t>133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15D8AF7">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_Toc1846 </w:instrText>
          </w:r>
          <w:r>
            <w:rPr>
              <w:rFonts w:hint="eastAsia" w:ascii="宋体" w:hAnsi="宋体" w:eastAsia="宋体" w:cs="宋体"/>
              <w:sz w:val="24"/>
              <w:szCs w:val="24"/>
            </w:rPr>
            <w:fldChar w:fldCharType="separate"/>
          </w:r>
          <w:r>
            <w:rPr>
              <w:rFonts w:hint="eastAsia" w:ascii="宋体" w:hAnsi="宋体" w:eastAsia="宋体" w:cs="宋体"/>
              <w:bCs/>
              <w:sz w:val="24"/>
              <w:szCs w:val="24"/>
            </w:rPr>
            <w:t>第九章 结论和建议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_Toc1846 \h </w:instrText>
          </w:r>
          <w:r>
            <w:rPr>
              <w:rFonts w:hint="eastAsia" w:ascii="宋体" w:hAnsi="宋体" w:eastAsia="宋体" w:cs="宋体"/>
              <w:sz w:val="24"/>
              <w:szCs w:val="24"/>
            </w:rPr>
            <w:fldChar w:fldCharType="separate"/>
          </w:r>
          <w:r>
            <w:rPr>
              <w:rFonts w:hint="eastAsia" w:ascii="宋体" w:hAnsi="宋体" w:eastAsia="宋体" w:cs="宋体"/>
              <w:sz w:val="24"/>
              <w:szCs w:val="24"/>
            </w:rPr>
            <w:t>135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04B4C8A">
          <w:pPr>
            <w:pStyle w:val="12"/>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_Toc25714 </w:instrText>
          </w:r>
          <w:r>
            <w:rPr>
              <w:rFonts w:hint="eastAsia" w:ascii="宋体" w:hAnsi="宋体" w:eastAsia="宋体" w:cs="宋体"/>
              <w:sz w:val="24"/>
              <w:szCs w:val="24"/>
            </w:rPr>
            <w:fldChar w:fldCharType="separate"/>
          </w:r>
          <w:r>
            <w:rPr>
              <w:rFonts w:hint="eastAsia" w:ascii="宋体" w:hAnsi="宋体" w:eastAsia="宋体" w:cs="宋体"/>
              <w:bCs/>
              <w:sz w:val="24"/>
              <w:szCs w:val="24"/>
            </w:rPr>
            <w:t>9.1 结论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_Toc25714 \h </w:instrText>
          </w:r>
          <w:r>
            <w:rPr>
              <w:rFonts w:hint="eastAsia" w:ascii="宋体" w:hAnsi="宋体" w:eastAsia="宋体" w:cs="宋体"/>
              <w:sz w:val="24"/>
              <w:szCs w:val="24"/>
            </w:rPr>
            <w:fldChar w:fldCharType="separate"/>
          </w:r>
          <w:r>
            <w:rPr>
              <w:rFonts w:hint="eastAsia" w:ascii="宋体" w:hAnsi="宋体" w:eastAsia="宋体" w:cs="宋体"/>
              <w:sz w:val="24"/>
              <w:szCs w:val="24"/>
            </w:rPr>
            <w:t>135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DC17FF1">
          <w:pPr>
            <w:pStyle w:val="12"/>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_Toc12580 </w:instrText>
          </w:r>
          <w:r>
            <w:rPr>
              <w:rFonts w:hint="eastAsia" w:ascii="宋体" w:hAnsi="宋体" w:eastAsia="宋体" w:cs="宋体"/>
              <w:sz w:val="24"/>
              <w:szCs w:val="24"/>
            </w:rPr>
            <w:fldChar w:fldCharType="separate"/>
          </w:r>
          <w:r>
            <w:rPr>
              <w:rFonts w:hint="eastAsia" w:ascii="宋体" w:hAnsi="宋体" w:eastAsia="宋体" w:cs="宋体"/>
              <w:bCs/>
              <w:sz w:val="24"/>
              <w:szCs w:val="24"/>
            </w:rPr>
            <w:t>9.2 建议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_Toc12580 \h </w:instrText>
          </w:r>
          <w:r>
            <w:rPr>
              <w:rFonts w:hint="eastAsia" w:ascii="宋体" w:hAnsi="宋体" w:eastAsia="宋体" w:cs="宋体"/>
              <w:sz w:val="24"/>
              <w:szCs w:val="24"/>
            </w:rPr>
            <w:fldChar w:fldCharType="separate"/>
          </w:r>
          <w:r>
            <w:rPr>
              <w:rFonts w:hint="eastAsia" w:ascii="宋体" w:hAnsi="宋体" w:eastAsia="宋体" w:cs="宋体"/>
              <w:sz w:val="24"/>
              <w:szCs w:val="24"/>
            </w:rPr>
            <w:t>135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7265C2D">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_Toc4429 </w:instrText>
          </w:r>
          <w:r>
            <w:rPr>
              <w:rFonts w:hint="eastAsia" w:ascii="宋体" w:hAnsi="宋体" w:eastAsia="宋体" w:cs="宋体"/>
              <w:sz w:val="24"/>
              <w:szCs w:val="24"/>
            </w:rPr>
            <w:fldChar w:fldCharType="separate"/>
          </w:r>
          <w:r>
            <w:rPr>
              <w:rFonts w:hint="eastAsia" w:ascii="宋体" w:hAnsi="宋体" w:eastAsia="宋体" w:cs="宋体"/>
              <w:bCs/>
              <w:i w:val="0"/>
              <w:iCs w:val="0"/>
              <w:kern w:val="0"/>
              <w:sz w:val="24"/>
              <w:szCs w:val="24"/>
              <w:lang w:val="en-US" w:eastAsia="zh-CN"/>
            </w:rPr>
            <w:t>附表1：建设投资估算表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_Toc4429 \h </w:instrText>
          </w:r>
          <w:r>
            <w:rPr>
              <w:rFonts w:hint="eastAsia" w:ascii="宋体" w:hAnsi="宋体" w:eastAsia="宋体" w:cs="宋体"/>
              <w:sz w:val="24"/>
              <w:szCs w:val="24"/>
            </w:rPr>
            <w:fldChar w:fldCharType="separate"/>
          </w:r>
          <w:r>
            <w:rPr>
              <w:rFonts w:hint="eastAsia" w:ascii="宋体" w:hAnsi="宋体" w:eastAsia="宋体" w:cs="宋体"/>
              <w:sz w:val="24"/>
              <w:szCs w:val="24"/>
            </w:rPr>
            <w:t>137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14CFA17">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_Toc967 </w:instrText>
          </w:r>
          <w:r>
            <w:rPr>
              <w:rFonts w:hint="eastAsia" w:ascii="宋体" w:hAnsi="宋体" w:eastAsia="宋体" w:cs="宋体"/>
              <w:sz w:val="24"/>
              <w:szCs w:val="24"/>
            </w:rPr>
            <w:fldChar w:fldCharType="separate"/>
          </w:r>
          <w:r>
            <w:rPr>
              <w:rFonts w:hint="eastAsia" w:ascii="宋体" w:hAnsi="宋体" w:eastAsia="宋体" w:cs="宋体"/>
              <w:bCs/>
              <w:i w:val="0"/>
              <w:iCs w:val="0"/>
              <w:kern w:val="0"/>
              <w:sz w:val="24"/>
              <w:szCs w:val="24"/>
              <w:lang w:val="en-US" w:eastAsia="zh-CN"/>
            </w:rPr>
            <w:t>附表2：固定资产折旧表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_Toc967 \h </w:instrText>
          </w:r>
          <w:r>
            <w:rPr>
              <w:rFonts w:hint="eastAsia" w:ascii="宋体" w:hAnsi="宋体" w:eastAsia="宋体" w:cs="宋体"/>
              <w:sz w:val="24"/>
              <w:szCs w:val="24"/>
            </w:rPr>
            <w:fldChar w:fldCharType="separate"/>
          </w:r>
          <w:r>
            <w:rPr>
              <w:rFonts w:hint="eastAsia" w:ascii="宋体" w:hAnsi="宋体" w:eastAsia="宋体" w:cs="宋体"/>
              <w:sz w:val="24"/>
              <w:szCs w:val="24"/>
            </w:rPr>
            <w:t>140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09229F8">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_Toc614 </w:instrText>
          </w:r>
          <w:r>
            <w:rPr>
              <w:rFonts w:hint="eastAsia" w:ascii="宋体" w:hAnsi="宋体" w:eastAsia="宋体" w:cs="宋体"/>
              <w:sz w:val="24"/>
              <w:szCs w:val="24"/>
            </w:rPr>
            <w:fldChar w:fldCharType="separate"/>
          </w:r>
          <w:r>
            <w:rPr>
              <w:rFonts w:hint="eastAsia" w:ascii="宋体" w:hAnsi="宋体" w:eastAsia="宋体" w:cs="宋体"/>
              <w:bCs/>
              <w:i w:val="0"/>
              <w:iCs w:val="0"/>
              <w:kern w:val="0"/>
              <w:sz w:val="24"/>
              <w:szCs w:val="24"/>
              <w:lang w:val="en-US" w:eastAsia="zh-CN"/>
            </w:rPr>
            <w:t>附表3：营业收入及税金表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_Toc614 \h </w:instrText>
          </w:r>
          <w:r>
            <w:rPr>
              <w:rFonts w:hint="eastAsia" w:ascii="宋体" w:hAnsi="宋体" w:eastAsia="宋体" w:cs="宋体"/>
              <w:sz w:val="24"/>
              <w:szCs w:val="24"/>
            </w:rPr>
            <w:fldChar w:fldCharType="separate"/>
          </w:r>
          <w:r>
            <w:rPr>
              <w:rFonts w:hint="eastAsia" w:ascii="宋体" w:hAnsi="宋体" w:eastAsia="宋体" w:cs="宋体"/>
              <w:sz w:val="24"/>
              <w:szCs w:val="24"/>
            </w:rPr>
            <w:t>143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C0B59CA">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_Toc6038 </w:instrText>
          </w:r>
          <w:r>
            <w:rPr>
              <w:rFonts w:hint="eastAsia" w:ascii="宋体" w:hAnsi="宋体" w:eastAsia="宋体" w:cs="宋体"/>
              <w:sz w:val="24"/>
              <w:szCs w:val="24"/>
            </w:rPr>
            <w:fldChar w:fldCharType="separate"/>
          </w:r>
          <w:r>
            <w:rPr>
              <w:rFonts w:hint="eastAsia" w:ascii="宋体" w:hAnsi="宋体" w:eastAsia="宋体" w:cs="宋体"/>
              <w:bCs/>
              <w:i w:val="0"/>
              <w:iCs w:val="0"/>
              <w:kern w:val="0"/>
              <w:sz w:val="24"/>
              <w:szCs w:val="24"/>
              <w:lang w:val="en-US" w:eastAsia="zh-CN"/>
            </w:rPr>
            <w:t>附表4：总成本费用表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_Toc6038 \h </w:instrText>
          </w:r>
          <w:r>
            <w:rPr>
              <w:rFonts w:hint="eastAsia" w:ascii="宋体" w:hAnsi="宋体" w:eastAsia="宋体" w:cs="宋体"/>
              <w:sz w:val="24"/>
              <w:szCs w:val="24"/>
            </w:rPr>
            <w:fldChar w:fldCharType="separate"/>
          </w:r>
          <w:r>
            <w:rPr>
              <w:rFonts w:hint="eastAsia" w:ascii="宋体" w:hAnsi="宋体" w:eastAsia="宋体" w:cs="宋体"/>
              <w:sz w:val="24"/>
              <w:szCs w:val="24"/>
            </w:rPr>
            <w:t>147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D8D71ED">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_Toc11083 </w:instrText>
          </w:r>
          <w:r>
            <w:rPr>
              <w:rFonts w:hint="eastAsia" w:ascii="宋体" w:hAnsi="宋体" w:eastAsia="宋体" w:cs="宋体"/>
              <w:sz w:val="24"/>
              <w:szCs w:val="24"/>
            </w:rPr>
            <w:fldChar w:fldCharType="separate"/>
          </w:r>
          <w:r>
            <w:rPr>
              <w:rFonts w:hint="eastAsia" w:ascii="宋体" w:hAnsi="宋体" w:eastAsia="宋体" w:cs="宋体"/>
              <w:bCs/>
              <w:i w:val="0"/>
              <w:iCs w:val="0"/>
              <w:kern w:val="0"/>
              <w:sz w:val="24"/>
              <w:szCs w:val="24"/>
              <w:lang w:val="en-US" w:eastAsia="zh-CN"/>
            </w:rPr>
            <w:t>附表5：利润及利润分配表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_Toc11083 \h </w:instrText>
          </w:r>
          <w:r>
            <w:rPr>
              <w:rFonts w:hint="eastAsia" w:ascii="宋体" w:hAnsi="宋体" w:eastAsia="宋体" w:cs="宋体"/>
              <w:sz w:val="24"/>
              <w:szCs w:val="24"/>
            </w:rPr>
            <w:fldChar w:fldCharType="separate"/>
          </w:r>
          <w:r>
            <w:rPr>
              <w:rFonts w:hint="eastAsia" w:ascii="宋体" w:hAnsi="宋体" w:eastAsia="宋体" w:cs="宋体"/>
              <w:sz w:val="24"/>
              <w:szCs w:val="24"/>
            </w:rPr>
            <w:t>149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33931D5">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_Toc8976 </w:instrText>
          </w:r>
          <w:r>
            <w:rPr>
              <w:rFonts w:hint="eastAsia" w:ascii="宋体" w:hAnsi="宋体" w:eastAsia="宋体" w:cs="宋体"/>
              <w:sz w:val="24"/>
              <w:szCs w:val="24"/>
            </w:rPr>
            <w:fldChar w:fldCharType="separate"/>
          </w:r>
          <w:r>
            <w:rPr>
              <w:rFonts w:hint="eastAsia" w:ascii="宋体" w:hAnsi="宋体" w:eastAsia="宋体" w:cs="宋体"/>
              <w:bCs/>
              <w:i w:val="0"/>
              <w:iCs w:val="0"/>
              <w:kern w:val="0"/>
              <w:sz w:val="24"/>
              <w:szCs w:val="24"/>
              <w:lang w:val="en-US" w:eastAsia="zh-CN"/>
            </w:rPr>
            <w:t>附表6：项目投资现金流量表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_Toc8976 \h </w:instrText>
          </w:r>
          <w:r>
            <w:rPr>
              <w:rFonts w:hint="eastAsia" w:ascii="宋体" w:hAnsi="宋体" w:eastAsia="宋体" w:cs="宋体"/>
              <w:sz w:val="24"/>
              <w:szCs w:val="24"/>
            </w:rPr>
            <w:fldChar w:fldCharType="separate"/>
          </w:r>
          <w:r>
            <w:rPr>
              <w:rFonts w:hint="eastAsia" w:ascii="宋体" w:hAnsi="宋体" w:eastAsia="宋体" w:cs="宋体"/>
              <w:sz w:val="24"/>
              <w:szCs w:val="24"/>
            </w:rPr>
            <w:t>153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1D9874A">
          <w:pPr>
            <w:pStyle w:val="11"/>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_Toc23809 </w:instrText>
          </w:r>
          <w:r>
            <w:rPr>
              <w:rFonts w:hint="eastAsia" w:ascii="宋体" w:hAnsi="宋体" w:eastAsia="宋体" w:cs="宋体"/>
              <w:sz w:val="24"/>
              <w:szCs w:val="24"/>
            </w:rPr>
            <w:fldChar w:fldCharType="separate"/>
          </w:r>
          <w:r>
            <w:rPr>
              <w:rFonts w:hint="eastAsia" w:ascii="宋体" w:hAnsi="宋体" w:eastAsia="宋体" w:cs="宋体"/>
              <w:bCs/>
              <w:i w:val="0"/>
              <w:iCs w:val="0"/>
              <w:kern w:val="0"/>
              <w:sz w:val="24"/>
              <w:szCs w:val="24"/>
              <w:lang w:val="en-US" w:eastAsia="zh-CN"/>
            </w:rPr>
            <w:t>附表7：还本付息表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_Toc23809 \h </w:instrText>
          </w:r>
          <w:r>
            <w:rPr>
              <w:rFonts w:hint="eastAsia" w:ascii="宋体" w:hAnsi="宋体" w:eastAsia="宋体" w:cs="宋体"/>
              <w:sz w:val="24"/>
              <w:szCs w:val="24"/>
            </w:rPr>
            <w:fldChar w:fldCharType="separate"/>
          </w:r>
          <w:r>
            <w:rPr>
              <w:rFonts w:hint="eastAsia" w:ascii="宋体" w:hAnsi="宋体" w:eastAsia="宋体" w:cs="宋体"/>
              <w:sz w:val="24"/>
              <w:szCs w:val="24"/>
            </w:rPr>
            <w:t>157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BAE0C38">
          <w:pPr>
            <w:keepNext w:val="0"/>
            <w:keepLines w:val="0"/>
            <w:pageBreakBefore w:val="0"/>
            <w:widowControl/>
            <w:wordWrap/>
            <w:overflowPunct/>
            <w:topLinePunct w:val="0"/>
            <w:bidi w:val="0"/>
            <w:spacing w:line="360" w:lineRule="auto"/>
            <w:rPr>
              <w:b/>
            </w:rPr>
          </w:pPr>
          <w:r>
            <w:rPr>
              <w:rFonts w:hint="eastAsia" w:ascii="宋体" w:hAnsi="宋体" w:eastAsia="宋体" w:cs="宋体"/>
              <w:szCs w:val="24"/>
            </w:rPr>
            <w:fldChar w:fldCharType="end"/>
          </w:r>
        </w:p>
      </w:sdtContent>
    </w:sdt>
    <w:p w14:paraId="5B92BBAE">
      <w:pPr>
        <w:rPr>
          <w:b/>
        </w:rPr>
      </w:pPr>
    </w:p>
    <w:p w14:paraId="2EC30DD6">
      <w:p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1775AA63">
      <w:pPr>
        <w:keepNext w:val="0"/>
        <w:keepLines w:val="0"/>
        <w:pageBreakBefore w:val="0"/>
        <w:widowControl/>
        <w:kinsoku w:val="0"/>
        <w:wordWrap/>
        <w:overflowPunct/>
        <w:topLinePunct w:val="0"/>
        <w:autoSpaceDE w:val="0"/>
        <w:autoSpaceDN w:val="0"/>
        <w:bidi w:val="0"/>
        <w:adjustRightInd/>
        <w:snapToGrid/>
        <w:spacing w:before="0" w:beforeLines="100" w:after="0" w:afterLines="100" w:line="360" w:lineRule="auto"/>
        <w:jc w:val="center"/>
        <w:textAlignment w:val="baseline"/>
        <w:outlineLvl w:val="0"/>
        <w:rPr>
          <w:rFonts w:hint="eastAsia" w:ascii="宋体" w:hAnsi="宋体" w:eastAsia="宋体" w:cs="宋体"/>
          <w:b/>
          <w:bCs/>
          <w:sz w:val="36"/>
          <w:szCs w:val="36"/>
        </w:rPr>
      </w:pPr>
      <w:bookmarkStart w:id="5" w:name="_Toc19208"/>
      <w:r>
        <w:rPr>
          <w:rFonts w:hint="eastAsia" w:ascii="宋体" w:hAnsi="宋体" w:eastAsia="宋体" w:cs="宋体"/>
          <w:b/>
          <w:bCs/>
          <w:sz w:val="36"/>
          <w:szCs w:val="36"/>
        </w:rPr>
        <w:t>第一章 总论</w:t>
      </w:r>
      <w:bookmarkEnd w:id="2"/>
      <w:bookmarkEnd w:id="3"/>
      <w:bookmarkEnd w:id="4"/>
      <w:bookmarkEnd w:id="5"/>
    </w:p>
    <w:p w14:paraId="3E2E5A91">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6" w:name="_Toc17556"/>
      <w:bookmarkStart w:id="7" w:name="_Toc27673"/>
      <w:bookmarkStart w:id="8" w:name="_Toc18612"/>
      <w:bookmarkStart w:id="9" w:name="_Toc1387"/>
      <w:bookmarkStart w:id="10" w:name="_Toc15962"/>
      <w:r>
        <w:rPr>
          <w:rFonts w:hint="eastAsia" w:ascii="宋体" w:hAnsi="宋体" w:eastAsia="宋体" w:cs="宋体"/>
          <w:b/>
          <w:bCs/>
          <w:sz w:val="28"/>
          <w:szCs w:val="28"/>
          <w:lang w:val="en-US" w:eastAsia="zh-CN"/>
        </w:rPr>
        <w:t>1.1 项目概况</w:t>
      </w:r>
      <w:bookmarkEnd w:id="6"/>
      <w:bookmarkEnd w:id="7"/>
      <w:bookmarkEnd w:id="8"/>
      <w:bookmarkEnd w:id="9"/>
      <w:bookmarkEnd w:id="10"/>
    </w:p>
    <w:p w14:paraId="3E157676">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1.1.1 项目名称</w:t>
      </w:r>
    </w:p>
    <w:p w14:paraId="49773AC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 xml:space="preserve"> 河南大成包装材料有限公司源网荷储一体化项目</w:t>
      </w:r>
    </w:p>
    <w:p w14:paraId="180D9C61">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1.1.2 项目建设单位</w:t>
      </w:r>
    </w:p>
    <w:p w14:paraId="184CA79B">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单位名称：河南中原智慧冷链物流园管理运营有限公司</w:t>
      </w:r>
    </w:p>
    <w:p w14:paraId="20B44261">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1.1.3 建设地点</w:t>
      </w:r>
    </w:p>
    <w:p w14:paraId="66494E1B">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项目地点位于：新乡市获嘉县</w:t>
      </w:r>
      <w:r>
        <w:rPr>
          <w:rFonts w:ascii="宋体" w:hAnsi="宋体" w:eastAsia="宋体" w:cs="宋体"/>
          <w:i w:val="0"/>
          <w:strike w:val="0"/>
          <w:spacing w:val="0"/>
          <w:sz w:val="28"/>
          <w:u w:val="none"/>
        </w:rPr>
        <w:t>先进制造业开发区梧桐路与安王公路交叉口东南角</w:t>
      </w:r>
      <w:r>
        <w:rPr>
          <w:rFonts w:hint="eastAsia" w:ascii="宋体" w:hAnsi="宋体" w:eastAsia="宋体" w:cs="宋体"/>
          <w:snapToGrid/>
          <w:color w:val="auto"/>
          <w:spacing w:val="0"/>
          <w:w w:val="100"/>
          <w:kern w:val="2"/>
          <w:position w:val="0"/>
          <w:sz w:val="28"/>
          <w:szCs w:val="28"/>
          <w:lang w:val="en-US" w:eastAsia="zh-CN" w:bidi="zh-CN"/>
        </w:rPr>
        <w:t>。</w:t>
      </w:r>
    </w:p>
    <w:p w14:paraId="38A83DC4">
      <w:pPr>
        <w:snapToGrid w:val="0"/>
        <w:spacing w:before="157" w:after="157" w:line="360" w:lineRule="auto"/>
        <w:ind w:right="0"/>
        <w:jc w:val="both"/>
        <w:rPr>
          <w:rFonts w:hint="eastAsia" w:eastAsia="宋体"/>
          <w:lang w:eastAsia="zh-CN"/>
        </w:rPr>
      </w:pPr>
      <w:r>
        <w:rPr>
          <w:rFonts w:hint="eastAsia" w:eastAsia="宋体"/>
          <w:lang w:eastAsia="zh-CN"/>
        </w:rPr>
        <w:drawing>
          <wp:inline distT="0" distB="0" distL="114300" distR="114300">
            <wp:extent cx="5264785" cy="2599055"/>
            <wp:effectExtent l="0" t="0" r="8255" b="6985"/>
            <wp:docPr id="8" name="图片 4" descr="项目所在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项目所在地图"/>
                    <pic:cNvPicPr>
                      <a:picLocks noChangeAspect="1"/>
                    </pic:cNvPicPr>
                  </pic:nvPicPr>
                  <pic:blipFill>
                    <a:blip r:embed="rId9"/>
                    <a:stretch>
                      <a:fillRect/>
                    </a:stretch>
                  </pic:blipFill>
                  <pic:spPr>
                    <a:xfrm>
                      <a:off x="0" y="0"/>
                      <a:ext cx="5264785" cy="2599055"/>
                    </a:xfrm>
                    <a:prstGeom prst="rect">
                      <a:avLst/>
                    </a:prstGeom>
                  </pic:spPr>
                </pic:pic>
              </a:graphicData>
            </a:graphic>
          </wp:inline>
        </w:drawing>
      </w:r>
    </w:p>
    <w:p w14:paraId="4071486C">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1.1.4 建设性质</w:t>
      </w:r>
    </w:p>
    <w:p w14:paraId="5CA13A8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新建</w:t>
      </w:r>
    </w:p>
    <w:p w14:paraId="57D447A8">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1.1.5 项目建设内容和规模</w:t>
      </w:r>
    </w:p>
    <w:p w14:paraId="00B50932">
      <w:pPr>
        <w:snapToGrid/>
        <w:spacing w:before="0" w:after="0" w:line="360" w:lineRule="auto"/>
        <w:ind w:left="0" w:right="0" w:firstLine="560" w:firstLineChars="200"/>
        <w:jc w:val="both"/>
        <w:rPr>
          <w:rFonts w:hint="default" w:ascii="宋体" w:hAnsi="宋体" w:eastAsia="宋体" w:cs="宋体"/>
          <w:i w:val="0"/>
          <w:strike w:val="0"/>
          <w:spacing w:val="0"/>
          <w:sz w:val="28"/>
          <w:u w:val="none"/>
          <w:lang w:val="en-US" w:eastAsia="zh-CN"/>
        </w:rPr>
      </w:pPr>
      <w:r>
        <w:rPr>
          <w:rFonts w:hint="eastAsia" w:ascii="宋体" w:hAnsi="宋体" w:eastAsia="宋体" w:cs="宋体"/>
          <w:i w:val="0"/>
          <w:strike w:val="0"/>
          <w:spacing w:val="0"/>
          <w:sz w:val="28"/>
          <w:u w:val="none"/>
          <w:lang w:val="en-US" w:eastAsia="zh-CN"/>
        </w:rPr>
        <w:t>1、项目建设原因</w:t>
      </w:r>
    </w:p>
    <w:p w14:paraId="394833EB">
      <w:pPr>
        <w:snapToGrid/>
        <w:spacing w:before="0" w:after="0" w:line="360" w:lineRule="auto"/>
        <w:ind w:left="0" w:right="0" w:firstLine="560" w:firstLineChars="200"/>
        <w:jc w:val="both"/>
        <w:rPr>
          <w:rFonts w:hint="eastAsia" w:ascii="宋体" w:hAnsi="宋体" w:eastAsia="宋体" w:cs="宋体"/>
          <w:i w:val="0"/>
          <w:strike w:val="0"/>
          <w:spacing w:val="0"/>
          <w:sz w:val="28"/>
          <w:u w:val="none"/>
          <w:lang w:val="en-US" w:eastAsia="zh-CN"/>
        </w:rPr>
      </w:pPr>
      <w:r>
        <w:rPr>
          <w:rFonts w:hint="eastAsia" w:ascii="宋体" w:hAnsi="宋体" w:eastAsia="宋体" w:cs="宋体"/>
          <w:i w:val="0"/>
          <w:strike w:val="0"/>
          <w:spacing w:val="0"/>
          <w:sz w:val="28"/>
          <w:u w:val="none"/>
          <w:lang w:val="en-US" w:eastAsia="zh-CN"/>
        </w:rPr>
        <w:t>为深入贯彻落实国家 “碳达峰、碳中和” 战略部署，加快推动工业领域能源结构绿色低碳转型，切实降低企业用能成本、提升区域清洁能源消纳水平，本项目依托获嘉县产业集聚区创业孵化园区厂房屋顶资源，规划建设 5956kW 分布式光伏发电系统及配套源网荷储一体化工程。项目周边分布众多工业企业，整体用电负荷集中、需求稳定，当前各类企业仍以传统市电为主要能源来源，用电成本受电价波动、峰谷价差及外部能源价格影响较大，生产经营成本持续承压，同时碳排放管控趋严，绿色用能转型需求迫切。项目所发清洁电力采用源网荷储模式就近消纳，优先供给河南大成包装材料有限公司生产使用，有效减少企业外购市电支出，稳定生产用能成本，助力企业降低能耗、减少碳排放，完成可再生能源消纳责任。依托周边充足的负荷需求企业，项目绿电可实现高效就地消纳，推动区域工业用能向清洁化、低碳化、高效化转型，提升企业绿色发展水平与市场竞争力，符合地方节能降碳与高质量发展总体要求。</w:t>
      </w:r>
    </w:p>
    <w:p w14:paraId="23B7A155">
      <w:pPr>
        <w:snapToGrid/>
        <w:spacing w:before="0" w:after="0" w:line="360" w:lineRule="auto"/>
        <w:ind w:left="0" w:right="0" w:firstLine="560" w:firstLineChars="200"/>
        <w:jc w:val="both"/>
        <w:rPr>
          <w:rFonts w:hint="eastAsia" w:ascii="宋体" w:hAnsi="宋体" w:eastAsia="宋体" w:cs="宋体"/>
          <w:i w:val="0"/>
          <w:strike w:val="0"/>
          <w:spacing w:val="0"/>
          <w:sz w:val="28"/>
          <w:u w:val="none"/>
          <w:lang w:val="en-US" w:eastAsia="zh-CN"/>
        </w:rPr>
      </w:pPr>
      <w:r>
        <w:rPr>
          <w:rFonts w:hint="eastAsia" w:ascii="宋体" w:hAnsi="宋体" w:eastAsia="宋体" w:cs="宋体"/>
          <w:i w:val="0"/>
          <w:strike w:val="0"/>
          <w:spacing w:val="0"/>
          <w:sz w:val="28"/>
          <w:u w:val="none"/>
          <w:lang w:val="en-US" w:eastAsia="zh-CN"/>
        </w:rPr>
        <w:t>当前我国电力市场化改革持续向纵深推进，新型电力系统加快构建，国家及河南省相继出台多项政策文件，大力支持源网荷储一体化、电网侧储能等新型电力基础设施建设，明确鼓励储能以独立市场主体身份参与电力现货市场、辅助服务市场及容量电价机制。改革政策不断完善峰谷电价、调峰补偿、容量补偿等市场化收益方式，为新型储能市场化、商业化运营提供了坚实制度保障和盈利空间。本项目配套建设 20MW/40MWh 电网侧储能设施，正是顺应电力体制改革方向、提升区域电网调节能力的重要举措。储能系统可转为电网侧储能独立参与电力市场交易，通过电力现货市场峰谷差价、辅助服务调峰、容量电价补偿等多种途径拓宽收益来源，同时平抑区域用电峰谷波动、提升光伏消纳能力、增强供电可靠性与稳定性。项目同步建设光伏充电桩及相关配套工程，进一步完善区域绿色能源基础设施，既满足周边企业持续增长的用电需求，又充分发挥储能在新型电力系统中的调节支撑作用，切实落实电力改革相关要求，对优化区域能源资源配置、保障电网安全稳定运行、助力区域能源绿色转型具有重要示范意义。</w:t>
      </w:r>
    </w:p>
    <w:p w14:paraId="7A16360F">
      <w:pPr>
        <w:snapToGrid/>
        <w:spacing w:before="0" w:after="0" w:line="360" w:lineRule="auto"/>
        <w:ind w:left="0" w:right="0" w:firstLine="560" w:firstLineChars="200"/>
        <w:jc w:val="both"/>
        <w:rPr>
          <w:rFonts w:hint="default" w:ascii="宋体" w:hAnsi="宋体" w:eastAsia="宋体" w:cs="宋体"/>
          <w:i w:val="0"/>
          <w:strike w:val="0"/>
          <w:spacing w:val="0"/>
          <w:sz w:val="28"/>
          <w:u w:val="none"/>
          <w:lang w:val="en-US" w:eastAsia="zh-CN"/>
        </w:rPr>
      </w:pPr>
      <w:r>
        <w:rPr>
          <w:rFonts w:hint="eastAsia" w:ascii="宋体" w:hAnsi="宋体" w:eastAsia="宋体" w:cs="宋体"/>
          <w:i w:val="0"/>
          <w:strike w:val="0"/>
          <w:spacing w:val="0"/>
          <w:sz w:val="28"/>
          <w:u w:val="none"/>
          <w:lang w:val="en-US" w:eastAsia="zh-CN"/>
        </w:rPr>
        <w:t>2、建设内容及规模</w:t>
      </w:r>
    </w:p>
    <w:p w14:paraId="20F86D27">
      <w:pPr>
        <w:snapToGrid/>
        <w:spacing w:before="0" w:after="0" w:line="360" w:lineRule="auto"/>
        <w:ind w:left="0" w:right="0" w:firstLine="560" w:firstLineChars="200"/>
        <w:jc w:val="both"/>
        <w:rPr>
          <w:rFonts w:hint="eastAsia" w:ascii="宋体" w:hAnsi="宋体" w:eastAsia="宋体" w:cs="宋体"/>
          <w:snapToGrid/>
          <w:color w:val="000000"/>
          <w:spacing w:val="0"/>
          <w:w w:val="100"/>
          <w:kern w:val="2"/>
          <w:position w:val="0"/>
          <w:sz w:val="28"/>
          <w:szCs w:val="28"/>
          <w:lang w:val="en-US" w:eastAsia="zh-CN" w:bidi="zh-CN"/>
        </w:rPr>
      </w:pPr>
      <w:r>
        <w:rPr>
          <w:rFonts w:ascii="宋体" w:hAnsi="宋体" w:eastAsia="宋体" w:cs="宋体"/>
          <w:i w:val="0"/>
          <w:strike w:val="0"/>
          <w:spacing w:val="0"/>
          <w:sz w:val="28"/>
          <w:u w:val="none"/>
        </w:rPr>
        <w:t>本项目在</w:t>
      </w:r>
      <w:r>
        <w:rPr>
          <w:rFonts w:hint="eastAsia" w:ascii="宋体" w:hAnsi="宋体" w:eastAsia="宋体" w:cs="宋体"/>
          <w:snapToGrid/>
          <w:color w:val="auto"/>
          <w:spacing w:val="0"/>
          <w:w w:val="100"/>
          <w:kern w:val="2"/>
          <w:position w:val="0"/>
          <w:sz w:val="28"/>
          <w:szCs w:val="28"/>
          <w:lang w:val="en-US" w:eastAsia="zh-CN" w:bidi="zh-CN"/>
        </w:rPr>
        <w:t>获嘉县产业集聚区创业孵化</w:t>
      </w:r>
      <w:r>
        <w:rPr>
          <w:rFonts w:ascii="宋体" w:hAnsi="宋体" w:eastAsia="宋体" w:cs="宋体"/>
          <w:i w:val="0"/>
          <w:strike w:val="0"/>
          <w:spacing w:val="0"/>
          <w:sz w:val="28"/>
          <w:u w:val="none"/>
        </w:rPr>
        <w:t>园区内工业厂房屋顶部署</w:t>
      </w:r>
      <w:r>
        <w:rPr>
          <w:rFonts w:hint="eastAsia" w:ascii="宋体" w:hAnsi="宋体" w:eastAsia="宋体" w:cs="宋体"/>
          <w:i w:val="0"/>
          <w:strike w:val="0"/>
          <w:spacing w:val="0"/>
          <w:sz w:val="28"/>
          <w:u w:val="none"/>
          <w:lang w:val="en-US" w:eastAsia="zh-CN"/>
        </w:rPr>
        <w:t>5956</w:t>
      </w:r>
      <w:r>
        <w:rPr>
          <w:rFonts w:ascii="宋体" w:hAnsi="宋体" w:eastAsia="宋体" w:cs="宋体"/>
          <w:i w:val="0"/>
          <w:strike w:val="0"/>
          <w:spacing w:val="0"/>
          <w:sz w:val="28"/>
          <w:u w:val="none"/>
        </w:rPr>
        <w:t>KW的分布式光伏发电系统，并配套安装</w:t>
      </w:r>
      <w:r>
        <w:rPr>
          <w:rFonts w:hint="eastAsia" w:ascii="宋体" w:hAnsi="宋体" w:eastAsia="宋体" w:cs="宋体"/>
          <w:i w:val="0"/>
          <w:strike w:val="0"/>
          <w:spacing w:val="0"/>
          <w:sz w:val="28"/>
          <w:u w:val="none"/>
          <w:lang w:val="en-US" w:eastAsia="zh-CN"/>
        </w:rPr>
        <w:t>电网侧</w:t>
      </w:r>
      <w:r>
        <w:rPr>
          <w:rFonts w:ascii="宋体" w:hAnsi="宋体" w:eastAsia="宋体" w:cs="宋体"/>
          <w:i w:val="0"/>
          <w:strike w:val="0"/>
          <w:spacing w:val="0"/>
          <w:sz w:val="28"/>
          <w:u w:val="none"/>
        </w:rPr>
        <w:t>储能设施，总规模达到</w:t>
      </w:r>
      <w:r>
        <w:rPr>
          <w:rFonts w:hint="eastAsia" w:ascii="宋体" w:hAnsi="宋体" w:eastAsia="宋体" w:cs="宋体"/>
          <w:i w:val="0"/>
          <w:strike w:val="0"/>
          <w:spacing w:val="0"/>
          <w:sz w:val="28"/>
          <w:u w:val="none"/>
          <w:lang w:val="en-US" w:eastAsia="zh-CN"/>
        </w:rPr>
        <w:t>20</w:t>
      </w:r>
      <w:r>
        <w:rPr>
          <w:rFonts w:ascii="宋体" w:hAnsi="宋体" w:eastAsia="宋体" w:cs="宋体"/>
          <w:i w:val="0"/>
          <w:strike w:val="0"/>
          <w:spacing w:val="0"/>
          <w:sz w:val="28"/>
          <w:u w:val="none"/>
        </w:rPr>
        <w:t>MW/</w:t>
      </w:r>
      <w:r>
        <w:rPr>
          <w:rFonts w:hint="eastAsia" w:ascii="宋体" w:hAnsi="宋体" w:eastAsia="宋体" w:cs="宋体"/>
          <w:i w:val="0"/>
          <w:strike w:val="0"/>
          <w:spacing w:val="0"/>
          <w:sz w:val="28"/>
          <w:u w:val="none"/>
          <w:lang w:val="en-US" w:eastAsia="zh-CN"/>
        </w:rPr>
        <w:t>40</w:t>
      </w:r>
      <w:r>
        <w:rPr>
          <w:rFonts w:ascii="宋体" w:hAnsi="宋体" w:eastAsia="宋体" w:cs="宋体"/>
          <w:i w:val="0"/>
          <w:strike w:val="0"/>
          <w:spacing w:val="0"/>
          <w:sz w:val="28"/>
          <w:u w:val="none"/>
        </w:rPr>
        <w:t>MWh。此外，项目规划安装</w:t>
      </w:r>
      <w:r>
        <w:rPr>
          <w:rFonts w:hint="eastAsia" w:ascii="宋体" w:hAnsi="宋体" w:eastAsia="宋体" w:cs="宋体"/>
          <w:i w:val="0"/>
          <w:strike w:val="0"/>
          <w:spacing w:val="0"/>
          <w:sz w:val="28"/>
          <w:u w:val="none"/>
          <w:lang w:val="en-US" w:eastAsia="zh-CN"/>
        </w:rPr>
        <w:t>5</w:t>
      </w:r>
      <w:r>
        <w:rPr>
          <w:rFonts w:ascii="宋体" w:hAnsi="宋体" w:eastAsia="宋体" w:cs="宋体"/>
          <w:i w:val="0"/>
          <w:strike w:val="0"/>
          <w:spacing w:val="0"/>
          <w:sz w:val="28"/>
          <w:u w:val="none"/>
        </w:rPr>
        <w:t>个光伏充电桩，并同步实施园区其他相关配套工程。通过源网荷储一体化方案，项目所产出的新能源电力将直供给</w:t>
      </w:r>
      <w:r>
        <w:rPr>
          <w:rFonts w:hint="eastAsia" w:ascii="宋体" w:hAnsi="宋体" w:eastAsia="宋体" w:cs="宋体"/>
          <w:i w:val="0"/>
          <w:strike w:val="0"/>
          <w:spacing w:val="0"/>
          <w:sz w:val="28"/>
          <w:u w:val="none"/>
          <w:lang w:val="en-US" w:eastAsia="zh-CN"/>
        </w:rPr>
        <w:t>大成包装</w:t>
      </w:r>
      <w:r>
        <w:rPr>
          <w:rFonts w:ascii="宋体" w:hAnsi="宋体" w:eastAsia="宋体" w:cs="宋体"/>
          <w:i w:val="0"/>
          <w:strike w:val="0"/>
          <w:spacing w:val="0"/>
          <w:sz w:val="28"/>
          <w:u w:val="none"/>
        </w:rPr>
        <w:t>使用</w:t>
      </w:r>
      <w:r>
        <w:rPr>
          <w:rFonts w:hint="eastAsia" w:ascii="宋体" w:hAnsi="宋体" w:eastAsia="宋体" w:cs="宋体"/>
          <w:snapToGrid/>
          <w:color w:val="000000"/>
          <w:spacing w:val="0"/>
          <w:w w:val="100"/>
          <w:kern w:val="2"/>
          <w:position w:val="0"/>
          <w:sz w:val="28"/>
          <w:szCs w:val="28"/>
          <w:lang w:val="en-US" w:eastAsia="zh-CN" w:bidi="zh-CN"/>
        </w:rPr>
        <w:t>。</w:t>
      </w:r>
    </w:p>
    <w:p w14:paraId="1F80DC40">
      <w:pPr>
        <w:snapToGrid/>
        <w:spacing w:before="0" w:after="0" w:line="360" w:lineRule="auto"/>
        <w:ind w:left="0" w:right="0" w:firstLine="560" w:firstLineChars="200"/>
        <w:jc w:val="both"/>
        <w:rPr>
          <w:rFonts w:hint="default" w:ascii="宋体" w:hAnsi="宋体" w:eastAsia="宋体" w:cs="宋体"/>
          <w:i w:val="0"/>
          <w:strike w:val="0"/>
          <w:color w:val="000000"/>
          <w:spacing w:val="0"/>
          <w:sz w:val="28"/>
          <w:u w:val="none"/>
          <w:lang w:val="en-US" w:eastAsia="zh-CN"/>
        </w:rPr>
      </w:pPr>
      <w:r>
        <w:rPr>
          <w:rFonts w:hint="eastAsia" w:ascii="宋体" w:hAnsi="宋体" w:eastAsia="宋体" w:cs="宋体"/>
          <w:i w:val="0"/>
          <w:strike w:val="0"/>
          <w:color w:val="000000"/>
          <w:spacing w:val="0"/>
          <w:sz w:val="28"/>
          <w:u w:val="none"/>
          <w:lang w:val="en-US" w:eastAsia="zh-CN"/>
        </w:rPr>
        <w:t>3、光伏储能设备占用面积</w:t>
      </w:r>
    </w:p>
    <w:p w14:paraId="7EE3292C">
      <w:pPr>
        <w:snapToGrid/>
        <w:spacing w:before="0" w:after="0" w:line="360" w:lineRule="auto"/>
        <w:ind w:left="0" w:right="0" w:firstLine="560" w:firstLineChars="200"/>
        <w:jc w:val="both"/>
        <w:rPr>
          <w:rFonts w:ascii="宋体" w:hAnsi="宋体" w:eastAsia="宋体" w:cs="宋体"/>
          <w:i w:val="0"/>
          <w:strike w:val="0"/>
          <w:color w:val="000000"/>
          <w:spacing w:val="0"/>
          <w:sz w:val="28"/>
          <w:u w:val="none"/>
        </w:rPr>
      </w:pPr>
      <w:r>
        <w:rPr>
          <w:rFonts w:ascii="宋体" w:hAnsi="宋体" w:eastAsia="宋体" w:cs="宋体"/>
          <w:i w:val="0"/>
          <w:strike w:val="0"/>
          <w:color w:val="000000"/>
          <w:spacing w:val="0"/>
          <w:sz w:val="28"/>
          <w:u w:val="none"/>
        </w:rPr>
        <w:t>项目规划利用获嘉县产业集聚区中小企业创业孵化园项目屋顶面积为31530.09㎡，园区内可使用道路区域面积为12267.68㎡，合计可使用面积为42807.95㎡。</w:t>
      </w:r>
    </w:p>
    <w:p w14:paraId="0AC0663C">
      <w:pPr>
        <w:keepNext w:val="0"/>
        <w:keepLines w:val="0"/>
        <w:pageBreakBefore w:val="0"/>
        <w:widowControl/>
        <w:pBdr>
          <w:bottom w:val="none" w:color="auto" w:sz="0" w:space="0"/>
        </w:pBdr>
        <w:kinsoku w:val="0"/>
        <w:wordWrap/>
        <w:overflowPunct/>
        <w:topLinePunct w:val="0"/>
        <w:autoSpaceDE w:val="0"/>
        <w:autoSpaceDN w:val="0"/>
        <w:bidi w:val="0"/>
        <w:adjustRightInd/>
        <w:snapToGrid/>
        <w:spacing w:before="0" w:beforeLines="50" w:after="0" w:afterLines="50" w:line="360" w:lineRule="auto"/>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rPr>
        <w:t>建设参数表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2541"/>
        <w:gridCol w:w="1419"/>
        <w:gridCol w:w="1504"/>
        <w:gridCol w:w="1956"/>
      </w:tblGrid>
      <w:tr w14:paraId="67FBF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02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14:paraId="177F453C">
            <w:pPr>
              <w:widowControl w:val="0"/>
              <w:snapToGrid/>
              <w:spacing w:before="0" w:after="0" w:line="240" w:lineRule="auto"/>
              <w:jc w:val="center"/>
              <w:rPr>
                <w:rFonts w:ascii="宋体" w:hAnsi="宋体" w:eastAsia="宋体" w:cs="宋体"/>
                <w:b/>
                <w:sz w:val="21"/>
                <w:szCs w:val="21"/>
              </w:rPr>
            </w:pPr>
            <w:r>
              <w:rPr>
                <w:rFonts w:ascii="宋体" w:hAnsi="宋体" w:eastAsia="宋体" w:cs="宋体"/>
                <w:b/>
                <w:i w:val="0"/>
                <w:strike w:val="0"/>
                <w:color w:val="000000"/>
                <w:spacing w:val="0"/>
                <w:sz w:val="21"/>
                <w:szCs w:val="21"/>
                <w:u w:val="none"/>
                <w:vertAlign w:val="baseline"/>
              </w:rPr>
              <w:t>序号</w:t>
            </w:r>
          </w:p>
        </w:tc>
        <w:tc>
          <w:tcPr>
            <w:tcW w:w="254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14:paraId="41B1BC3D">
            <w:pPr>
              <w:widowControl w:val="0"/>
              <w:snapToGrid/>
              <w:spacing w:before="0" w:after="0" w:line="240" w:lineRule="auto"/>
              <w:jc w:val="center"/>
              <w:rPr>
                <w:rFonts w:ascii="宋体" w:hAnsi="宋体" w:eastAsia="宋体" w:cs="宋体"/>
                <w:b/>
                <w:sz w:val="21"/>
                <w:szCs w:val="21"/>
              </w:rPr>
            </w:pPr>
            <w:r>
              <w:rPr>
                <w:rFonts w:ascii="宋体" w:hAnsi="宋体" w:eastAsia="宋体" w:cs="宋体"/>
                <w:b/>
                <w:i w:val="0"/>
                <w:strike w:val="0"/>
                <w:color w:val="000000"/>
                <w:spacing w:val="0"/>
                <w:sz w:val="21"/>
                <w:szCs w:val="21"/>
                <w:u w:val="none"/>
                <w:vertAlign w:val="baseline"/>
              </w:rPr>
              <w:t>名称</w:t>
            </w:r>
          </w:p>
        </w:tc>
        <w:tc>
          <w:tcPr>
            <w:tcW w:w="141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14:paraId="48B99F41">
            <w:pPr>
              <w:widowControl w:val="0"/>
              <w:snapToGrid/>
              <w:spacing w:before="0" w:after="0" w:line="240" w:lineRule="auto"/>
              <w:jc w:val="center"/>
              <w:rPr>
                <w:rFonts w:ascii="宋体" w:hAnsi="宋体" w:eastAsia="宋体" w:cs="宋体"/>
                <w:b/>
                <w:sz w:val="21"/>
                <w:szCs w:val="21"/>
              </w:rPr>
            </w:pPr>
            <w:r>
              <w:rPr>
                <w:rFonts w:ascii="宋体" w:hAnsi="宋体" w:eastAsia="宋体" w:cs="宋体"/>
                <w:b/>
                <w:sz w:val="21"/>
                <w:szCs w:val="21"/>
              </w:rPr>
              <w:t>单位</w:t>
            </w:r>
          </w:p>
        </w:tc>
        <w:tc>
          <w:tcPr>
            <w:tcW w:w="150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14:paraId="4D1B7FC7">
            <w:pPr>
              <w:widowControl w:val="0"/>
              <w:snapToGrid/>
              <w:spacing w:before="0" w:after="0" w:line="240" w:lineRule="auto"/>
              <w:jc w:val="center"/>
              <w:rPr>
                <w:rFonts w:ascii="宋体" w:hAnsi="宋体" w:eastAsia="宋体" w:cs="宋体"/>
                <w:b/>
                <w:sz w:val="21"/>
                <w:szCs w:val="21"/>
              </w:rPr>
            </w:pPr>
            <w:r>
              <w:rPr>
                <w:rFonts w:ascii="宋体" w:hAnsi="宋体" w:eastAsia="宋体" w:cs="宋体"/>
                <w:b/>
                <w:sz w:val="21"/>
                <w:szCs w:val="21"/>
              </w:rPr>
              <w:t>数量</w:t>
            </w:r>
          </w:p>
        </w:tc>
        <w:tc>
          <w:tcPr>
            <w:tcW w:w="19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14:paraId="384549E3">
            <w:pPr>
              <w:widowControl w:val="0"/>
              <w:snapToGrid/>
              <w:spacing w:before="0" w:after="0" w:line="240" w:lineRule="auto"/>
              <w:jc w:val="center"/>
              <w:rPr>
                <w:rFonts w:ascii="宋体" w:hAnsi="宋体" w:eastAsia="宋体" w:cs="宋体"/>
                <w:b/>
                <w:sz w:val="21"/>
                <w:szCs w:val="21"/>
              </w:rPr>
            </w:pPr>
            <w:r>
              <w:rPr>
                <w:rFonts w:ascii="宋体" w:hAnsi="宋体" w:eastAsia="宋体" w:cs="宋体"/>
                <w:b/>
                <w:sz w:val="21"/>
                <w:szCs w:val="21"/>
              </w:rPr>
              <w:t>备注</w:t>
            </w:r>
          </w:p>
        </w:tc>
      </w:tr>
      <w:tr w14:paraId="60A3C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02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14:paraId="25347162">
            <w:pPr>
              <w:widowControl w:val="0"/>
              <w:snapToGrid/>
              <w:spacing w:before="0" w:after="0" w:line="240" w:lineRule="auto"/>
              <w:jc w:val="center"/>
              <w:rPr>
                <w:rFonts w:ascii="宋体" w:hAnsi="宋体" w:eastAsia="宋体" w:cs="宋体"/>
                <w:sz w:val="21"/>
                <w:szCs w:val="21"/>
              </w:rPr>
            </w:pPr>
            <w:r>
              <w:rPr>
                <w:rFonts w:ascii="宋体" w:hAnsi="宋体" w:eastAsia="宋体" w:cs="宋体"/>
                <w:i w:val="0"/>
                <w:strike w:val="0"/>
                <w:color w:val="000000"/>
                <w:spacing w:val="0"/>
                <w:sz w:val="21"/>
                <w:szCs w:val="21"/>
                <w:u w:val="none"/>
                <w:vertAlign w:val="baseline"/>
              </w:rPr>
              <w:t>1</w:t>
            </w:r>
          </w:p>
        </w:tc>
        <w:tc>
          <w:tcPr>
            <w:tcW w:w="254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14:paraId="4F07368C">
            <w:pPr>
              <w:widowControl w:val="0"/>
              <w:snapToGrid/>
              <w:spacing w:before="0" w:after="0" w:line="240" w:lineRule="auto"/>
              <w:jc w:val="center"/>
              <w:rPr>
                <w:rFonts w:ascii="宋体" w:hAnsi="宋体" w:eastAsia="宋体" w:cs="宋体"/>
                <w:sz w:val="21"/>
                <w:szCs w:val="21"/>
              </w:rPr>
            </w:pPr>
            <w:r>
              <w:rPr>
                <w:rFonts w:ascii="宋体" w:hAnsi="宋体" w:eastAsia="宋体" w:cs="宋体"/>
                <w:sz w:val="21"/>
                <w:szCs w:val="21"/>
              </w:rPr>
              <w:t>光伏发电设备</w:t>
            </w:r>
          </w:p>
        </w:tc>
        <w:tc>
          <w:tcPr>
            <w:tcW w:w="141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14:paraId="19DA7ADE">
            <w:pPr>
              <w:widowControl w:val="0"/>
              <w:snapToGrid/>
              <w:spacing w:before="0" w:after="0" w:line="240" w:lineRule="auto"/>
              <w:jc w:val="center"/>
              <w:rPr>
                <w:rFonts w:ascii="宋体" w:hAnsi="宋体" w:eastAsia="宋体" w:cs="宋体"/>
                <w:sz w:val="21"/>
                <w:szCs w:val="21"/>
              </w:rPr>
            </w:pPr>
            <w:r>
              <w:rPr>
                <w:rFonts w:ascii="宋体" w:hAnsi="宋体" w:eastAsia="宋体" w:cs="宋体"/>
                <w:i w:val="0"/>
                <w:strike w:val="0"/>
                <w:color w:val="000000"/>
                <w:spacing w:val="0"/>
                <w:sz w:val="21"/>
                <w:szCs w:val="21"/>
                <w:u w:val="none"/>
                <w:vertAlign w:val="baseline"/>
              </w:rPr>
              <w:t>KW</w:t>
            </w:r>
          </w:p>
        </w:tc>
        <w:tc>
          <w:tcPr>
            <w:tcW w:w="150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14:paraId="6D6B2745">
            <w:pPr>
              <w:widowControl w:val="0"/>
              <w:snapToGrid/>
              <w:spacing w:before="0" w:after="0" w:line="240" w:lineRule="auto"/>
              <w:jc w:val="center"/>
              <w:rPr>
                <w:rFonts w:ascii="宋体" w:hAnsi="宋体" w:eastAsia="宋体" w:cs="宋体"/>
                <w:sz w:val="21"/>
                <w:szCs w:val="21"/>
              </w:rPr>
            </w:pPr>
            <w:r>
              <w:rPr>
                <w:rFonts w:ascii="宋体" w:hAnsi="宋体" w:eastAsia="宋体" w:cs="宋体"/>
                <w:i w:val="0"/>
                <w:strike w:val="0"/>
                <w:color w:val="000000"/>
                <w:spacing w:val="0"/>
                <w:sz w:val="21"/>
                <w:szCs w:val="21"/>
                <w:u w:val="none"/>
                <w:vertAlign w:val="baseline"/>
              </w:rPr>
              <w:t>595</w:t>
            </w:r>
            <w:r>
              <w:rPr>
                <w:rFonts w:hint="eastAsia" w:ascii="宋体" w:hAnsi="宋体" w:eastAsia="宋体" w:cs="宋体"/>
                <w:i w:val="0"/>
                <w:strike w:val="0"/>
                <w:color w:val="000000"/>
                <w:spacing w:val="0"/>
                <w:sz w:val="21"/>
                <w:szCs w:val="21"/>
                <w:u w:val="none"/>
                <w:vertAlign w:val="baseline"/>
                <w:lang w:val="en-US" w:eastAsia="zh-CN"/>
              </w:rPr>
              <w:t>6</w:t>
            </w:r>
          </w:p>
        </w:tc>
        <w:tc>
          <w:tcPr>
            <w:tcW w:w="19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14:paraId="3AE542C7">
            <w:pPr>
              <w:widowControl w:val="0"/>
              <w:snapToGrid/>
              <w:spacing w:before="0" w:after="0" w:line="240" w:lineRule="auto"/>
              <w:jc w:val="center"/>
              <w:rPr>
                <w:rFonts w:ascii="宋体" w:hAnsi="宋体" w:eastAsia="宋体" w:cs="宋体"/>
                <w:sz w:val="21"/>
                <w:szCs w:val="21"/>
              </w:rPr>
            </w:pPr>
          </w:p>
        </w:tc>
      </w:tr>
      <w:tr w14:paraId="6BE8F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02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14:paraId="43053475">
            <w:pPr>
              <w:widowControl w:val="0"/>
              <w:snapToGrid/>
              <w:spacing w:before="0" w:after="0" w:line="240" w:lineRule="auto"/>
              <w:jc w:val="center"/>
              <w:rPr>
                <w:rFonts w:ascii="宋体" w:hAnsi="宋体" w:eastAsia="宋体" w:cs="宋体"/>
                <w:color w:val="000000"/>
                <w:sz w:val="21"/>
                <w:szCs w:val="21"/>
              </w:rPr>
            </w:pPr>
            <w:r>
              <w:rPr>
                <w:rFonts w:ascii="宋体" w:hAnsi="宋体" w:eastAsia="宋体" w:cs="宋体"/>
                <w:i w:val="0"/>
                <w:strike w:val="0"/>
                <w:color w:val="000000"/>
                <w:spacing w:val="0"/>
                <w:sz w:val="21"/>
                <w:szCs w:val="21"/>
                <w:u w:val="none"/>
                <w:vertAlign w:val="baseline"/>
              </w:rPr>
              <w:t>2</w:t>
            </w:r>
          </w:p>
        </w:tc>
        <w:tc>
          <w:tcPr>
            <w:tcW w:w="254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14:paraId="2B55AAA3">
            <w:pPr>
              <w:widowControl w:val="0"/>
              <w:snapToGrid/>
              <w:spacing w:before="0" w:after="0" w:line="240" w:lineRule="auto"/>
              <w:jc w:val="center"/>
              <w:rPr>
                <w:rFonts w:ascii="宋体" w:hAnsi="宋体" w:eastAsia="宋体" w:cs="宋体"/>
                <w:color w:val="000000"/>
                <w:sz w:val="21"/>
                <w:szCs w:val="21"/>
              </w:rPr>
            </w:pPr>
            <w:r>
              <w:rPr>
                <w:rFonts w:ascii="宋体" w:hAnsi="宋体" w:eastAsia="宋体" w:cs="宋体"/>
                <w:color w:val="000000"/>
                <w:sz w:val="21"/>
                <w:szCs w:val="21"/>
              </w:rPr>
              <w:t>储能设备</w:t>
            </w:r>
          </w:p>
        </w:tc>
        <w:tc>
          <w:tcPr>
            <w:tcW w:w="141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14:paraId="3EC06C58">
            <w:pPr>
              <w:widowControl w:val="0"/>
              <w:snapToGrid/>
              <w:spacing w:before="0" w:after="0" w:line="240" w:lineRule="auto"/>
              <w:jc w:val="center"/>
              <w:rPr>
                <w:rFonts w:ascii="宋体" w:hAnsi="宋体" w:eastAsia="宋体" w:cs="宋体"/>
                <w:color w:val="000000"/>
                <w:sz w:val="21"/>
                <w:szCs w:val="21"/>
              </w:rPr>
            </w:pPr>
            <w:r>
              <w:rPr>
                <w:rFonts w:ascii="宋体" w:hAnsi="宋体" w:eastAsia="宋体" w:cs="宋体"/>
                <w:i w:val="0"/>
                <w:strike w:val="0"/>
                <w:color w:val="000000"/>
                <w:spacing w:val="0"/>
                <w:sz w:val="21"/>
                <w:szCs w:val="21"/>
                <w:u w:val="none"/>
                <w:vertAlign w:val="baseline"/>
              </w:rPr>
              <w:t>MW/MWh</w:t>
            </w:r>
          </w:p>
        </w:tc>
        <w:tc>
          <w:tcPr>
            <w:tcW w:w="150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14:paraId="20C70D45">
            <w:pPr>
              <w:widowControl w:val="0"/>
              <w:snapToGrid/>
              <w:spacing w:before="0" w:after="0" w:line="240" w:lineRule="auto"/>
              <w:jc w:val="center"/>
              <w:rPr>
                <w:rFonts w:ascii="宋体" w:hAnsi="宋体" w:eastAsia="宋体" w:cs="宋体"/>
                <w:color w:val="000000"/>
                <w:sz w:val="21"/>
                <w:szCs w:val="21"/>
              </w:rPr>
            </w:pPr>
            <w:r>
              <w:rPr>
                <w:rFonts w:ascii="宋体" w:hAnsi="宋体" w:eastAsia="宋体" w:cs="宋体"/>
                <w:i w:val="0"/>
                <w:strike w:val="0"/>
                <w:color w:val="000000"/>
                <w:spacing w:val="0"/>
                <w:sz w:val="21"/>
                <w:szCs w:val="21"/>
                <w:u w:val="none"/>
                <w:vertAlign w:val="baseline"/>
              </w:rPr>
              <w:t>20/40</w:t>
            </w:r>
          </w:p>
        </w:tc>
        <w:tc>
          <w:tcPr>
            <w:tcW w:w="19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14:paraId="7592852C">
            <w:pPr>
              <w:widowControl w:val="0"/>
              <w:snapToGrid/>
              <w:spacing w:before="0" w:after="0" w:line="240" w:lineRule="auto"/>
              <w:jc w:val="center"/>
              <w:rPr>
                <w:rFonts w:ascii="宋体" w:hAnsi="宋体" w:eastAsia="宋体" w:cs="宋体"/>
                <w:color w:val="000000"/>
                <w:sz w:val="21"/>
                <w:szCs w:val="21"/>
              </w:rPr>
            </w:pPr>
            <w:r>
              <w:rPr>
                <w:rFonts w:ascii="宋体" w:hAnsi="宋体" w:eastAsia="宋体" w:cs="宋体"/>
                <w:color w:val="000000"/>
                <w:sz w:val="21"/>
                <w:szCs w:val="21"/>
              </w:rPr>
              <w:t>包含3MW储能换电模块</w:t>
            </w:r>
          </w:p>
        </w:tc>
      </w:tr>
      <w:tr w14:paraId="54BD8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02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14:paraId="17ADF4A0">
            <w:pPr>
              <w:widowControl w:val="0"/>
              <w:snapToGrid/>
              <w:spacing w:before="0" w:after="0" w:line="240" w:lineRule="auto"/>
              <w:jc w:val="center"/>
              <w:rPr>
                <w:rFonts w:ascii="宋体" w:hAnsi="宋体" w:eastAsia="宋体" w:cs="宋体"/>
                <w:color w:val="000000"/>
                <w:sz w:val="21"/>
                <w:szCs w:val="21"/>
              </w:rPr>
            </w:pPr>
            <w:r>
              <w:rPr>
                <w:rFonts w:ascii="宋体" w:hAnsi="宋体" w:eastAsia="宋体" w:cs="宋体"/>
                <w:i w:val="0"/>
                <w:strike w:val="0"/>
                <w:color w:val="000000"/>
                <w:spacing w:val="0"/>
                <w:sz w:val="21"/>
                <w:szCs w:val="21"/>
                <w:u w:val="none"/>
                <w:vertAlign w:val="baseline"/>
              </w:rPr>
              <w:t>3</w:t>
            </w:r>
          </w:p>
        </w:tc>
        <w:tc>
          <w:tcPr>
            <w:tcW w:w="254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14:paraId="1DE40605">
            <w:pPr>
              <w:widowControl w:val="0"/>
              <w:snapToGrid/>
              <w:spacing w:before="0" w:after="0" w:line="240" w:lineRule="auto"/>
              <w:jc w:val="center"/>
              <w:rPr>
                <w:rFonts w:ascii="宋体" w:hAnsi="宋体" w:eastAsia="宋体" w:cs="宋体"/>
                <w:color w:val="000000"/>
                <w:sz w:val="21"/>
                <w:szCs w:val="21"/>
              </w:rPr>
            </w:pPr>
            <w:r>
              <w:rPr>
                <w:rFonts w:ascii="宋体" w:hAnsi="宋体" w:eastAsia="宋体" w:cs="宋体"/>
                <w:color w:val="000000"/>
                <w:sz w:val="21"/>
                <w:szCs w:val="21"/>
              </w:rPr>
              <w:t>占用工业厂房屋顶面积</w:t>
            </w:r>
          </w:p>
        </w:tc>
        <w:tc>
          <w:tcPr>
            <w:tcW w:w="141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14:paraId="32AD6E6B">
            <w:pPr>
              <w:widowControl w:val="0"/>
              <w:snapToGrid/>
              <w:spacing w:before="0" w:after="0" w:line="240" w:lineRule="auto"/>
              <w:jc w:val="center"/>
              <w:rPr>
                <w:rFonts w:ascii="宋体" w:hAnsi="宋体" w:eastAsia="宋体" w:cs="宋体"/>
                <w:color w:val="000000"/>
                <w:sz w:val="21"/>
                <w:szCs w:val="21"/>
              </w:rPr>
            </w:pPr>
            <w:r>
              <w:rPr>
                <w:rFonts w:ascii="宋体" w:hAnsi="宋体" w:eastAsia="宋体" w:cs="宋体"/>
                <w:i w:val="0"/>
                <w:strike w:val="0"/>
                <w:color w:val="000000"/>
                <w:spacing w:val="0"/>
                <w:sz w:val="21"/>
                <w:szCs w:val="21"/>
                <w:u w:val="none"/>
                <w:vertAlign w:val="baseline"/>
              </w:rPr>
              <w:t>㎡</w:t>
            </w:r>
          </w:p>
        </w:tc>
        <w:tc>
          <w:tcPr>
            <w:tcW w:w="150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14:paraId="18014FAD">
            <w:pPr>
              <w:widowControl w:val="0"/>
              <w:snapToGrid/>
              <w:spacing w:before="0" w:after="0" w:line="240" w:lineRule="auto"/>
              <w:jc w:val="center"/>
              <w:rPr>
                <w:rFonts w:ascii="宋体" w:hAnsi="宋体" w:eastAsia="宋体" w:cs="宋体"/>
                <w:color w:val="000000"/>
                <w:sz w:val="21"/>
                <w:szCs w:val="21"/>
              </w:rPr>
            </w:pPr>
            <w:r>
              <w:rPr>
                <w:rFonts w:ascii="宋体" w:hAnsi="宋体" w:eastAsia="宋体" w:cs="宋体"/>
                <w:i w:val="0"/>
                <w:strike w:val="0"/>
                <w:color w:val="000000"/>
                <w:spacing w:val="0"/>
                <w:sz w:val="21"/>
                <w:szCs w:val="21"/>
                <w:u w:val="none"/>
              </w:rPr>
              <w:t>31530.09</w:t>
            </w:r>
          </w:p>
        </w:tc>
        <w:tc>
          <w:tcPr>
            <w:tcW w:w="19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14:paraId="1AC8058B">
            <w:pPr>
              <w:widowControl w:val="0"/>
              <w:snapToGrid/>
              <w:spacing w:before="0" w:after="0" w:line="240" w:lineRule="auto"/>
              <w:jc w:val="center"/>
              <w:rPr>
                <w:rFonts w:ascii="宋体" w:hAnsi="宋体" w:eastAsia="宋体" w:cs="宋体"/>
                <w:color w:val="000000"/>
                <w:sz w:val="21"/>
                <w:szCs w:val="21"/>
              </w:rPr>
            </w:pPr>
            <w:r>
              <w:rPr>
                <w:rFonts w:ascii="宋体" w:hAnsi="宋体" w:eastAsia="宋体" w:cs="宋体"/>
                <w:color w:val="000000"/>
                <w:sz w:val="21"/>
                <w:szCs w:val="21"/>
              </w:rPr>
              <w:t>每MW占用屋顶面积约7000</w:t>
            </w:r>
            <w:r>
              <w:rPr>
                <w:rFonts w:ascii="宋体" w:hAnsi="宋体" w:eastAsia="宋体" w:cs="宋体"/>
                <w:i w:val="0"/>
                <w:strike w:val="0"/>
                <w:color w:val="000000"/>
                <w:spacing w:val="0"/>
                <w:sz w:val="21"/>
                <w:szCs w:val="21"/>
                <w:u w:val="none"/>
                <w:vertAlign w:val="baseline"/>
              </w:rPr>
              <w:t>㎡</w:t>
            </w:r>
          </w:p>
        </w:tc>
      </w:tr>
      <w:tr w14:paraId="345A4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02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14:paraId="2D6F4458">
            <w:pPr>
              <w:widowControl w:val="0"/>
              <w:snapToGrid/>
              <w:spacing w:before="0" w:after="0" w:line="240" w:lineRule="auto"/>
              <w:jc w:val="center"/>
              <w:rPr>
                <w:rFonts w:ascii="宋体" w:hAnsi="宋体" w:eastAsia="宋体" w:cs="宋体"/>
                <w:color w:val="000000"/>
                <w:sz w:val="21"/>
                <w:szCs w:val="21"/>
              </w:rPr>
            </w:pPr>
            <w:r>
              <w:rPr>
                <w:rFonts w:ascii="宋体" w:hAnsi="宋体" w:eastAsia="宋体" w:cs="宋体"/>
                <w:i w:val="0"/>
                <w:strike w:val="0"/>
                <w:color w:val="000000"/>
                <w:spacing w:val="0"/>
                <w:sz w:val="21"/>
                <w:szCs w:val="21"/>
                <w:u w:val="none"/>
                <w:vertAlign w:val="baseline"/>
              </w:rPr>
              <w:t>4</w:t>
            </w:r>
          </w:p>
        </w:tc>
        <w:tc>
          <w:tcPr>
            <w:tcW w:w="254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14:paraId="7D7B43FC">
            <w:pPr>
              <w:widowControl w:val="0"/>
              <w:snapToGrid/>
              <w:spacing w:before="0" w:after="0" w:line="240" w:lineRule="auto"/>
              <w:jc w:val="center"/>
              <w:rPr>
                <w:rFonts w:ascii="宋体" w:hAnsi="宋体" w:eastAsia="宋体" w:cs="宋体"/>
                <w:color w:val="000000"/>
                <w:sz w:val="21"/>
                <w:szCs w:val="21"/>
              </w:rPr>
            </w:pPr>
            <w:r>
              <w:rPr>
                <w:rFonts w:ascii="宋体" w:hAnsi="宋体" w:eastAsia="宋体" w:cs="宋体"/>
                <w:color w:val="000000"/>
                <w:sz w:val="21"/>
                <w:szCs w:val="21"/>
              </w:rPr>
              <w:t>可使用</w:t>
            </w:r>
            <w:r>
              <w:rPr>
                <w:rFonts w:hint="eastAsia" w:ascii="宋体" w:hAnsi="宋体" w:eastAsia="宋体" w:cs="宋体"/>
                <w:color w:val="000000"/>
                <w:sz w:val="21"/>
                <w:szCs w:val="21"/>
                <w:lang w:val="en-US" w:eastAsia="zh-CN"/>
              </w:rPr>
              <w:t>道路</w:t>
            </w:r>
            <w:r>
              <w:rPr>
                <w:rFonts w:ascii="宋体" w:hAnsi="宋体" w:eastAsia="宋体" w:cs="宋体"/>
                <w:color w:val="000000"/>
                <w:sz w:val="21"/>
                <w:szCs w:val="21"/>
              </w:rPr>
              <w:t>区域占用面积</w:t>
            </w:r>
          </w:p>
        </w:tc>
        <w:tc>
          <w:tcPr>
            <w:tcW w:w="141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14:paraId="417C37C8">
            <w:pPr>
              <w:widowControl w:val="0"/>
              <w:snapToGrid/>
              <w:spacing w:before="0" w:after="0" w:line="240" w:lineRule="auto"/>
              <w:jc w:val="center"/>
              <w:rPr>
                <w:rFonts w:ascii="宋体" w:hAnsi="宋体" w:eastAsia="宋体" w:cs="宋体"/>
                <w:color w:val="000000"/>
                <w:sz w:val="21"/>
                <w:szCs w:val="21"/>
              </w:rPr>
            </w:pPr>
            <w:r>
              <w:rPr>
                <w:rFonts w:ascii="宋体" w:hAnsi="宋体" w:eastAsia="宋体" w:cs="宋体"/>
                <w:i w:val="0"/>
                <w:strike w:val="0"/>
                <w:color w:val="000000"/>
                <w:spacing w:val="0"/>
                <w:sz w:val="21"/>
                <w:szCs w:val="21"/>
                <w:u w:val="none"/>
                <w:vertAlign w:val="baseline"/>
              </w:rPr>
              <w:t>㎡</w:t>
            </w:r>
          </w:p>
        </w:tc>
        <w:tc>
          <w:tcPr>
            <w:tcW w:w="150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14:paraId="7F6C5310">
            <w:pPr>
              <w:widowControl w:val="0"/>
              <w:snapToGrid/>
              <w:spacing w:before="0" w:after="0" w:line="240" w:lineRule="auto"/>
              <w:jc w:val="center"/>
              <w:rPr>
                <w:rFonts w:ascii="宋体" w:hAnsi="宋体" w:eastAsia="宋体" w:cs="宋体"/>
                <w:color w:val="000000"/>
                <w:sz w:val="21"/>
                <w:szCs w:val="21"/>
              </w:rPr>
            </w:pPr>
            <w:r>
              <w:rPr>
                <w:rFonts w:ascii="宋体" w:hAnsi="宋体" w:eastAsia="宋体" w:cs="宋体"/>
                <w:i w:val="0"/>
                <w:strike w:val="0"/>
                <w:color w:val="000000"/>
                <w:spacing w:val="0"/>
                <w:sz w:val="21"/>
                <w:szCs w:val="21"/>
                <w:u w:val="none"/>
              </w:rPr>
              <w:t>12267.68</w:t>
            </w:r>
          </w:p>
        </w:tc>
        <w:tc>
          <w:tcPr>
            <w:tcW w:w="19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14:paraId="44CE533F">
            <w:pPr>
              <w:widowControl w:val="0"/>
              <w:snapToGrid/>
              <w:spacing w:before="0" w:after="0" w:line="240" w:lineRule="auto"/>
              <w:jc w:val="center"/>
              <w:rPr>
                <w:rFonts w:ascii="宋体" w:hAnsi="宋体" w:eastAsia="宋体" w:cs="宋体"/>
                <w:color w:val="000000"/>
                <w:sz w:val="21"/>
                <w:szCs w:val="21"/>
              </w:rPr>
            </w:pPr>
            <w:r>
              <w:rPr>
                <w:rFonts w:ascii="宋体" w:hAnsi="宋体" w:eastAsia="宋体" w:cs="宋体"/>
                <w:color w:val="000000"/>
                <w:sz w:val="21"/>
                <w:szCs w:val="21"/>
              </w:rPr>
              <w:t>每MW占用空闲区域面积约7000</w:t>
            </w:r>
            <w:r>
              <w:rPr>
                <w:rFonts w:ascii="宋体" w:hAnsi="宋体" w:eastAsia="宋体" w:cs="宋体"/>
                <w:i w:val="0"/>
                <w:strike w:val="0"/>
                <w:color w:val="000000"/>
                <w:spacing w:val="0"/>
                <w:sz w:val="21"/>
                <w:szCs w:val="21"/>
                <w:u w:val="none"/>
                <w:vertAlign w:val="baseline"/>
              </w:rPr>
              <w:t>㎡</w:t>
            </w:r>
          </w:p>
        </w:tc>
      </w:tr>
    </w:tbl>
    <w:p w14:paraId="0E24738C">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1.1.6 建设工期</w:t>
      </w:r>
    </w:p>
    <w:p w14:paraId="7B6C63F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本项目建设期为0.5年（含建设期准备工作），计划2026年6月开工，预计2026年12月竣工。其中，建设期第0.5年开始运营。</w:t>
      </w:r>
    </w:p>
    <w:p w14:paraId="67A31DB1">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1.1.7 投资规模和资金来源</w:t>
      </w:r>
    </w:p>
    <w:p w14:paraId="5605611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总投资8767.59万元，其中项目工程费用7902.57万元，占总投资的90.13%；工程建设其它费用372.52万元，占总投资的4.25%；预备费413.75万元，占总投资的4.72%；建设期利息78.75万元，占总投资的0.90%。项目投资构成如下表所示:</w:t>
      </w:r>
    </w:p>
    <w:p w14:paraId="126D7C9A">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rPr>
        <w:t>项目投资构成一览表</w:t>
      </w:r>
    </w:p>
    <w:tbl>
      <w:tblPr>
        <w:tblStyle w:val="17"/>
        <w:tblW w:w="0" w:type="auto"/>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
      <w:tblGrid>
        <w:gridCol w:w="885"/>
        <w:gridCol w:w="2985"/>
        <w:gridCol w:w="2644"/>
        <w:gridCol w:w="2005"/>
      </w:tblGrid>
      <w:tr w14:paraId="2A0DC0CD">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18" w:hRule="atLeast"/>
          <w:tblHeader/>
          <w:jc w:val="center"/>
        </w:trPr>
        <w:tc>
          <w:tcPr>
            <w:tcW w:w="885" w:type="dxa"/>
            <w:tcBorders>
              <w:tl2br w:val="nil"/>
              <w:tr2bl w:val="nil"/>
            </w:tcBorders>
            <w:tcMar>
              <w:top w:w="0" w:type="dxa"/>
              <w:left w:w="108" w:type="dxa"/>
              <w:bottom w:w="0" w:type="dxa"/>
              <w:right w:w="108" w:type="dxa"/>
            </w:tcMar>
            <w:vAlign w:val="center"/>
          </w:tcPr>
          <w:p w14:paraId="0214CBCD">
            <w:pPr>
              <w:widowControl w:val="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2985" w:type="dxa"/>
            <w:tcBorders>
              <w:tl2br w:val="nil"/>
              <w:tr2bl w:val="nil"/>
            </w:tcBorders>
            <w:tcMar>
              <w:top w:w="0" w:type="dxa"/>
              <w:left w:w="108" w:type="dxa"/>
              <w:bottom w:w="0" w:type="dxa"/>
              <w:right w:w="108" w:type="dxa"/>
            </w:tcMar>
            <w:vAlign w:val="center"/>
          </w:tcPr>
          <w:p w14:paraId="1F1C18F2">
            <w:pPr>
              <w:widowControl w:val="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工程或费用名称</w:t>
            </w:r>
          </w:p>
        </w:tc>
        <w:tc>
          <w:tcPr>
            <w:tcW w:w="2644" w:type="dxa"/>
            <w:tcBorders>
              <w:tl2br w:val="nil"/>
              <w:tr2bl w:val="nil"/>
            </w:tcBorders>
            <w:tcMar>
              <w:top w:w="0" w:type="dxa"/>
              <w:left w:w="108" w:type="dxa"/>
              <w:bottom w:w="0" w:type="dxa"/>
              <w:right w:w="108" w:type="dxa"/>
            </w:tcMar>
            <w:vAlign w:val="center"/>
          </w:tcPr>
          <w:p w14:paraId="513710BE">
            <w:pPr>
              <w:widowControl w:val="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投资额</w:t>
            </w:r>
          </w:p>
        </w:tc>
        <w:tc>
          <w:tcPr>
            <w:tcW w:w="2005" w:type="dxa"/>
            <w:tcBorders>
              <w:tl2br w:val="nil"/>
              <w:tr2bl w:val="nil"/>
            </w:tcBorders>
            <w:tcMar>
              <w:top w:w="0" w:type="dxa"/>
              <w:left w:w="108" w:type="dxa"/>
              <w:bottom w:w="0" w:type="dxa"/>
              <w:right w:w="108" w:type="dxa"/>
            </w:tcMar>
            <w:vAlign w:val="center"/>
          </w:tcPr>
          <w:p w14:paraId="5748AE6A">
            <w:pPr>
              <w:widowControl w:val="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比例（%）</w:t>
            </w:r>
          </w:p>
        </w:tc>
      </w:tr>
      <w:tr w14:paraId="1C9909D3">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504" w:hRule="atLeast"/>
          <w:jc w:val="center"/>
        </w:trPr>
        <w:tc>
          <w:tcPr>
            <w:tcW w:w="885" w:type="dxa"/>
            <w:tcBorders>
              <w:tl2br w:val="nil"/>
              <w:tr2bl w:val="nil"/>
            </w:tcBorders>
            <w:tcMar>
              <w:top w:w="0" w:type="dxa"/>
              <w:left w:w="108" w:type="dxa"/>
              <w:bottom w:w="0" w:type="dxa"/>
              <w:right w:w="108" w:type="dxa"/>
            </w:tcMar>
            <w:vAlign w:val="center"/>
          </w:tcPr>
          <w:p w14:paraId="08CEDEA8">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一</w:t>
            </w:r>
          </w:p>
        </w:tc>
        <w:tc>
          <w:tcPr>
            <w:tcW w:w="2985" w:type="dxa"/>
            <w:tcBorders>
              <w:tl2br w:val="nil"/>
              <w:tr2bl w:val="nil"/>
            </w:tcBorders>
            <w:tcMar>
              <w:top w:w="0" w:type="dxa"/>
              <w:left w:w="108" w:type="dxa"/>
              <w:bottom w:w="0" w:type="dxa"/>
              <w:right w:w="108" w:type="dxa"/>
            </w:tcMar>
            <w:vAlign w:val="center"/>
          </w:tcPr>
          <w:p w14:paraId="1421119F">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工程费用</w:t>
            </w:r>
          </w:p>
        </w:tc>
        <w:tc>
          <w:tcPr>
            <w:tcW w:w="2644" w:type="dxa"/>
            <w:tcBorders>
              <w:tl2br w:val="nil"/>
              <w:tr2bl w:val="nil"/>
            </w:tcBorders>
            <w:tcMar>
              <w:top w:w="0" w:type="dxa"/>
              <w:left w:w="108" w:type="dxa"/>
              <w:bottom w:w="0" w:type="dxa"/>
              <w:right w:w="108" w:type="dxa"/>
            </w:tcMar>
            <w:vAlign w:val="center"/>
          </w:tcPr>
          <w:p w14:paraId="3C0496FB">
            <w:pPr>
              <w:widowControl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7902.57</w:t>
            </w:r>
          </w:p>
        </w:tc>
        <w:tc>
          <w:tcPr>
            <w:tcW w:w="2005" w:type="dxa"/>
            <w:tcBorders>
              <w:tl2br w:val="nil"/>
              <w:tr2bl w:val="nil"/>
            </w:tcBorders>
            <w:tcMar>
              <w:top w:w="0" w:type="dxa"/>
              <w:left w:w="108" w:type="dxa"/>
              <w:bottom w:w="0" w:type="dxa"/>
              <w:right w:w="108" w:type="dxa"/>
            </w:tcMar>
            <w:vAlign w:val="center"/>
          </w:tcPr>
          <w:p w14:paraId="2E7C87D8">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90.13</w:t>
            </w:r>
            <w:r>
              <w:rPr>
                <w:rFonts w:hint="eastAsia" w:ascii="宋体" w:hAnsi="宋体" w:eastAsia="宋体" w:cs="宋体"/>
                <w:color w:val="auto"/>
                <w:sz w:val="21"/>
                <w:szCs w:val="21"/>
              </w:rPr>
              <w:t>%</w:t>
            </w:r>
          </w:p>
        </w:tc>
      </w:tr>
      <w:tr w14:paraId="7D0407DA">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530" w:hRule="atLeast"/>
          <w:jc w:val="center"/>
        </w:trPr>
        <w:tc>
          <w:tcPr>
            <w:tcW w:w="885" w:type="dxa"/>
            <w:tcBorders>
              <w:tl2br w:val="nil"/>
              <w:tr2bl w:val="nil"/>
            </w:tcBorders>
            <w:tcMar>
              <w:top w:w="0" w:type="dxa"/>
              <w:left w:w="108" w:type="dxa"/>
              <w:bottom w:w="0" w:type="dxa"/>
              <w:right w:w="108" w:type="dxa"/>
            </w:tcMar>
            <w:vAlign w:val="center"/>
          </w:tcPr>
          <w:p w14:paraId="52D072BB">
            <w:pPr>
              <w:widowControl w:val="0"/>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1</w:t>
            </w:r>
          </w:p>
        </w:tc>
        <w:tc>
          <w:tcPr>
            <w:tcW w:w="2985" w:type="dxa"/>
            <w:tcBorders>
              <w:tl2br w:val="nil"/>
              <w:tr2bl w:val="nil"/>
            </w:tcBorders>
            <w:tcMar>
              <w:top w:w="0" w:type="dxa"/>
              <w:left w:w="108" w:type="dxa"/>
              <w:bottom w:w="0" w:type="dxa"/>
              <w:right w:w="108" w:type="dxa"/>
            </w:tcMar>
            <w:vAlign w:val="center"/>
          </w:tcPr>
          <w:p w14:paraId="31DE45CF">
            <w:pPr>
              <w:widowControl w:val="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光伏设备工程</w:t>
            </w:r>
          </w:p>
        </w:tc>
        <w:tc>
          <w:tcPr>
            <w:tcW w:w="2644" w:type="dxa"/>
            <w:tcBorders>
              <w:tl2br w:val="nil"/>
              <w:tr2bl w:val="nil"/>
            </w:tcBorders>
            <w:tcMar>
              <w:top w:w="0" w:type="dxa"/>
              <w:left w:w="108" w:type="dxa"/>
              <w:bottom w:w="0" w:type="dxa"/>
              <w:right w:w="108" w:type="dxa"/>
            </w:tcMar>
            <w:vAlign w:val="center"/>
          </w:tcPr>
          <w:p w14:paraId="3DF0CEE0">
            <w:pPr>
              <w:widowControl w:val="0"/>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1708.65</w:t>
            </w:r>
          </w:p>
        </w:tc>
        <w:tc>
          <w:tcPr>
            <w:tcW w:w="2005" w:type="dxa"/>
            <w:tcBorders>
              <w:tl2br w:val="nil"/>
              <w:tr2bl w:val="nil"/>
            </w:tcBorders>
            <w:tcMar>
              <w:top w:w="0" w:type="dxa"/>
              <w:left w:w="108" w:type="dxa"/>
              <w:bottom w:w="0" w:type="dxa"/>
              <w:right w:w="108" w:type="dxa"/>
            </w:tcMar>
            <w:vAlign w:val="center"/>
          </w:tcPr>
          <w:p w14:paraId="6A84C32F">
            <w:pPr>
              <w:widowControl w:val="0"/>
              <w:jc w:val="center"/>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19.48%</w:t>
            </w:r>
          </w:p>
        </w:tc>
      </w:tr>
      <w:tr w14:paraId="1868E28B">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530" w:hRule="atLeast"/>
          <w:jc w:val="center"/>
        </w:trPr>
        <w:tc>
          <w:tcPr>
            <w:tcW w:w="885" w:type="dxa"/>
            <w:tcBorders>
              <w:tl2br w:val="nil"/>
              <w:tr2bl w:val="nil"/>
            </w:tcBorders>
            <w:tcMar>
              <w:top w:w="0" w:type="dxa"/>
              <w:left w:w="108" w:type="dxa"/>
              <w:bottom w:w="0" w:type="dxa"/>
              <w:right w:w="108" w:type="dxa"/>
            </w:tcMar>
            <w:vAlign w:val="center"/>
          </w:tcPr>
          <w:p w14:paraId="0A816294">
            <w:pPr>
              <w:widowControl w:val="0"/>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2</w:t>
            </w:r>
          </w:p>
        </w:tc>
        <w:tc>
          <w:tcPr>
            <w:tcW w:w="2985" w:type="dxa"/>
            <w:tcBorders>
              <w:tl2br w:val="nil"/>
              <w:tr2bl w:val="nil"/>
            </w:tcBorders>
            <w:tcMar>
              <w:top w:w="0" w:type="dxa"/>
              <w:left w:w="108" w:type="dxa"/>
              <w:bottom w:w="0" w:type="dxa"/>
              <w:right w:w="108" w:type="dxa"/>
            </w:tcMar>
            <w:vAlign w:val="center"/>
          </w:tcPr>
          <w:p w14:paraId="4940B0B6">
            <w:pPr>
              <w:widowControl w:val="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储能设备工程</w:t>
            </w:r>
          </w:p>
        </w:tc>
        <w:tc>
          <w:tcPr>
            <w:tcW w:w="2644" w:type="dxa"/>
            <w:tcBorders>
              <w:tl2br w:val="nil"/>
              <w:tr2bl w:val="nil"/>
            </w:tcBorders>
            <w:tcMar>
              <w:top w:w="0" w:type="dxa"/>
              <w:left w:w="108" w:type="dxa"/>
              <w:bottom w:w="0" w:type="dxa"/>
              <w:right w:w="108" w:type="dxa"/>
            </w:tcMar>
            <w:vAlign w:val="center"/>
          </w:tcPr>
          <w:p w14:paraId="6EFBF70E">
            <w:pPr>
              <w:widowControl w:val="0"/>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5099.70</w:t>
            </w:r>
          </w:p>
        </w:tc>
        <w:tc>
          <w:tcPr>
            <w:tcW w:w="2005" w:type="dxa"/>
            <w:tcBorders>
              <w:tl2br w:val="nil"/>
              <w:tr2bl w:val="nil"/>
            </w:tcBorders>
            <w:tcMar>
              <w:top w:w="0" w:type="dxa"/>
              <w:left w:w="108" w:type="dxa"/>
              <w:bottom w:w="0" w:type="dxa"/>
              <w:right w:w="108" w:type="dxa"/>
            </w:tcMar>
            <w:vAlign w:val="center"/>
          </w:tcPr>
          <w:p w14:paraId="673828C2">
            <w:pPr>
              <w:widowControl w:val="0"/>
              <w:jc w:val="center"/>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58.16%</w:t>
            </w:r>
          </w:p>
        </w:tc>
      </w:tr>
      <w:tr w14:paraId="78397212">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530" w:hRule="atLeast"/>
          <w:jc w:val="center"/>
        </w:trPr>
        <w:tc>
          <w:tcPr>
            <w:tcW w:w="885" w:type="dxa"/>
            <w:tcBorders>
              <w:tl2br w:val="nil"/>
              <w:tr2bl w:val="nil"/>
            </w:tcBorders>
            <w:tcMar>
              <w:top w:w="0" w:type="dxa"/>
              <w:left w:w="108" w:type="dxa"/>
              <w:bottom w:w="0" w:type="dxa"/>
              <w:right w:w="108" w:type="dxa"/>
            </w:tcMar>
            <w:vAlign w:val="center"/>
          </w:tcPr>
          <w:p w14:paraId="5D2B91AC">
            <w:pPr>
              <w:widowControl w:val="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w:t>
            </w:r>
          </w:p>
        </w:tc>
        <w:tc>
          <w:tcPr>
            <w:tcW w:w="2985" w:type="dxa"/>
            <w:tcBorders>
              <w:tl2br w:val="nil"/>
              <w:tr2bl w:val="nil"/>
            </w:tcBorders>
            <w:tcMar>
              <w:top w:w="0" w:type="dxa"/>
              <w:left w:w="108" w:type="dxa"/>
              <w:bottom w:w="0" w:type="dxa"/>
              <w:right w:w="108" w:type="dxa"/>
            </w:tcMar>
            <w:vAlign w:val="center"/>
          </w:tcPr>
          <w:p w14:paraId="7BC0325C">
            <w:pPr>
              <w:widowControl w:val="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园区配套工程</w:t>
            </w:r>
          </w:p>
        </w:tc>
        <w:tc>
          <w:tcPr>
            <w:tcW w:w="2644" w:type="dxa"/>
            <w:tcBorders>
              <w:tl2br w:val="nil"/>
              <w:tr2bl w:val="nil"/>
            </w:tcBorders>
            <w:tcMar>
              <w:top w:w="0" w:type="dxa"/>
              <w:left w:w="108" w:type="dxa"/>
              <w:bottom w:w="0" w:type="dxa"/>
              <w:right w:w="108" w:type="dxa"/>
            </w:tcMar>
            <w:vAlign w:val="center"/>
          </w:tcPr>
          <w:p w14:paraId="036DA460">
            <w:pPr>
              <w:widowControl w:val="0"/>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1094.22</w:t>
            </w:r>
          </w:p>
        </w:tc>
        <w:tc>
          <w:tcPr>
            <w:tcW w:w="2005" w:type="dxa"/>
            <w:tcBorders>
              <w:tl2br w:val="nil"/>
              <w:tr2bl w:val="nil"/>
            </w:tcBorders>
            <w:tcMar>
              <w:top w:w="0" w:type="dxa"/>
              <w:left w:w="108" w:type="dxa"/>
              <w:bottom w:w="0" w:type="dxa"/>
              <w:right w:w="108" w:type="dxa"/>
            </w:tcMar>
            <w:vAlign w:val="center"/>
          </w:tcPr>
          <w:p w14:paraId="1FE892CC">
            <w:pPr>
              <w:widowControl w:val="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12.48%</w:t>
            </w:r>
          </w:p>
        </w:tc>
      </w:tr>
      <w:tr w14:paraId="77307EB1">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530" w:hRule="atLeast"/>
          <w:jc w:val="center"/>
        </w:trPr>
        <w:tc>
          <w:tcPr>
            <w:tcW w:w="885" w:type="dxa"/>
            <w:tcBorders>
              <w:tl2br w:val="nil"/>
              <w:tr2bl w:val="nil"/>
            </w:tcBorders>
            <w:tcMar>
              <w:top w:w="0" w:type="dxa"/>
              <w:left w:w="108" w:type="dxa"/>
              <w:bottom w:w="0" w:type="dxa"/>
              <w:right w:w="108" w:type="dxa"/>
            </w:tcMar>
            <w:vAlign w:val="center"/>
          </w:tcPr>
          <w:p w14:paraId="7B9653DC">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二</w:t>
            </w:r>
          </w:p>
        </w:tc>
        <w:tc>
          <w:tcPr>
            <w:tcW w:w="2985" w:type="dxa"/>
            <w:tcBorders>
              <w:tl2br w:val="nil"/>
              <w:tr2bl w:val="nil"/>
            </w:tcBorders>
            <w:tcMar>
              <w:top w:w="0" w:type="dxa"/>
              <w:left w:w="108" w:type="dxa"/>
              <w:bottom w:w="0" w:type="dxa"/>
              <w:right w:w="108" w:type="dxa"/>
            </w:tcMar>
            <w:vAlign w:val="center"/>
          </w:tcPr>
          <w:p w14:paraId="3545FCC0">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工程建设其他费用</w:t>
            </w:r>
          </w:p>
        </w:tc>
        <w:tc>
          <w:tcPr>
            <w:tcW w:w="2644" w:type="dxa"/>
            <w:tcBorders>
              <w:tl2br w:val="nil"/>
              <w:tr2bl w:val="nil"/>
            </w:tcBorders>
            <w:tcMar>
              <w:top w:w="0" w:type="dxa"/>
              <w:left w:w="108" w:type="dxa"/>
              <w:bottom w:w="0" w:type="dxa"/>
              <w:right w:w="108" w:type="dxa"/>
            </w:tcMar>
            <w:vAlign w:val="center"/>
          </w:tcPr>
          <w:p w14:paraId="173189B5">
            <w:pPr>
              <w:widowControl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372.52</w:t>
            </w:r>
          </w:p>
        </w:tc>
        <w:tc>
          <w:tcPr>
            <w:tcW w:w="2005" w:type="dxa"/>
            <w:tcBorders>
              <w:tl2br w:val="nil"/>
              <w:tr2bl w:val="nil"/>
            </w:tcBorders>
            <w:tcMar>
              <w:top w:w="0" w:type="dxa"/>
              <w:left w:w="108" w:type="dxa"/>
              <w:bottom w:w="0" w:type="dxa"/>
              <w:right w:w="108" w:type="dxa"/>
            </w:tcMar>
            <w:vAlign w:val="center"/>
          </w:tcPr>
          <w:p w14:paraId="751DC485">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4.25</w:t>
            </w:r>
            <w:r>
              <w:rPr>
                <w:rFonts w:hint="eastAsia" w:ascii="宋体" w:hAnsi="宋体" w:eastAsia="宋体" w:cs="宋体"/>
                <w:color w:val="auto"/>
                <w:sz w:val="21"/>
                <w:szCs w:val="21"/>
              </w:rPr>
              <w:t>%</w:t>
            </w:r>
          </w:p>
        </w:tc>
      </w:tr>
      <w:tr w14:paraId="60B66740">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530" w:hRule="atLeast"/>
          <w:jc w:val="center"/>
        </w:trPr>
        <w:tc>
          <w:tcPr>
            <w:tcW w:w="885" w:type="dxa"/>
            <w:tcBorders>
              <w:tl2br w:val="nil"/>
              <w:tr2bl w:val="nil"/>
            </w:tcBorders>
            <w:tcMar>
              <w:top w:w="0" w:type="dxa"/>
              <w:left w:w="108" w:type="dxa"/>
              <w:bottom w:w="0" w:type="dxa"/>
              <w:right w:w="108" w:type="dxa"/>
            </w:tcMar>
            <w:vAlign w:val="center"/>
          </w:tcPr>
          <w:p w14:paraId="761C6F8C">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三</w:t>
            </w:r>
          </w:p>
        </w:tc>
        <w:tc>
          <w:tcPr>
            <w:tcW w:w="2985" w:type="dxa"/>
            <w:tcBorders>
              <w:tl2br w:val="nil"/>
              <w:tr2bl w:val="nil"/>
            </w:tcBorders>
            <w:tcMar>
              <w:top w:w="0" w:type="dxa"/>
              <w:left w:w="108" w:type="dxa"/>
              <w:bottom w:w="0" w:type="dxa"/>
              <w:right w:w="108" w:type="dxa"/>
            </w:tcMar>
            <w:vAlign w:val="center"/>
          </w:tcPr>
          <w:p w14:paraId="4B1E0FC3">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预备费</w:t>
            </w:r>
          </w:p>
        </w:tc>
        <w:tc>
          <w:tcPr>
            <w:tcW w:w="2644" w:type="dxa"/>
            <w:tcBorders>
              <w:tl2br w:val="nil"/>
              <w:tr2bl w:val="nil"/>
            </w:tcBorders>
            <w:tcMar>
              <w:top w:w="0" w:type="dxa"/>
              <w:left w:w="108" w:type="dxa"/>
              <w:bottom w:w="0" w:type="dxa"/>
              <w:right w:w="108" w:type="dxa"/>
            </w:tcMar>
            <w:vAlign w:val="center"/>
          </w:tcPr>
          <w:p w14:paraId="0B039786">
            <w:pPr>
              <w:widowControl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413.75</w:t>
            </w:r>
          </w:p>
        </w:tc>
        <w:tc>
          <w:tcPr>
            <w:tcW w:w="2005" w:type="dxa"/>
            <w:tcBorders>
              <w:tl2br w:val="nil"/>
              <w:tr2bl w:val="nil"/>
            </w:tcBorders>
            <w:tcMar>
              <w:top w:w="0" w:type="dxa"/>
              <w:left w:w="108" w:type="dxa"/>
              <w:bottom w:w="0" w:type="dxa"/>
              <w:right w:w="108" w:type="dxa"/>
            </w:tcMar>
            <w:vAlign w:val="center"/>
          </w:tcPr>
          <w:p w14:paraId="07D58638">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4.72</w:t>
            </w:r>
            <w:r>
              <w:rPr>
                <w:rFonts w:hint="eastAsia" w:ascii="宋体" w:hAnsi="宋体" w:eastAsia="宋体" w:cs="宋体"/>
                <w:color w:val="auto"/>
                <w:sz w:val="21"/>
                <w:szCs w:val="21"/>
              </w:rPr>
              <w:t>%</w:t>
            </w:r>
          </w:p>
        </w:tc>
      </w:tr>
      <w:tr w14:paraId="673AC3DE">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530" w:hRule="atLeast"/>
          <w:jc w:val="center"/>
        </w:trPr>
        <w:tc>
          <w:tcPr>
            <w:tcW w:w="885" w:type="dxa"/>
            <w:tcBorders>
              <w:tl2br w:val="nil"/>
              <w:tr2bl w:val="nil"/>
            </w:tcBorders>
            <w:tcMar>
              <w:top w:w="0" w:type="dxa"/>
              <w:left w:w="108" w:type="dxa"/>
              <w:bottom w:w="0" w:type="dxa"/>
              <w:right w:w="108" w:type="dxa"/>
            </w:tcMar>
            <w:vAlign w:val="center"/>
          </w:tcPr>
          <w:p w14:paraId="34E660A2">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四</w:t>
            </w:r>
          </w:p>
        </w:tc>
        <w:tc>
          <w:tcPr>
            <w:tcW w:w="2985" w:type="dxa"/>
            <w:tcBorders>
              <w:tl2br w:val="nil"/>
              <w:tr2bl w:val="nil"/>
            </w:tcBorders>
            <w:tcMar>
              <w:top w:w="0" w:type="dxa"/>
              <w:left w:w="108" w:type="dxa"/>
              <w:bottom w:w="0" w:type="dxa"/>
              <w:right w:w="108" w:type="dxa"/>
            </w:tcMar>
            <w:vAlign w:val="center"/>
          </w:tcPr>
          <w:p w14:paraId="207AFA70">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建设期利息</w:t>
            </w:r>
          </w:p>
        </w:tc>
        <w:tc>
          <w:tcPr>
            <w:tcW w:w="2644" w:type="dxa"/>
            <w:tcBorders>
              <w:tl2br w:val="nil"/>
              <w:tr2bl w:val="nil"/>
            </w:tcBorders>
            <w:tcMar>
              <w:top w:w="0" w:type="dxa"/>
              <w:left w:w="108" w:type="dxa"/>
              <w:bottom w:w="0" w:type="dxa"/>
              <w:right w:w="108" w:type="dxa"/>
            </w:tcMar>
            <w:vAlign w:val="center"/>
          </w:tcPr>
          <w:p w14:paraId="22D7F17F">
            <w:pPr>
              <w:widowControl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78.75</w:t>
            </w:r>
          </w:p>
        </w:tc>
        <w:tc>
          <w:tcPr>
            <w:tcW w:w="2005" w:type="dxa"/>
            <w:tcBorders>
              <w:tl2br w:val="nil"/>
              <w:tr2bl w:val="nil"/>
            </w:tcBorders>
            <w:tcMar>
              <w:top w:w="0" w:type="dxa"/>
              <w:left w:w="108" w:type="dxa"/>
              <w:bottom w:w="0" w:type="dxa"/>
              <w:right w:w="108" w:type="dxa"/>
            </w:tcMar>
            <w:vAlign w:val="center"/>
          </w:tcPr>
          <w:p w14:paraId="38E682FE">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0.90</w:t>
            </w:r>
            <w:r>
              <w:rPr>
                <w:rFonts w:hint="eastAsia" w:ascii="宋体" w:hAnsi="宋体" w:eastAsia="宋体" w:cs="宋体"/>
                <w:color w:val="auto"/>
                <w:sz w:val="21"/>
                <w:szCs w:val="21"/>
              </w:rPr>
              <w:t>%</w:t>
            </w:r>
          </w:p>
        </w:tc>
      </w:tr>
      <w:tr w14:paraId="51CF1598">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530" w:hRule="atLeast"/>
          <w:jc w:val="center"/>
        </w:trPr>
        <w:tc>
          <w:tcPr>
            <w:tcW w:w="885" w:type="dxa"/>
            <w:tcBorders>
              <w:tl2br w:val="nil"/>
              <w:tr2bl w:val="nil"/>
            </w:tcBorders>
            <w:tcMar>
              <w:top w:w="0" w:type="dxa"/>
              <w:left w:w="108" w:type="dxa"/>
              <w:bottom w:w="0" w:type="dxa"/>
              <w:right w:w="108" w:type="dxa"/>
            </w:tcMar>
            <w:vAlign w:val="center"/>
          </w:tcPr>
          <w:p w14:paraId="57070D3D">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五</w:t>
            </w:r>
          </w:p>
        </w:tc>
        <w:tc>
          <w:tcPr>
            <w:tcW w:w="2985" w:type="dxa"/>
            <w:tcBorders>
              <w:tl2br w:val="nil"/>
              <w:tr2bl w:val="nil"/>
            </w:tcBorders>
            <w:tcMar>
              <w:top w:w="0" w:type="dxa"/>
              <w:left w:w="108" w:type="dxa"/>
              <w:bottom w:w="0" w:type="dxa"/>
              <w:right w:w="108" w:type="dxa"/>
            </w:tcMar>
            <w:vAlign w:val="center"/>
          </w:tcPr>
          <w:p w14:paraId="4B775170">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固定资产投资</w:t>
            </w:r>
          </w:p>
        </w:tc>
        <w:tc>
          <w:tcPr>
            <w:tcW w:w="2644" w:type="dxa"/>
            <w:tcBorders>
              <w:tl2br w:val="nil"/>
              <w:tr2bl w:val="nil"/>
            </w:tcBorders>
            <w:tcMar>
              <w:top w:w="0" w:type="dxa"/>
              <w:left w:w="108" w:type="dxa"/>
              <w:bottom w:w="0" w:type="dxa"/>
              <w:right w:w="108" w:type="dxa"/>
            </w:tcMar>
            <w:vAlign w:val="center"/>
          </w:tcPr>
          <w:p w14:paraId="45AA9DEF">
            <w:pPr>
              <w:widowControl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8767.59</w:t>
            </w:r>
          </w:p>
        </w:tc>
        <w:tc>
          <w:tcPr>
            <w:tcW w:w="2005" w:type="dxa"/>
            <w:tcBorders>
              <w:tl2br w:val="nil"/>
              <w:tr2bl w:val="nil"/>
            </w:tcBorders>
            <w:tcMar>
              <w:top w:w="0" w:type="dxa"/>
              <w:left w:w="108" w:type="dxa"/>
              <w:bottom w:w="0" w:type="dxa"/>
              <w:right w:w="108" w:type="dxa"/>
            </w:tcMar>
            <w:vAlign w:val="center"/>
          </w:tcPr>
          <w:p w14:paraId="17AF6350">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100.00%</w:t>
            </w:r>
          </w:p>
        </w:tc>
      </w:tr>
      <w:tr w14:paraId="795647C3">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476" w:hRule="atLeast"/>
          <w:jc w:val="center"/>
        </w:trPr>
        <w:tc>
          <w:tcPr>
            <w:tcW w:w="885" w:type="dxa"/>
            <w:tcBorders>
              <w:tl2br w:val="nil"/>
              <w:tr2bl w:val="nil"/>
            </w:tcBorders>
            <w:tcMar>
              <w:top w:w="0" w:type="dxa"/>
              <w:left w:w="108" w:type="dxa"/>
              <w:bottom w:w="0" w:type="dxa"/>
              <w:right w:w="108" w:type="dxa"/>
            </w:tcMar>
            <w:vAlign w:val="center"/>
          </w:tcPr>
          <w:p w14:paraId="36D89A6E">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六</w:t>
            </w:r>
          </w:p>
        </w:tc>
        <w:tc>
          <w:tcPr>
            <w:tcW w:w="2985" w:type="dxa"/>
            <w:tcBorders>
              <w:tl2br w:val="nil"/>
              <w:tr2bl w:val="nil"/>
            </w:tcBorders>
            <w:tcMar>
              <w:top w:w="0" w:type="dxa"/>
              <w:left w:w="108" w:type="dxa"/>
              <w:bottom w:w="0" w:type="dxa"/>
              <w:right w:w="108" w:type="dxa"/>
            </w:tcMar>
            <w:vAlign w:val="center"/>
          </w:tcPr>
          <w:p w14:paraId="6B00A024">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项目总投资</w:t>
            </w:r>
          </w:p>
        </w:tc>
        <w:tc>
          <w:tcPr>
            <w:tcW w:w="2644" w:type="dxa"/>
            <w:tcBorders>
              <w:tl2br w:val="nil"/>
              <w:tr2bl w:val="nil"/>
            </w:tcBorders>
            <w:tcMar>
              <w:top w:w="0" w:type="dxa"/>
              <w:left w:w="108" w:type="dxa"/>
              <w:bottom w:w="0" w:type="dxa"/>
              <w:right w:w="108" w:type="dxa"/>
            </w:tcMar>
            <w:vAlign w:val="center"/>
          </w:tcPr>
          <w:p w14:paraId="3799EEF4">
            <w:pPr>
              <w:widowControl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8767.59</w:t>
            </w:r>
          </w:p>
        </w:tc>
        <w:tc>
          <w:tcPr>
            <w:tcW w:w="2005" w:type="dxa"/>
            <w:tcBorders>
              <w:tl2br w:val="nil"/>
              <w:tr2bl w:val="nil"/>
            </w:tcBorders>
            <w:tcMar>
              <w:top w:w="0" w:type="dxa"/>
              <w:left w:w="108" w:type="dxa"/>
              <w:bottom w:w="0" w:type="dxa"/>
              <w:right w:w="108" w:type="dxa"/>
            </w:tcMar>
            <w:vAlign w:val="center"/>
          </w:tcPr>
          <w:p w14:paraId="2AA1AE5F">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100.00%</w:t>
            </w:r>
          </w:p>
        </w:tc>
      </w:tr>
    </w:tbl>
    <w:p w14:paraId="78EF91C8">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在资金筹措方面，项目总投资由资本金和项目融资或其他债务性资金两部分构成，一是资本金1767.59万元，占总投资的20.16%，二是项目融资、企业自筹资金或者其他债务性资金7000.00万元，占总投资的79.84%。</w:t>
      </w:r>
    </w:p>
    <w:p w14:paraId="5EED8C79">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w:t>
      </w:r>
      <w:r>
        <w:rPr>
          <w:rFonts w:hint="eastAsia" w:ascii="宋体" w:hAnsi="宋体" w:eastAsia="宋体" w:cs="宋体"/>
          <w:b/>
          <w:bCs/>
          <w:sz w:val="28"/>
          <w:szCs w:val="28"/>
          <w:lang w:val="en-US" w:eastAsia="zh-CN"/>
        </w:rPr>
        <w:t>8</w:t>
      </w:r>
      <w:r>
        <w:rPr>
          <w:rFonts w:hint="eastAsia" w:ascii="宋体" w:hAnsi="宋体" w:eastAsia="宋体" w:cs="宋体"/>
          <w:b/>
          <w:bCs/>
          <w:sz w:val="28"/>
          <w:szCs w:val="28"/>
        </w:rPr>
        <w:t xml:space="preserve"> 项目定性</w:t>
      </w:r>
    </w:p>
    <w:p w14:paraId="03AEA581">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河南大成包装材料有限公司源网荷储一体化项目，是立足获嘉县产业集聚区创业孵化园区、服务工业企业绿色低碳转型的综合性新型能源项目，属于“源网荷储 + 电网侧储能 ”融合类项目，项目立足周边工业企业密集、用电负荷需求旺盛的实际，优先为河南大成包装材料有限公司供应清洁电力，同时依托周边数量众多的用电负荷企业实现绿电高效就近消纳，有效降低企业用电成本，减轻企业碳排放压力，推动区域工业用能向绿色低碳、高效节能方向转型。在功能与市场定位上，项目既是区域分布式新能源规模化开发利用的重要载体，也是电网侧储能深度参与电力市场交易的典型实践，储能系统可作为独立市场主体参与电力现货市场交易，通过峰谷电价差套利、提供调峰等辅助服务、获取容量电价补偿等方式实现多元化收益，保障项目可持续运营。项目具备清洁能源供给、电网调峰填谷、负荷稳定保障、绿色低碳示范等多重功能，既能提升区域新能源消纳水平、平抑电网峰谷波动、增强电网运行稳定性与供电可靠性，又全面契合国家关于源网荷储一体化发展、新型储能高质量发展及电力市场化改革的政策导向，对优化区域能源结构、助力工业领域节能降碳、完善地方绿色能源基础设施具有重要示范意义，致力于打造县域范围内产业集聚区域源网荷储一体化可复制、可推广的标杆项目。</w:t>
      </w:r>
    </w:p>
    <w:p w14:paraId="52D8EFF6">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w:t>
      </w:r>
      <w:r>
        <w:rPr>
          <w:rFonts w:hint="eastAsia" w:ascii="宋体" w:hAnsi="宋体" w:eastAsia="宋体" w:cs="宋体"/>
          <w:b/>
          <w:bCs/>
          <w:sz w:val="28"/>
          <w:szCs w:val="28"/>
          <w:lang w:val="en-US" w:eastAsia="zh-CN"/>
        </w:rPr>
        <w:t>9</w:t>
      </w:r>
      <w:r>
        <w:rPr>
          <w:rFonts w:hint="eastAsia" w:ascii="宋体" w:hAnsi="宋体" w:eastAsia="宋体" w:cs="宋体"/>
          <w:b/>
          <w:bCs/>
          <w:sz w:val="28"/>
          <w:szCs w:val="28"/>
        </w:rPr>
        <w:t xml:space="preserve"> 项目运营模式</w:t>
      </w:r>
    </w:p>
    <w:p w14:paraId="598C1D29">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本项目光伏发电系统采用源网荷储一体化就近消纳模式开展运营，依托获嘉县产业集聚区创业孵化园区工业厂房屋顶建设的 5956kW 分布式光伏电站，所发绿色电力优先直供河南大成包装材料有限公司生产使用。项目遵循 “自发自用、就近消纳” 的运行原则，通过优化配电接入与智能调度，实现光伏电力从发电端到企业负荷端的高效输送，最大限度减少电能传输损耗，提升清洁能源利用效率。由于项目周边用电负荷企业众多、工业用电需求稳定且持续，光伏出力可与企业生产用电时段高度匹配，有效保障大成包装稳定、可靠的电力供应，大幅降低其对传统市电的依赖，切实减轻企业用电成本压力。在运营过程中，项目通过实时监测企业用电负荷、光伏发电出力及电网运行状态，动态调整供电策略，确保绿电优先足额供给企业使用，既助力企业实现节能降碳、完成可再生能源消纳指标，也为项目形成稳定、可持续的基础收益来源，推动形成清洁电力就地生产、就地消费的良性循环，为区域工业企业绿色用能提供成熟可借鉴的运营范式。</w:t>
      </w:r>
    </w:p>
    <w:p w14:paraId="168ACA85">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本项目配套建设的 20MW/40MWh 储能设施采用电网侧独立储能业态模式运营，严格按照国家及河南省关于电力市场化改革、新型储能发展的相关政策文件要求，以独立市场主体身份全面参与电力市场交易，主要依据《关于推进电力源网荷储一体化和多能互补发展的指导意见》《关于加快推动新型储能发展的指导意见》《河南省新型储能参与电力市场交易实施方案》、发改价格〔2023〕114 号文件以及 《河南电力辅助服务市场交易细则》等政策规定，构建 “电能量市场 + 辅助服务市场 + 容量补偿机制” 的多元收益体系。根据发改价格〔2023〕114 号文件关于完善储能参与容量电价机制的相关要求，本项目电网侧储能可按规定纳入容量电价补偿范围，按核定有效容量获得稳定容量收益，为项目提供持续可靠的保底收入。同时依据《河南电力辅助服务市场交易细则》，储能电站可依规参与调峰、调频、备用等辅助服务交易，按照细则规定的报价机制、出清规则与补偿标准获取相应服务费用，进一步拓宽收益渠道。在具体运营中，储能系统依托电力现货市场价格信号，在用电低谷时段低价充电储存电能，在用电高峰时段高价放电获取峰谷价差收益；同时根据电网调度需求主动提供深度调峰、旋转备用等辅助服务，获取相应辅助服务补偿，并按照容量电价机制获得稳定的容量补偿费用，实现多渠道、多层次盈利。该运营模式充分发挥储能在新型电力系统中的调节支撑作用，既可平抑区域用电峰谷波动、提升光伏新能源消纳能力、保障电网安全稳定运行，又能通过市场化机制实现项目良性运营，真正落实源网荷储一体化协同发展要求，推动新型储能市场化、商业化、规模化发展，为项目整体经济效益、社会效益和电网安全效益协同提升提供坚实支撑。</w:t>
      </w:r>
    </w:p>
    <w:p w14:paraId="5E4AEAFF">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w:t>
      </w:r>
      <w:r>
        <w:rPr>
          <w:rFonts w:hint="eastAsia" w:ascii="宋体" w:hAnsi="宋体" w:eastAsia="宋体" w:cs="宋体"/>
          <w:b/>
          <w:bCs/>
          <w:sz w:val="28"/>
          <w:szCs w:val="28"/>
          <w:lang w:val="en-US" w:eastAsia="zh-CN"/>
        </w:rPr>
        <w:t>10</w:t>
      </w:r>
      <w:r>
        <w:rPr>
          <w:rFonts w:hint="eastAsia" w:ascii="宋体" w:hAnsi="宋体" w:eastAsia="宋体" w:cs="宋体"/>
          <w:b/>
          <w:bCs/>
          <w:sz w:val="28"/>
          <w:szCs w:val="28"/>
        </w:rPr>
        <w:t xml:space="preserve"> 主要经济技术指标</w:t>
      </w:r>
    </w:p>
    <w:p w14:paraId="2586580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主要经济技术指标一览表如下所示：</w:t>
      </w:r>
    </w:p>
    <w:p w14:paraId="6FA572ED">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jc w:val="center"/>
        <w:textAlignment w:val="baseline"/>
        <w:rPr>
          <w:rFonts w:hint="eastAsia" w:ascii="宋体" w:hAnsi="宋体" w:eastAsia="宋体" w:cs="宋体"/>
          <w:b/>
          <w:bCs/>
          <w:sz w:val="28"/>
          <w:szCs w:val="28"/>
        </w:rPr>
      </w:pPr>
      <w:bookmarkStart w:id="11" w:name="_Toc21351"/>
      <w:r>
        <w:rPr>
          <w:rFonts w:hint="eastAsia" w:ascii="宋体" w:hAnsi="宋体" w:eastAsia="宋体" w:cs="宋体"/>
          <w:b/>
          <w:bCs/>
          <w:sz w:val="28"/>
          <w:szCs w:val="28"/>
        </w:rPr>
        <w:t>主要经济技术指标一览表</w:t>
      </w:r>
      <w:bookmarkEnd w:id="11"/>
    </w:p>
    <w:tbl>
      <w:tblPr>
        <w:tblStyle w:val="17"/>
        <w:tblW w:w="0" w:type="auto"/>
        <w:tblInd w:w="0"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
      <w:tblGrid>
        <w:gridCol w:w="1209"/>
        <w:gridCol w:w="2856"/>
        <w:gridCol w:w="1380"/>
        <w:gridCol w:w="1335"/>
        <w:gridCol w:w="1290"/>
      </w:tblGrid>
      <w:tr w14:paraId="36B0656A">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533" w:hRule="atLeast"/>
          <w:tblHeader/>
        </w:trPr>
        <w:tc>
          <w:tcPr>
            <w:tcW w:w="1209" w:type="dxa"/>
            <w:tcBorders>
              <w:tl2br w:val="nil"/>
              <w:tr2bl w:val="nil"/>
            </w:tcBorders>
            <w:tcMar>
              <w:top w:w="0" w:type="dxa"/>
              <w:left w:w="0" w:type="dxa"/>
              <w:bottom w:w="0" w:type="dxa"/>
              <w:right w:w="0" w:type="dxa"/>
            </w:tcMar>
            <w:vAlign w:val="center"/>
          </w:tcPr>
          <w:p w14:paraId="41506746">
            <w:pPr>
              <w:widowControl w:val="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2856" w:type="dxa"/>
            <w:tcBorders>
              <w:tl2br w:val="nil"/>
              <w:tr2bl w:val="nil"/>
            </w:tcBorders>
            <w:tcMar>
              <w:top w:w="0" w:type="dxa"/>
              <w:left w:w="0" w:type="dxa"/>
              <w:bottom w:w="0" w:type="dxa"/>
              <w:right w:w="0" w:type="dxa"/>
            </w:tcMar>
            <w:vAlign w:val="center"/>
          </w:tcPr>
          <w:p w14:paraId="483F7B2F">
            <w:pPr>
              <w:widowControl w:val="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科目</w:t>
            </w:r>
          </w:p>
        </w:tc>
        <w:tc>
          <w:tcPr>
            <w:tcW w:w="1380" w:type="dxa"/>
            <w:tcBorders>
              <w:tl2br w:val="nil"/>
              <w:tr2bl w:val="nil"/>
            </w:tcBorders>
            <w:tcMar>
              <w:top w:w="0" w:type="dxa"/>
              <w:left w:w="0" w:type="dxa"/>
              <w:bottom w:w="0" w:type="dxa"/>
              <w:right w:w="0" w:type="dxa"/>
            </w:tcMar>
            <w:vAlign w:val="center"/>
          </w:tcPr>
          <w:p w14:paraId="05E0C22A">
            <w:pPr>
              <w:widowControl w:val="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单位</w:t>
            </w:r>
          </w:p>
        </w:tc>
        <w:tc>
          <w:tcPr>
            <w:tcW w:w="1335" w:type="dxa"/>
            <w:tcBorders>
              <w:tl2br w:val="nil"/>
              <w:tr2bl w:val="nil"/>
            </w:tcBorders>
            <w:tcMar>
              <w:top w:w="0" w:type="dxa"/>
              <w:left w:w="0" w:type="dxa"/>
              <w:bottom w:w="0" w:type="dxa"/>
              <w:right w:w="0" w:type="dxa"/>
            </w:tcMar>
            <w:vAlign w:val="center"/>
          </w:tcPr>
          <w:p w14:paraId="4ADFA5B1">
            <w:pPr>
              <w:widowControl w:val="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指标</w:t>
            </w:r>
          </w:p>
        </w:tc>
        <w:tc>
          <w:tcPr>
            <w:tcW w:w="1290" w:type="dxa"/>
            <w:tcBorders>
              <w:tl2br w:val="nil"/>
              <w:tr2bl w:val="nil"/>
            </w:tcBorders>
            <w:tcMar>
              <w:top w:w="0" w:type="dxa"/>
              <w:left w:w="0" w:type="dxa"/>
              <w:bottom w:w="0" w:type="dxa"/>
              <w:right w:w="0" w:type="dxa"/>
            </w:tcMar>
            <w:vAlign w:val="center"/>
          </w:tcPr>
          <w:p w14:paraId="179ECF83">
            <w:pPr>
              <w:widowControl w:val="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备注</w:t>
            </w:r>
          </w:p>
        </w:tc>
      </w:tr>
      <w:tr w14:paraId="13F826EC">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476" w:hRule="atLeast"/>
        </w:trPr>
        <w:tc>
          <w:tcPr>
            <w:tcW w:w="1209" w:type="dxa"/>
            <w:tcBorders>
              <w:tl2br w:val="nil"/>
              <w:tr2bl w:val="nil"/>
            </w:tcBorders>
            <w:tcMar>
              <w:top w:w="0" w:type="dxa"/>
              <w:left w:w="0" w:type="dxa"/>
              <w:bottom w:w="0" w:type="dxa"/>
              <w:right w:w="0" w:type="dxa"/>
            </w:tcMar>
            <w:vAlign w:val="center"/>
          </w:tcPr>
          <w:p w14:paraId="492C79DC">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856" w:type="dxa"/>
            <w:tcBorders>
              <w:tl2br w:val="nil"/>
              <w:tr2bl w:val="nil"/>
            </w:tcBorders>
            <w:tcMar>
              <w:top w:w="0" w:type="dxa"/>
              <w:left w:w="0" w:type="dxa"/>
              <w:bottom w:w="0" w:type="dxa"/>
              <w:right w:w="0" w:type="dxa"/>
            </w:tcMar>
            <w:vAlign w:val="center"/>
          </w:tcPr>
          <w:p w14:paraId="1A4BAB29">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项目规模总投资</w:t>
            </w:r>
          </w:p>
        </w:tc>
        <w:tc>
          <w:tcPr>
            <w:tcW w:w="1380" w:type="dxa"/>
            <w:tcBorders>
              <w:tl2br w:val="nil"/>
              <w:tr2bl w:val="nil"/>
            </w:tcBorders>
            <w:tcMar>
              <w:top w:w="0" w:type="dxa"/>
              <w:left w:w="0" w:type="dxa"/>
              <w:bottom w:w="0" w:type="dxa"/>
              <w:right w:w="0" w:type="dxa"/>
            </w:tcMar>
            <w:vAlign w:val="center"/>
          </w:tcPr>
          <w:p w14:paraId="4BAD8D2D">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14:paraId="39938F5F">
            <w:pPr>
              <w:keepNext w:val="0"/>
              <w:keepLines w:val="0"/>
              <w:widowControl/>
              <w:suppressLineNumbers w:val="0"/>
              <w:jc w:val="center"/>
              <w:textAlignment w:val="top"/>
              <w:rPr>
                <w:rFonts w:hint="eastAsia" w:ascii="宋体" w:hAnsi="宋体" w:eastAsia="宋体" w:cs="宋体"/>
                <w:b w:val="0"/>
                <w:bCs w:val="0"/>
                <w:i w:val="0"/>
                <w:iCs w:val="0"/>
                <w:snapToGrid w:val="0"/>
                <w:color w:val="auto"/>
                <w:kern w:val="0"/>
                <w:sz w:val="21"/>
                <w:szCs w:val="21"/>
                <w:u w:val="none"/>
                <w:lang w:val="en-US" w:eastAsia="zh-CN" w:bidi="ar-SA"/>
              </w:rPr>
            </w:pPr>
            <w:r>
              <w:rPr>
                <w:rFonts w:hint="eastAsia" w:ascii="宋体" w:hAnsi="宋体" w:eastAsia="宋体" w:cs="宋体"/>
                <w:b w:val="0"/>
                <w:bCs w:val="0"/>
                <w:i w:val="0"/>
                <w:iCs w:val="0"/>
                <w:snapToGrid w:val="0"/>
                <w:color w:val="auto"/>
                <w:kern w:val="0"/>
                <w:sz w:val="21"/>
                <w:szCs w:val="21"/>
                <w:u w:val="none"/>
                <w:lang w:val="en-US" w:eastAsia="zh-CN" w:bidi="ar"/>
              </w:rPr>
              <w:t>8767.59</w:t>
            </w:r>
          </w:p>
        </w:tc>
        <w:tc>
          <w:tcPr>
            <w:tcW w:w="1290" w:type="dxa"/>
            <w:tcBorders>
              <w:tl2br w:val="nil"/>
              <w:tr2bl w:val="nil"/>
            </w:tcBorders>
            <w:tcMar>
              <w:top w:w="0" w:type="dxa"/>
              <w:left w:w="0" w:type="dxa"/>
              <w:bottom w:w="0" w:type="dxa"/>
              <w:right w:w="0" w:type="dxa"/>
            </w:tcMar>
            <w:vAlign w:val="center"/>
          </w:tcPr>
          <w:p w14:paraId="6A558203">
            <w:pPr>
              <w:widowControl w:val="0"/>
              <w:jc w:val="center"/>
              <w:rPr>
                <w:rFonts w:hint="eastAsia" w:ascii="宋体" w:hAnsi="宋体" w:eastAsia="宋体" w:cs="宋体"/>
                <w:color w:val="auto"/>
                <w:sz w:val="21"/>
                <w:szCs w:val="21"/>
              </w:rPr>
            </w:pPr>
          </w:p>
        </w:tc>
      </w:tr>
      <w:tr w14:paraId="2A085369">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476" w:hRule="atLeast"/>
        </w:trPr>
        <w:tc>
          <w:tcPr>
            <w:tcW w:w="1209" w:type="dxa"/>
            <w:tcBorders>
              <w:tl2br w:val="nil"/>
              <w:tr2bl w:val="nil"/>
            </w:tcBorders>
            <w:tcMar>
              <w:top w:w="0" w:type="dxa"/>
              <w:left w:w="0" w:type="dxa"/>
              <w:bottom w:w="0" w:type="dxa"/>
              <w:right w:w="0" w:type="dxa"/>
            </w:tcMar>
            <w:vAlign w:val="center"/>
          </w:tcPr>
          <w:p w14:paraId="788D90C0">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1.1</w:t>
            </w:r>
          </w:p>
        </w:tc>
        <w:tc>
          <w:tcPr>
            <w:tcW w:w="2856" w:type="dxa"/>
            <w:tcBorders>
              <w:tl2br w:val="nil"/>
              <w:tr2bl w:val="nil"/>
            </w:tcBorders>
            <w:tcMar>
              <w:top w:w="0" w:type="dxa"/>
              <w:left w:w="0" w:type="dxa"/>
              <w:bottom w:w="0" w:type="dxa"/>
              <w:right w:w="0" w:type="dxa"/>
            </w:tcMar>
            <w:vAlign w:val="center"/>
          </w:tcPr>
          <w:p w14:paraId="6AAB2B0F">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建设投资</w:t>
            </w:r>
          </w:p>
        </w:tc>
        <w:tc>
          <w:tcPr>
            <w:tcW w:w="1380" w:type="dxa"/>
            <w:tcBorders>
              <w:tl2br w:val="nil"/>
              <w:tr2bl w:val="nil"/>
            </w:tcBorders>
            <w:tcMar>
              <w:top w:w="0" w:type="dxa"/>
              <w:left w:w="0" w:type="dxa"/>
              <w:bottom w:w="0" w:type="dxa"/>
              <w:right w:w="0" w:type="dxa"/>
            </w:tcMar>
            <w:vAlign w:val="center"/>
          </w:tcPr>
          <w:p w14:paraId="63089B16">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14:paraId="07ADE0E9">
            <w:pPr>
              <w:keepNext w:val="0"/>
              <w:keepLines w:val="0"/>
              <w:widowControl/>
              <w:suppressLineNumbers w:val="0"/>
              <w:jc w:val="center"/>
              <w:textAlignment w:val="top"/>
              <w:rPr>
                <w:rFonts w:hint="eastAsia" w:ascii="宋体" w:hAnsi="宋体" w:eastAsia="宋体" w:cs="宋体"/>
                <w:b w:val="0"/>
                <w:bCs w:val="0"/>
                <w:i w:val="0"/>
                <w:iCs w:val="0"/>
                <w:snapToGrid w:val="0"/>
                <w:color w:val="auto"/>
                <w:kern w:val="0"/>
                <w:sz w:val="21"/>
                <w:szCs w:val="21"/>
                <w:u w:val="none"/>
                <w:lang w:val="en-US" w:eastAsia="zh-CN" w:bidi="ar-SA"/>
              </w:rPr>
            </w:pPr>
            <w:r>
              <w:rPr>
                <w:rFonts w:hint="eastAsia" w:ascii="宋体" w:hAnsi="宋体" w:eastAsia="宋体" w:cs="宋体"/>
                <w:b w:val="0"/>
                <w:bCs w:val="0"/>
                <w:i w:val="0"/>
                <w:iCs w:val="0"/>
                <w:snapToGrid w:val="0"/>
                <w:color w:val="auto"/>
                <w:kern w:val="0"/>
                <w:sz w:val="21"/>
                <w:szCs w:val="21"/>
                <w:u w:val="none"/>
                <w:lang w:val="en-US" w:eastAsia="zh-CN" w:bidi="ar"/>
              </w:rPr>
              <w:t>8688.84</w:t>
            </w:r>
          </w:p>
        </w:tc>
        <w:tc>
          <w:tcPr>
            <w:tcW w:w="1290" w:type="dxa"/>
            <w:tcBorders>
              <w:tl2br w:val="nil"/>
              <w:tr2bl w:val="nil"/>
            </w:tcBorders>
            <w:tcMar>
              <w:top w:w="0" w:type="dxa"/>
              <w:left w:w="0" w:type="dxa"/>
              <w:bottom w:w="0" w:type="dxa"/>
              <w:right w:w="0" w:type="dxa"/>
            </w:tcMar>
            <w:vAlign w:val="center"/>
          </w:tcPr>
          <w:p w14:paraId="455BD4FD">
            <w:pPr>
              <w:widowControl w:val="0"/>
              <w:jc w:val="center"/>
              <w:rPr>
                <w:rFonts w:hint="eastAsia" w:ascii="宋体" w:hAnsi="宋体" w:eastAsia="宋体" w:cs="宋体"/>
                <w:color w:val="auto"/>
                <w:sz w:val="21"/>
                <w:szCs w:val="21"/>
              </w:rPr>
            </w:pPr>
          </w:p>
        </w:tc>
      </w:tr>
      <w:tr w14:paraId="30ACAC81">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476" w:hRule="atLeast"/>
        </w:trPr>
        <w:tc>
          <w:tcPr>
            <w:tcW w:w="1209" w:type="dxa"/>
            <w:tcBorders>
              <w:tl2br w:val="nil"/>
              <w:tr2bl w:val="nil"/>
            </w:tcBorders>
            <w:tcMar>
              <w:top w:w="0" w:type="dxa"/>
              <w:left w:w="0" w:type="dxa"/>
              <w:bottom w:w="0" w:type="dxa"/>
              <w:right w:w="0" w:type="dxa"/>
            </w:tcMar>
            <w:vAlign w:val="center"/>
          </w:tcPr>
          <w:p w14:paraId="03AB22B0">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1.2</w:t>
            </w:r>
          </w:p>
        </w:tc>
        <w:tc>
          <w:tcPr>
            <w:tcW w:w="2856" w:type="dxa"/>
            <w:tcBorders>
              <w:tl2br w:val="nil"/>
              <w:tr2bl w:val="nil"/>
            </w:tcBorders>
            <w:tcMar>
              <w:top w:w="0" w:type="dxa"/>
              <w:left w:w="0" w:type="dxa"/>
              <w:bottom w:w="0" w:type="dxa"/>
              <w:right w:w="0" w:type="dxa"/>
            </w:tcMar>
            <w:vAlign w:val="center"/>
          </w:tcPr>
          <w:p w14:paraId="250E9308">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建设期利息</w:t>
            </w:r>
          </w:p>
        </w:tc>
        <w:tc>
          <w:tcPr>
            <w:tcW w:w="1380" w:type="dxa"/>
            <w:tcBorders>
              <w:tl2br w:val="nil"/>
              <w:tr2bl w:val="nil"/>
            </w:tcBorders>
            <w:tcMar>
              <w:top w:w="0" w:type="dxa"/>
              <w:left w:w="0" w:type="dxa"/>
              <w:bottom w:w="0" w:type="dxa"/>
              <w:right w:w="0" w:type="dxa"/>
            </w:tcMar>
            <w:vAlign w:val="center"/>
          </w:tcPr>
          <w:p w14:paraId="4EEAF676">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14:paraId="34F463C0">
            <w:pPr>
              <w:keepNext w:val="0"/>
              <w:keepLines w:val="0"/>
              <w:widowControl/>
              <w:suppressLineNumbers w:val="0"/>
              <w:jc w:val="center"/>
              <w:textAlignment w:val="top"/>
              <w:rPr>
                <w:rFonts w:hint="eastAsia" w:ascii="宋体" w:hAnsi="宋体" w:eastAsia="宋体" w:cs="宋体"/>
                <w:b w:val="0"/>
                <w:bCs w:val="0"/>
                <w:i w:val="0"/>
                <w:iCs w:val="0"/>
                <w:snapToGrid w:val="0"/>
                <w:color w:val="auto"/>
                <w:kern w:val="0"/>
                <w:sz w:val="21"/>
                <w:szCs w:val="21"/>
                <w:u w:val="none"/>
                <w:lang w:val="en-US" w:eastAsia="zh-CN" w:bidi="ar-SA"/>
              </w:rPr>
            </w:pPr>
            <w:r>
              <w:rPr>
                <w:rFonts w:hint="eastAsia" w:ascii="宋体" w:hAnsi="宋体" w:eastAsia="宋体" w:cs="宋体"/>
                <w:b w:val="0"/>
                <w:bCs w:val="0"/>
                <w:i w:val="0"/>
                <w:iCs w:val="0"/>
                <w:snapToGrid w:val="0"/>
                <w:color w:val="auto"/>
                <w:kern w:val="0"/>
                <w:sz w:val="21"/>
                <w:szCs w:val="21"/>
                <w:u w:val="none"/>
                <w:lang w:val="en-US" w:eastAsia="zh-CN" w:bidi="ar"/>
              </w:rPr>
              <w:t>78.75</w:t>
            </w:r>
          </w:p>
        </w:tc>
        <w:tc>
          <w:tcPr>
            <w:tcW w:w="1290" w:type="dxa"/>
            <w:tcBorders>
              <w:tl2br w:val="nil"/>
              <w:tr2bl w:val="nil"/>
            </w:tcBorders>
            <w:tcMar>
              <w:top w:w="0" w:type="dxa"/>
              <w:left w:w="0" w:type="dxa"/>
              <w:bottom w:w="0" w:type="dxa"/>
              <w:right w:w="0" w:type="dxa"/>
            </w:tcMar>
            <w:vAlign w:val="center"/>
          </w:tcPr>
          <w:p w14:paraId="2B532171">
            <w:pPr>
              <w:widowControl w:val="0"/>
              <w:jc w:val="center"/>
              <w:rPr>
                <w:rFonts w:hint="eastAsia" w:ascii="宋体" w:hAnsi="宋体" w:eastAsia="宋体" w:cs="宋体"/>
                <w:color w:val="auto"/>
                <w:sz w:val="21"/>
                <w:szCs w:val="21"/>
              </w:rPr>
            </w:pPr>
          </w:p>
        </w:tc>
      </w:tr>
      <w:tr w14:paraId="3BF398D6">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476" w:hRule="atLeast"/>
        </w:trPr>
        <w:tc>
          <w:tcPr>
            <w:tcW w:w="1209" w:type="dxa"/>
            <w:tcBorders>
              <w:tl2br w:val="nil"/>
              <w:tr2bl w:val="nil"/>
            </w:tcBorders>
            <w:tcMar>
              <w:top w:w="0" w:type="dxa"/>
              <w:left w:w="0" w:type="dxa"/>
              <w:bottom w:w="0" w:type="dxa"/>
              <w:right w:w="0" w:type="dxa"/>
            </w:tcMar>
            <w:vAlign w:val="center"/>
          </w:tcPr>
          <w:p w14:paraId="7663BF11">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2856" w:type="dxa"/>
            <w:tcBorders>
              <w:tl2br w:val="nil"/>
              <w:tr2bl w:val="nil"/>
            </w:tcBorders>
            <w:tcMar>
              <w:top w:w="0" w:type="dxa"/>
              <w:left w:w="0" w:type="dxa"/>
              <w:bottom w:w="0" w:type="dxa"/>
              <w:right w:w="0" w:type="dxa"/>
            </w:tcMar>
            <w:vAlign w:val="center"/>
          </w:tcPr>
          <w:p w14:paraId="51881D8A">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年均收入</w:t>
            </w:r>
          </w:p>
        </w:tc>
        <w:tc>
          <w:tcPr>
            <w:tcW w:w="1380" w:type="dxa"/>
            <w:tcBorders>
              <w:tl2br w:val="nil"/>
              <w:tr2bl w:val="nil"/>
            </w:tcBorders>
            <w:tcMar>
              <w:top w:w="0" w:type="dxa"/>
              <w:left w:w="0" w:type="dxa"/>
              <w:bottom w:w="0" w:type="dxa"/>
              <w:right w:w="0" w:type="dxa"/>
            </w:tcMar>
            <w:vAlign w:val="center"/>
          </w:tcPr>
          <w:p w14:paraId="687A6D5C">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14:paraId="58A905A8">
            <w:pPr>
              <w:widowControl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1203.42</w:t>
            </w:r>
          </w:p>
        </w:tc>
        <w:tc>
          <w:tcPr>
            <w:tcW w:w="1290" w:type="dxa"/>
            <w:tcBorders>
              <w:tl2br w:val="nil"/>
              <w:tr2bl w:val="nil"/>
            </w:tcBorders>
            <w:tcMar>
              <w:top w:w="0" w:type="dxa"/>
              <w:left w:w="0" w:type="dxa"/>
              <w:bottom w:w="0" w:type="dxa"/>
              <w:right w:w="0" w:type="dxa"/>
            </w:tcMar>
            <w:vAlign w:val="center"/>
          </w:tcPr>
          <w:p w14:paraId="39EF2D9A">
            <w:pPr>
              <w:widowControl w:val="0"/>
              <w:jc w:val="center"/>
              <w:rPr>
                <w:rFonts w:hint="eastAsia" w:ascii="宋体" w:hAnsi="宋体" w:eastAsia="宋体" w:cs="宋体"/>
                <w:color w:val="auto"/>
                <w:sz w:val="21"/>
                <w:szCs w:val="21"/>
              </w:rPr>
            </w:pPr>
          </w:p>
        </w:tc>
      </w:tr>
      <w:tr w14:paraId="315FDF8C">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476" w:hRule="atLeast"/>
        </w:trPr>
        <w:tc>
          <w:tcPr>
            <w:tcW w:w="1209" w:type="dxa"/>
            <w:tcBorders>
              <w:tl2br w:val="nil"/>
              <w:tr2bl w:val="nil"/>
            </w:tcBorders>
            <w:tcMar>
              <w:top w:w="0" w:type="dxa"/>
              <w:left w:w="0" w:type="dxa"/>
              <w:bottom w:w="0" w:type="dxa"/>
              <w:right w:w="0" w:type="dxa"/>
            </w:tcMar>
            <w:vAlign w:val="center"/>
          </w:tcPr>
          <w:p w14:paraId="0BEF6C96">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2856" w:type="dxa"/>
            <w:tcBorders>
              <w:tl2br w:val="nil"/>
              <w:tr2bl w:val="nil"/>
            </w:tcBorders>
            <w:tcMar>
              <w:top w:w="0" w:type="dxa"/>
              <w:left w:w="0" w:type="dxa"/>
              <w:bottom w:w="0" w:type="dxa"/>
              <w:right w:w="0" w:type="dxa"/>
            </w:tcMar>
            <w:vAlign w:val="center"/>
          </w:tcPr>
          <w:p w14:paraId="7A2EC28B">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年均总成本</w:t>
            </w:r>
          </w:p>
        </w:tc>
        <w:tc>
          <w:tcPr>
            <w:tcW w:w="1380" w:type="dxa"/>
            <w:tcBorders>
              <w:tl2br w:val="nil"/>
              <w:tr2bl w:val="nil"/>
            </w:tcBorders>
            <w:tcMar>
              <w:top w:w="0" w:type="dxa"/>
              <w:left w:w="0" w:type="dxa"/>
              <w:bottom w:w="0" w:type="dxa"/>
              <w:right w:w="0" w:type="dxa"/>
            </w:tcMar>
            <w:vAlign w:val="center"/>
          </w:tcPr>
          <w:p w14:paraId="3CA5C635">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14:paraId="497BFBDB">
            <w:pPr>
              <w:widowControl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681.28</w:t>
            </w:r>
          </w:p>
        </w:tc>
        <w:tc>
          <w:tcPr>
            <w:tcW w:w="1290" w:type="dxa"/>
            <w:tcBorders>
              <w:tl2br w:val="nil"/>
              <w:tr2bl w:val="nil"/>
            </w:tcBorders>
            <w:tcMar>
              <w:top w:w="0" w:type="dxa"/>
              <w:left w:w="0" w:type="dxa"/>
              <w:bottom w:w="0" w:type="dxa"/>
              <w:right w:w="0" w:type="dxa"/>
            </w:tcMar>
            <w:vAlign w:val="center"/>
          </w:tcPr>
          <w:p w14:paraId="38374A6A">
            <w:pPr>
              <w:widowControl w:val="0"/>
              <w:jc w:val="center"/>
              <w:rPr>
                <w:rFonts w:hint="eastAsia" w:ascii="宋体" w:hAnsi="宋体" w:eastAsia="宋体" w:cs="宋体"/>
                <w:color w:val="auto"/>
                <w:sz w:val="21"/>
                <w:szCs w:val="21"/>
              </w:rPr>
            </w:pPr>
          </w:p>
        </w:tc>
      </w:tr>
      <w:tr w14:paraId="14D52D39">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476" w:hRule="atLeast"/>
        </w:trPr>
        <w:tc>
          <w:tcPr>
            <w:tcW w:w="1209" w:type="dxa"/>
            <w:tcBorders>
              <w:tl2br w:val="nil"/>
              <w:tr2bl w:val="nil"/>
            </w:tcBorders>
            <w:tcMar>
              <w:top w:w="0" w:type="dxa"/>
              <w:left w:w="0" w:type="dxa"/>
              <w:bottom w:w="0" w:type="dxa"/>
              <w:right w:w="0" w:type="dxa"/>
            </w:tcMar>
            <w:vAlign w:val="center"/>
          </w:tcPr>
          <w:p w14:paraId="4C614166">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3.1</w:t>
            </w:r>
          </w:p>
        </w:tc>
        <w:tc>
          <w:tcPr>
            <w:tcW w:w="2856" w:type="dxa"/>
            <w:tcBorders>
              <w:tl2br w:val="nil"/>
              <w:tr2bl w:val="nil"/>
            </w:tcBorders>
            <w:tcMar>
              <w:top w:w="0" w:type="dxa"/>
              <w:left w:w="0" w:type="dxa"/>
              <w:bottom w:w="0" w:type="dxa"/>
              <w:right w:w="0" w:type="dxa"/>
            </w:tcMar>
            <w:vAlign w:val="center"/>
          </w:tcPr>
          <w:p w14:paraId="45FB29FB">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年均固定成本</w:t>
            </w:r>
          </w:p>
        </w:tc>
        <w:tc>
          <w:tcPr>
            <w:tcW w:w="1380" w:type="dxa"/>
            <w:tcBorders>
              <w:tl2br w:val="nil"/>
              <w:tr2bl w:val="nil"/>
            </w:tcBorders>
            <w:tcMar>
              <w:top w:w="0" w:type="dxa"/>
              <w:left w:w="0" w:type="dxa"/>
              <w:bottom w:w="0" w:type="dxa"/>
              <w:right w:w="0" w:type="dxa"/>
            </w:tcMar>
            <w:vAlign w:val="center"/>
          </w:tcPr>
          <w:p w14:paraId="2D973207">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14:paraId="212DCFCC">
            <w:pPr>
              <w:widowControl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549.18</w:t>
            </w:r>
          </w:p>
        </w:tc>
        <w:tc>
          <w:tcPr>
            <w:tcW w:w="1290" w:type="dxa"/>
            <w:tcBorders>
              <w:tl2br w:val="nil"/>
              <w:tr2bl w:val="nil"/>
            </w:tcBorders>
            <w:tcMar>
              <w:top w:w="0" w:type="dxa"/>
              <w:left w:w="0" w:type="dxa"/>
              <w:bottom w:w="0" w:type="dxa"/>
              <w:right w:w="0" w:type="dxa"/>
            </w:tcMar>
            <w:vAlign w:val="center"/>
          </w:tcPr>
          <w:p w14:paraId="1607131E">
            <w:pPr>
              <w:widowControl w:val="0"/>
              <w:jc w:val="center"/>
              <w:rPr>
                <w:rFonts w:hint="eastAsia" w:ascii="宋体" w:hAnsi="宋体" w:eastAsia="宋体" w:cs="宋体"/>
                <w:color w:val="auto"/>
                <w:sz w:val="21"/>
                <w:szCs w:val="21"/>
              </w:rPr>
            </w:pPr>
          </w:p>
        </w:tc>
      </w:tr>
      <w:tr w14:paraId="282B6691">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476" w:hRule="atLeast"/>
        </w:trPr>
        <w:tc>
          <w:tcPr>
            <w:tcW w:w="1209" w:type="dxa"/>
            <w:tcBorders>
              <w:tl2br w:val="nil"/>
              <w:tr2bl w:val="nil"/>
            </w:tcBorders>
            <w:tcMar>
              <w:top w:w="0" w:type="dxa"/>
              <w:left w:w="0" w:type="dxa"/>
              <w:bottom w:w="0" w:type="dxa"/>
              <w:right w:w="0" w:type="dxa"/>
            </w:tcMar>
            <w:vAlign w:val="center"/>
          </w:tcPr>
          <w:p w14:paraId="123873B9">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3.2</w:t>
            </w:r>
          </w:p>
        </w:tc>
        <w:tc>
          <w:tcPr>
            <w:tcW w:w="2856" w:type="dxa"/>
            <w:tcBorders>
              <w:tl2br w:val="nil"/>
              <w:tr2bl w:val="nil"/>
            </w:tcBorders>
            <w:tcMar>
              <w:top w:w="0" w:type="dxa"/>
              <w:left w:w="0" w:type="dxa"/>
              <w:bottom w:w="0" w:type="dxa"/>
              <w:right w:w="0" w:type="dxa"/>
            </w:tcMar>
            <w:vAlign w:val="center"/>
          </w:tcPr>
          <w:p w14:paraId="796C999E">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年均可变成本</w:t>
            </w:r>
          </w:p>
        </w:tc>
        <w:tc>
          <w:tcPr>
            <w:tcW w:w="1380" w:type="dxa"/>
            <w:tcBorders>
              <w:tl2br w:val="nil"/>
              <w:tr2bl w:val="nil"/>
            </w:tcBorders>
            <w:tcMar>
              <w:top w:w="0" w:type="dxa"/>
              <w:left w:w="0" w:type="dxa"/>
              <w:bottom w:w="0" w:type="dxa"/>
              <w:right w:w="0" w:type="dxa"/>
            </w:tcMar>
            <w:vAlign w:val="center"/>
          </w:tcPr>
          <w:p w14:paraId="327D1439">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14:paraId="67743023">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103.31</w:t>
            </w:r>
          </w:p>
        </w:tc>
        <w:tc>
          <w:tcPr>
            <w:tcW w:w="1290" w:type="dxa"/>
            <w:tcBorders>
              <w:tl2br w:val="nil"/>
              <w:tr2bl w:val="nil"/>
            </w:tcBorders>
            <w:tcMar>
              <w:top w:w="0" w:type="dxa"/>
              <w:left w:w="0" w:type="dxa"/>
              <w:bottom w:w="0" w:type="dxa"/>
              <w:right w:w="0" w:type="dxa"/>
            </w:tcMar>
            <w:vAlign w:val="center"/>
          </w:tcPr>
          <w:p w14:paraId="665DDECA">
            <w:pPr>
              <w:widowControl w:val="0"/>
              <w:jc w:val="center"/>
              <w:rPr>
                <w:rFonts w:hint="eastAsia" w:ascii="宋体" w:hAnsi="宋体" w:eastAsia="宋体" w:cs="宋体"/>
                <w:color w:val="auto"/>
                <w:sz w:val="21"/>
                <w:szCs w:val="21"/>
              </w:rPr>
            </w:pPr>
          </w:p>
        </w:tc>
      </w:tr>
      <w:tr w14:paraId="4FCF37B5">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476" w:hRule="atLeast"/>
        </w:trPr>
        <w:tc>
          <w:tcPr>
            <w:tcW w:w="1209" w:type="dxa"/>
            <w:tcBorders>
              <w:tl2br w:val="nil"/>
              <w:tr2bl w:val="nil"/>
            </w:tcBorders>
            <w:tcMar>
              <w:top w:w="0" w:type="dxa"/>
              <w:left w:w="0" w:type="dxa"/>
              <w:bottom w:w="0" w:type="dxa"/>
              <w:right w:w="0" w:type="dxa"/>
            </w:tcMar>
            <w:vAlign w:val="center"/>
          </w:tcPr>
          <w:p w14:paraId="0D38C20F">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2856" w:type="dxa"/>
            <w:tcBorders>
              <w:tl2br w:val="nil"/>
              <w:tr2bl w:val="nil"/>
            </w:tcBorders>
            <w:tcMar>
              <w:top w:w="0" w:type="dxa"/>
              <w:left w:w="0" w:type="dxa"/>
              <w:bottom w:w="0" w:type="dxa"/>
              <w:right w:w="0" w:type="dxa"/>
            </w:tcMar>
            <w:vAlign w:val="center"/>
          </w:tcPr>
          <w:p w14:paraId="677DD4EC">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年均经营成本</w:t>
            </w:r>
          </w:p>
        </w:tc>
        <w:tc>
          <w:tcPr>
            <w:tcW w:w="1380" w:type="dxa"/>
            <w:tcBorders>
              <w:tl2br w:val="nil"/>
              <w:tr2bl w:val="nil"/>
            </w:tcBorders>
            <w:tcMar>
              <w:top w:w="0" w:type="dxa"/>
              <w:left w:w="0" w:type="dxa"/>
              <w:bottom w:w="0" w:type="dxa"/>
              <w:right w:w="0" w:type="dxa"/>
            </w:tcMar>
            <w:vAlign w:val="center"/>
          </w:tcPr>
          <w:p w14:paraId="401A1B3A">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14:paraId="2F3366AC">
            <w:pPr>
              <w:widowControl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156.17</w:t>
            </w:r>
          </w:p>
        </w:tc>
        <w:tc>
          <w:tcPr>
            <w:tcW w:w="1290" w:type="dxa"/>
            <w:tcBorders>
              <w:tl2br w:val="nil"/>
              <w:tr2bl w:val="nil"/>
            </w:tcBorders>
            <w:tcMar>
              <w:top w:w="0" w:type="dxa"/>
              <w:left w:w="0" w:type="dxa"/>
              <w:bottom w:w="0" w:type="dxa"/>
              <w:right w:w="0" w:type="dxa"/>
            </w:tcMar>
            <w:vAlign w:val="center"/>
          </w:tcPr>
          <w:p w14:paraId="78E34CF6">
            <w:pPr>
              <w:widowControl w:val="0"/>
              <w:jc w:val="center"/>
              <w:rPr>
                <w:rFonts w:hint="eastAsia" w:ascii="宋体" w:hAnsi="宋体" w:eastAsia="宋体" w:cs="宋体"/>
                <w:color w:val="auto"/>
                <w:sz w:val="21"/>
                <w:szCs w:val="21"/>
              </w:rPr>
            </w:pPr>
          </w:p>
        </w:tc>
      </w:tr>
      <w:tr w14:paraId="16C897F5">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476" w:hRule="atLeast"/>
        </w:trPr>
        <w:tc>
          <w:tcPr>
            <w:tcW w:w="1209" w:type="dxa"/>
            <w:tcBorders>
              <w:tl2br w:val="nil"/>
              <w:tr2bl w:val="nil"/>
            </w:tcBorders>
            <w:tcMar>
              <w:top w:w="0" w:type="dxa"/>
              <w:left w:w="0" w:type="dxa"/>
              <w:bottom w:w="0" w:type="dxa"/>
              <w:right w:w="0" w:type="dxa"/>
            </w:tcMar>
            <w:vAlign w:val="center"/>
          </w:tcPr>
          <w:p w14:paraId="783F08D9">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2856" w:type="dxa"/>
            <w:tcBorders>
              <w:tl2br w:val="nil"/>
              <w:tr2bl w:val="nil"/>
            </w:tcBorders>
            <w:tcMar>
              <w:top w:w="0" w:type="dxa"/>
              <w:left w:w="0" w:type="dxa"/>
              <w:bottom w:w="0" w:type="dxa"/>
              <w:right w:w="0" w:type="dxa"/>
            </w:tcMar>
            <w:vAlign w:val="center"/>
          </w:tcPr>
          <w:p w14:paraId="3C87FD9A">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年均利税</w:t>
            </w:r>
          </w:p>
        </w:tc>
        <w:tc>
          <w:tcPr>
            <w:tcW w:w="1380" w:type="dxa"/>
            <w:tcBorders>
              <w:tl2br w:val="nil"/>
              <w:tr2bl w:val="nil"/>
            </w:tcBorders>
            <w:tcMar>
              <w:top w:w="0" w:type="dxa"/>
              <w:left w:w="0" w:type="dxa"/>
              <w:bottom w:w="0" w:type="dxa"/>
              <w:right w:w="0" w:type="dxa"/>
            </w:tcMar>
            <w:vAlign w:val="center"/>
          </w:tcPr>
          <w:p w14:paraId="12DCF498">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14:paraId="2EB97FD3">
            <w:pPr>
              <w:widowControl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522.14</w:t>
            </w:r>
          </w:p>
        </w:tc>
        <w:tc>
          <w:tcPr>
            <w:tcW w:w="1290" w:type="dxa"/>
            <w:tcBorders>
              <w:tl2br w:val="nil"/>
              <w:tr2bl w:val="nil"/>
            </w:tcBorders>
            <w:tcMar>
              <w:top w:w="0" w:type="dxa"/>
              <w:left w:w="0" w:type="dxa"/>
              <w:bottom w:w="0" w:type="dxa"/>
              <w:right w:w="0" w:type="dxa"/>
            </w:tcMar>
            <w:vAlign w:val="center"/>
          </w:tcPr>
          <w:p w14:paraId="517EA1CD">
            <w:pPr>
              <w:widowControl w:val="0"/>
              <w:jc w:val="center"/>
              <w:rPr>
                <w:rFonts w:hint="eastAsia" w:ascii="宋体" w:hAnsi="宋体" w:eastAsia="宋体" w:cs="宋体"/>
                <w:color w:val="auto"/>
                <w:sz w:val="21"/>
                <w:szCs w:val="21"/>
              </w:rPr>
            </w:pPr>
          </w:p>
        </w:tc>
      </w:tr>
      <w:tr w14:paraId="277745F5">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476" w:hRule="atLeast"/>
        </w:trPr>
        <w:tc>
          <w:tcPr>
            <w:tcW w:w="1209" w:type="dxa"/>
            <w:tcBorders>
              <w:tl2br w:val="nil"/>
              <w:tr2bl w:val="nil"/>
            </w:tcBorders>
            <w:tcMar>
              <w:top w:w="0" w:type="dxa"/>
              <w:left w:w="0" w:type="dxa"/>
              <w:bottom w:w="0" w:type="dxa"/>
              <w:right w:w="0" w:type="dxa"/>
            </w:tcMar>
            <w:vAlign w:val="center"/>
          </w:tcPr>
          <w:p w14:paraId="26B64B9C">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5.1</w:t>
            </w:r>
          </w:p>
        </w:tc>
        <w:tc>
          <w:tcPr>
            <w:tcW w:w="2856" w:type="dxa"/>
            <w:tcBorders>
              <w:tl2br w:val="nil"/>
              <w:tr2bl w:val="nil"/>
            </w:tcBorders>
            <w:tcMar>
              <w:top w:w="0" w:type="dxa"/>
              <w:left w:w="0" w:type="dxa"/>
              <w:bottom w:w="0" w:type="dxa"/>
              <w:right w:w="0" w:type="dxa"/>
            </w:tcMar>
            <w:vAlign w:val="center"/>
          </w:tcPr>
          <w:p w14:paraId="7109B436">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年均营业税金及附加</w:t>
            </w:r>
          </w:p>
        </w:tc>
        <w:tc>
          <w:tcPr>
            <w:tcW w:w="1380" w:type="dxa"/>
            <w:tcBorders>
              <w:tl2br w:val="nil"/>
              <w:tr2bl w:val="nil"/>
            </w:tcBorders>
            <w:tcMar>
              <w:top w:w="0" w:type="dxa"/>
              <w:left w:w="0" w:type="dxa"/>
              <w:bottom w:w="0" w:type="dxa"/>
              <w:right w:w="0" w:type="dxa"/>
            </w:tcMar>
            <w:vAlign w:val="center"/>
          </w:tcPr>
          <w:p w14:paraId="38BAD12B">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14:paraId="26A9E52B">
            <w:pPr>
              <w:widowControl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14.78</w:t>
            </w:r>
          </w:p>
        </w:tc>
        <w:tc>
          <w:tcPr>
            <w:tcW w:w="1290" w:type="dxa"/>
            <w:tcBorders>
              <w:tl2br w:val="nil"/>
              <w:tr2bl w:val="nil"/>
            </w:tcBorders>
            <w:tcMar>
              <w:top w:w="0" w:type="dxa"/>
              <w:left w:w="0" w:type="dxa"/>
              <w:bottom w:w="0" w:type="dxa"/>
              <w:right w:w="0" w:type="dxa"/>
            </w:tcMar>
            <w:vAlign w:val="center"/>
          </w:tcPr>
          <w:p w14:paraId="37F94929">
            <w:pPr>
              <w:widowControl w:val="0"/>
              <w:jc w:val="center"/>
              <w:rPr>
                <w:rFonts w:hint="eastAsia" w:ascii="宋体" w:hAnsi="宋体" w:eastAsia="宋体" w:cs="宋体"/>
                <w:color w:val="auto"/>
                <w:sz w:val="21"/>
                <w:szCs w:val="21"/>
              </w:rPr>
            </w:pPr>
          </w:p>
        </w:tc>
      </w:tr>
      <w:tr w14:paraId="1451A3E9">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476" w:hRule="atLeast"/>
        </w:trPr>
        <w:tc>
          <w:tcPr>
            <w:tcW w:w="1209" w:type="dxa"/>
            <w:tcBorders>
              <w:tl2br w:val="nil"/>
              <w:tr2bl w:val="nil"/>
            </w:tcBorders>
            <w:tcMar>
              <w:top w:w="0" w:type="dxa"/>
              <w:left w:w="0" w:type="dxa"/>
              <w:bottom w:w="0" w:type="dxa"/>
              <w:right w:w="0" w:type="dxa"/>
            </w:tcMar>
            <w:vAlign w:val="center"/>
          </w:tcPr>
          <w:p w14:paraId="2884C012">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5.2</w:t>
            </w:r>
          </w:p>
        </w:tc>
        <w:tc>
          <w:tcPr>
            <w:tcW w:w="2856" w:type="dxa"/>
            <w:tcBorders>
              <w:tl2br w:val="nil"/>
              <w:tr2bl w:val="nil"/>
            </w:tcBorders>
            <w:tcMar>
              <w:top w:w="0" w:type="dxa"/>
              <w:left w:w="0" w:type="dxa"/>
              <w:bottom w:w="0" w:type="dxa"/>
              <w:right w:w="0" w:type="dxa"/>
            </w:tcMar>
            <w:vAlign w:val="center"/>
          </w:tcPr>
          <w:p w14:paraId="41D79F59">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年均利润</w:t>
            </w:r>
          </w:p>
        </w:tc>
        <w:tc>
          <w:tcPr>
            <w:tcW w:w="1380" w:type="dxa"/>
            <w:tcBorders>
              <w:tl2br w:val="nil"/>
              <w:tr2bl w:val="nil"/>
            </w:tcBorders>
            <w:tcMar>
              <w:top w:w="0" w:type="dxa"/>
              <w:left w:w="0" w:type="dxa"/>
              <w:bottom w:w="0" w:type="dxa"/>
              <w:right w:w="0" w:type="dxa"/>
            </w:tcMar>
            <w:vAlign w:val="center"/>
          </w:tcPr>
          <w:p w14:paraId="7E623AA0">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14:paraId="6FF3D994">
            <w:pPr>
              <w:widowControl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359.59</w:t>
            </w:r>
          </w:p>
        </w:tc>
        <w:tc>
          <w:tcPr>
            <w:tcW w:w="1290" w:type="dxa"/>
            <w:tcBorders>
              <w:tl2br w:val="nil"/>
              <w:tr2bl w:val="nil"/>
            </w:tcBorders>
            <w:tcMar>
              <w:top w:w="0" w:type="dxa"/>
              <w:left w:w="0" w:type="dxa"/>
              <w:bottom w:w="0" w:type="dxa"/>
              <w:right w:w="0" w:type="dxa"/>
            </w:tcMar>
            <w:vAlign w:val="center"/>
          </w:tcPr>
          <w:p w14:paraId="7A804146">
            <w:pPr>
              <w:widowControl w:val="0"/>
              <w:jc w:val="center"/>
              <w:rPr>
                <w:rFonts w:hint="eastAsia" w:ascii="宋体" w:hAnsi="宋体" w:eastAsia="宋体" w:cs="宋体"/>
                <w:color w:val="auto"/>
                <w:sz w:val="21"/>
                <w:szCs w:val="21"/>
              </w:rPr>
            </w:pPr>
          </w:p>
        </w:tc>
      </w:tr>
      <w:tr w14:paraId="469FD607">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476" w:hRule="atLeast"/>
        </w:trPr>
        <w:tc>
          <w:tcPr>
            <w:tcW w:w="1209" w:type="dxa"/>
            <w:tcBorders>
              <w:tl2br w:val="nil"/>
              <w:tr2bl w:val="nil"/>
            </w:tcBorders>
            <w:tcMar>
              <w:top w:w="0" w:type="dxa"/>
              <w:left w:w="0" w:type="dxa"/>
              <w:bottom w:w="0" w:type="dxa"/>
              <w:right w:w="0" w:type="dxa"/>
            </w:tcMar>
            <w:vAlign w:val="center"/>
          </w:tcPr>
          <w:p w14:paraId="5647894B">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5.3</w:t>
            </w:r>
          </w:p>
        </w:tc>
        <w:tc>
          <w:tcPr>
            <w:tcW w:w="2856" w:type="dxa"/>
            <w:tcBorders>
              <w:tl2br w:val="nil"/>
              <w:tr2bl w:val="nil"/>
            </w:tcBorders>
            <w:tcMar>
              <w:top w:w="0" w:type="dxa"/>
              <w:left w:w="0" w:type="dxa"/>
              <w:bottom w:w="0" w:type="dxa"/>
              <w:right w:w="0" w:type="dxa"/>
            </w:tcMar>
            <w:vAlign w:val="center"/>
          </w:tcPr>
          <w:p w14:paraId="02087629">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年均增值税</w:t>
            </w:r>
          </w:p>
        </w:tc>
        <w:tc>
          <w:tcPr>
            <w:tcW w:w="1380" w:type="dxa"/>
            <w:tcBorders>
              <w:tl2br w:val="nil"/>
              <w:tr2bl w:val="nil"/>
            </w:tcBorders>
            <w:tcMar>
              <w:top w:w="0" w:type="dxa"/>
              <w:left w:w="0" w:type="dxa"/>
              <w:bottom w:w="0" w:type="dxa"/>
              <w:right w:w="0" w:type="dxa"/>
            </w:tcMar>
            <w:vAlign w:val="center"/>
          </w:tcPr>
          <w:p w14:paraId="702DB9CF">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14:paraId="40D9F3EE">
            <w:pPr>
              <w:widowControl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147.77</w:t>
            </w:r>
          </w:p>
        </w:tc>
        <w:tc>
          <w:tcPr>
            <w:tcW w:w="1290" w:type="dxa"/>
            <w:tcBorders>
              <w:tl2br w:val="nil"/>
              <w:tr2bl w:val="nil"/>
            </w:tcBorders>
            <w:tcMar>
              <w:top w:w="0" w:type="dxa"/>
              <w:left w:w="0" w:type="dxa"/>
              <w:bottom w:w="0" w:type="dxa"/>
              <w:right w:w="0" w:type="dxa"/>
            </w:tcMar>
            <w:vAlign w:val="center"/>
          </w:tcPr>
          <w:p w14:paraId="062D57DD">
            <w:pPr>
              <w:widowControl w:val="0"/>
              <w:jc w:val="center"/>
              <w:rPr>
                <w:rFonts w:hint="eastAsia" w:ascii="宋体" w:hAnsi="宋体" w:eastAsia="宋体" w:cs="宋体"/>
                <w:color w:val="auto"/>
                <w:sz w:val="21"/>
                <w:szCs w:val="21"/>
              </w:rPr>
            </w:pPr>
          </w:p>
        </w:tc>
      </w:tr>
      <w:tr w14:paraId="14498B3D">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476" w:hRule="atLeast"/>
        </w:trPr>
        <w:tc>
          <w:tcPr>
            <w:tcW w:w="1209" w:type="dxa"/>
            <w:tcBorders>
              <w:tl2br w:val="nil"/>
              <w:tr2bl w:val="nil"/>
            </w:tcBorders>
            <w:tcMar>
              <w:top w:w="0" w:type="dxa"/>
              <w:left w:w="0" w:type="dxa"/>
              <w:bottom w:w="0" w:type="dxa"/>
              <w:right w:w="0" w:type="dxa"/>
            </w:tcMar>
            <w:vAlign w:val="center"/>
          </w:tcPr>
          <w:p w14:paraId="1EC653BB">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2856" w:type="dxa"/>
            <w:tcBorders>
              <w:tl2br w:val="nil"/>
              <w:tr2bl w:val="nil"/>
            </w:tcBorders>
            <w:tcMar>
              <w:top w:w="0" w:type="dxa"/>
              <w:left w:w="0" w:type="dxa"/>
              <w:bottom w:w="0" w:type="dxa"/>
              <w:right w:w="0" w:type="dxa"/>
            </w:tcMar>
            <w:vAlign w:val="center"/>
          </w:tcPr>
          <w:p w14:paraId="102E2FA6">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财务内部收益率</w:t>
            </w:r>
          </w:p>
        </w:tc>
        <w:tc>
          <w:tcPr>
            <w:tcW w:w="1380" w:type="dxa"/>
            <w:tcBorders>
              <w:tl2br w:val="nil"/>
              <w:tr2bl w:val="nil"/>
            </w:tcBorders>
            <w:tcMar>
              <w:top w:w="0" w:type="dxa"/>
              <w:left w:w="0" w:type="dxa"/>
              <w:bottom w:w="0" w:type="dxa"/>
              <w:right w:w="0" w:type="dxa"/>
            </w:tcMar>
            <w:vAlign w:val="center"/>
          </w:tcPr>
          <w:p w14:paraId="077EE052">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35" w:type="dxa"/>
            <w:tcBorders>
              <w:tl2br w:val="nil"/>
              <w:tr2bl w:val="nil"/>
            </w:tcBorders>
            <w:tcMar>
              <w:top w:w="0" w:type="dxa"/>
              <w:left w:w="0" w:type="dxa"/>
              <w:bottom w:w="0" w:type="dxa"/>
              <w:right w:w="0" w:type="dxa"/>
            </w:tcMar>
            <w:vAlign w:val="center"/>
          </w:tcPr>
          <w:p w14:paraId="0EA4A6BE">
            <w:pPr>
              <w:widowControl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8.09</w:t>
            </w:r>
          </w:p>
        </w:tc>
        <w:tc>
          <w:tcPr>
            <w:tcW w:w="1290" w:type="dxa"/>
            <w:tcBorders>
              <w:tl2br w:val="nil"/>
              <w:tr2bl w:val="nil"/>
            </w:tcBorders>
            <w:tcMar>
              <w:top w:w="0" w:type="dxa"/>
              <w:left w:w="0" w:type="dxa"/>
              <w:bottom w:w="0" w:type="dxa"/>
              <w:right w:w="0" w:type="dxa"/>
            </w:tcMar>
            <w:vAlign w:val="center"/>
          </w:tcPr>
          <w:p w14:paraId="3FF5DFC3">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税后</w:t>
            </w:r>
          </w:p>
        </w:tc>
      </w:tr>
      <w:tr w14:paraId="6ED9CE09">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476" w:hRule="atLeast"/>
        </w:trPr>
        <w:tc>
          <w:tcPr>
            <w:tcW w:w="1209" w:type="dxa"/>
            <w:tcBorders>
              <w:tl2br w:val="nil"/>
              <w:tr2bl w:val="nil"/>
            </w:tcBorders>
            <w:tcMar>
              <w:top w:w="0" w:type="dxa"/>
              <w:left w:w="0" w:type="dxa"/>
              <w:bottom w:w="0" w:type="dxa"/>
              <w:right w:w="0" w:type="dxa"/>
            </w:tcMar>
            <w:vAlign w:val="center"/>
          </w:tcPr>
          <w:p w14:paraId="7A4C61B0">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2856" w:type="dxa"/>
            <w:tcBorders>
              <w:tl2br w:val="nil"/>
              <w:tr2bl w:val="nil"/>
            </w:tcBorders>
            <w:tcMar>
              <w:top w:w="0" w:type="dxa"/>
              <w:left w:w="0" w:type="dxa"/>
              <w:bottom w:w="0" w:type="dxa"/>
              <w:right w:w="0" w:type="dxa"/>
            </w:tcMar>
            <w:vAlign w:val="center"/>
          </w:tcPr>
          <w:p w14:paraId="0B689A98">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财务净现值</w:t>
            </w:r>
          </w:p>
        </w:tc>
        <w:tc>
          <w:tcPr>
            <w:tcW w:w="1380" w:type="dxa"/>
            <w:tcBorders>
              <w:tl2br w:val="nil"/>
              <w:tr2bl w:val="nil"/>
            </w:tcBorders>
            <w:tcMar>
              <w:top w:w="0" w:type="dxa"/>
              <w:left w:w="0" w:type="dxa"/>
              <w:bottom w:w="0" w:type="dxa"/>
              <w:right w:w="0" w:type="dxa"/>
            </w:tcMar>
            <w:vAlign w:val="center"/>
          </w:tcPr>
          <w:p w14:paraId="0E2BBD01">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14:paraId="3151C120">
            <w:pPr>
              <w:widowControl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2200.69</w:t>
            </w:r>
          </w:p>
        </w:tc>
        <w:tc>
          <w:tcPr>
            <w:tcW w:w="1290" w:type="dxa"/>
            <w:tcBorders>
              <w:tl2br w:val="nil"/>
              <w:tr2bl w:val="nil"/>
            </w:tcBorders>
            <w:tcMar>
              <w:top w:w="0" w:type="dxa"/>
              <w:left w:w="0" w:type="dxa"/>
              <w:bottom w:w="0" w:type="dxa"/>
              <w:right w:w="0" w:type="dxa"/>
            </w:tcMar>
            <w:vAlign w:val="center"/>
          </w:tcPr>
          <w:p w14:paraId="10DF5EFA">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税后</w:t>
            </w:r>
          </w:p>
        </w:tc>
      </w:tr>
      <w:tr w14:paraId="19D8BBF5">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476" w:hRule="atLeast"/>
        </w:trPr>
        <w:tc>
          <w:tcPr>
            <w:tcW w:w="1209" w:type="dxa"/>
            <w:tcBorders>
              <w:tl2br w:val="nil"/>
              <w:tr2bl w:val="nil"/>
            </w:tcBorders>
            <w:tcMar>
              <w:top w:w="0" w:type="dxa"/>
              <w:left w:w="0" w:type="dxa"/>
              <w:bottom w:w="0" w:type="dxa"/>
              <w:right w:w="0" w:type="dxa"/>
            </w:tcMar>
            <w:vAlign w:val="center"/>
          </w:tcPr>
          <w:p w14:paraId="49364D3B">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8</w:t>
            </w:r>
          </w:p>
        </w:tc>
        <w:tc>
          <w:tcPr>
            <w:tcW w:w="2856" w:type="dxa"/>
            <w:tcBorders>
              <w:tl2br w:val="nil"/>
              <w:tr2bl w:val="nil"/>
            </w:tcBorders>
            <w:tcMar>
              <w:top w:w="0" w:type="dxa"/>
              <w:left w:w="0" w:type="dxa"/>
              <w:bottom w:w="0" w:type="dxa"/>
              <w:right w:w="0" w:type="dxa"/>
            </w:tcMar>
            <w:vAlign w:val="center"/>
          </w:tcPr>
          <w:p w14:paraId="7EA197D3">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税后投资回收期</w:t>
            </w:r>
          </w:p>
        </w:tc>
        <w:tc>
          <w:tcPr>
            <w:tcW w:w="1380" w:type="dxa"/>
            <w:tcBorders>
              <w:tl2br w:val="nil"/>
              <w:tr2bl w:val="nil"/>
            </w:tcBorders>
            <w:tcMar>
              <w:top w:w="0" w:type="dxa"/>
              <w:left w:w="0" w:type="dxa"/>
              <w:bottom w:w="0" w:type="dxa"/>
              <w:right w:w="0" w:type="dxa"/>
            </w:tcMar>
            <w:vAlign w:val="center"/>
          </w:tcPr>
          <w:p w14:paraId="17DE7242">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年</w:t>
            </w:r>
          </w:p>
        </w:tc>
        <w:tc>
          <w:tcPr>
            <w:tcW w:w="1335" w:type="dxa"/>
            <w:tcBorders>
              <w:tl2br w:val="nil"/>
              <w:tr2bl w:val="nil"/>
            </w:tcBorders>
            <w:tcMar>
              <w:top w:w="0" w:type="dxa"/>
              <w:left w:w="0" w:type="dxa"/>
              <w:bottom w:w="0" w:type="dxa"/>
              <w:right w:w="0" w:type="dxa"/>
            </w:tcMar>
            <w:vAlign w:val="center"/>
          </w:tcPr>
          <w:p w14:paraId="2223AADF">
            <w:pPr>
              <w:widowControl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11.24</w:t>
            </w:r>
          </w:p>
        </w:tc>
        <w:tc>
          <w:tcPr>
            <w:tcW w:w="1290" w:type="dxa"/>
            <w:tcBorders>
              <w:tl2br w:val="nil"/>
              <w:tr2bl w:val="nil"/>
            </w:tcBorders>
            <w:tcMar>
              <w:top w:w="0" w:type="dxa"/>
              <w:left w:w="0" w:type="dxa"/>
              <w:bottom w:w="0" w:type="dxa"/>
              <w:right w:w="0" w:type="dxa"/>
            </w:tcMar>
            <w:vAlign w:val="center"/>
          </w:tcPr>
          <w:p w14:paraId="5DDD2166">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税后</w:t>
            </w:r>
          </w:p>
        </w:tc>
      </w:tr>
      <w:tr w14:paraId="34FEBD4E">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476" w:hRule="atLeast"/>
        </w:trPr>
        <w:tc>
          <w:tcPr>
            <w:tcW w:w="1209" w:type="dxa"/>
            <w:tcBorders>
              <w:tl2br w:val="nil"/>
              <w:tr2bl w:val="nil"/>
            </w:tcBorders>
            <w:tcMar>
              <w:top w:w="0" w:type="dxa"/>
              <w:left w:w="0" w:type="dxa"/>
              <w:bottom w:w="0" w:type="dxa"/>
              <w:right w:w="0" w:type="dxa"/>
            </w:tcMar>
            <w:vAlign w:val="center"/>
          </w:tcPr>
          <w:p w14:paraId="3664EFCE">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9</w:t>
            </w:r>
          </w:p>
        </w:tc>
        <w:tc>
          <w:tcPr>
            <w:tcW w:w="2856" w:type="dxa"/>
            <w:tcBorders>
              <w:tl2br w:val="nil"/>
              <w:tr2bl w:val="nil"/>
            </w:tcBorders>
            <w:tcMar>
              <w:top w:w="0" w:type="dxa"/>
              <w:left w:w="0" w:type="dxa"/>
              <w:bottom w:w="0" w:type="dxa"/>
              <w:right w:w="0" w:type="dxa"/>
            </w:tcMar>
            <w:vAlign w:val="center"/>
          </w:tcPr>
          <w:p w14:paraId="2F4209BE">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财务内部收益率</w:t>
            </w:r>
          </w:p>
        </w:tc>
        <w:tc>
          <w:tcPr>
            <w:tcW w:w="1380" w:type="dxa"/>
            <w:tcBorders>
              <w:tl2br w:val="nil"/>
              <w:tr2bl w:val="nil"/>
            </w:tcBorders>
            <w:tcMar>
              <w:top w:w="0" w:type="dxa"/>
              <w:left w:w="0" w:type="dxa"/>
              <w:bottom w:w="0" w:type="dxa"/>
              <w:right w:w="0" w:type="dxa"/>
            </w:tcMar>
            <w:vAlign w:val="center"/>
          </w:tcPr>
          <w:p w14:paraId="6969A057">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35" w:type="dxa"/>
            <w:tcBorders>
              <w:tl2br w:val="nil"/>
              <w:tr2bl w:val="nil"/>
            </w:tcBorders>
            <w:tcMar>
              <w:top w:w="0" w:type="dxa"/>
              <w:left w:w="0" w:type="dxa"/>
              <w:bottom w:w="0" w:type="dxa"/>
              <w:right w:w="0" w:type="dxa"/>
            </w:tcMar>
            <w:vAlign w:val="center"/>
          </w:tcPr>
          <w:p w14:paraId="54C48654">
            <w:pPr>
              <w:widowControl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9.52</w:t>
            </w:r>
          </w:p>
        </w:tc>
        <w:tc>
          <w:tcPr>
            <w:tcW w:w="1290" w:type="dxa"/>
            <w:tcBorders>
              <w:tl2br w:val="nil"/>
              <w:tr2bl w:val="nil"/>
            </w:tcBorders>
            <w:tcMar>
              <w:top w:w="0" w:type="dxa"/>
              <w:left w:w="0" w:type="dxa"/>
              <w:bottom w:w="0" w:type="dxa"/>
              <w:right w:w="0" w:type="dxa"/>
            </w:tcMar>
            <w:vAlign w:val="center"/>
          </w:tcPr>
          <w:p w14:paraId="25602F04">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税前</w:t>
            </w:r>
          </w:p>
        </w:tc>
      </w:tr>
      <w:tr w14:paraId="4B4D4C2E">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476" w:hRule="atLeast"/>
        </w:trPr>
        <w:tc>
          <w:tcPr>
            <w:tcW w:w="1209" w:type="dxa"/>
            <w:tcBorders>
              <w:tl2br w:val="nil"/>
              <w:tr2bl w:val="nil"/>
            </w:tcBorders>
            <w:tcMar>
              <w:top w:w="0" w:type="dxa"/>
              <w:left w:w="0" w:type="dxa"/>
              <w:bottom w:w="0" w:type="dxa"/>
              <w:right w:w="0" w:type="dxa"/>
            </w:tcMar>
            <w:vAlign w:val="center"/>
          </w:tcPr>
          <w:p w14:paraId="0DF36749">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2856" w:type="dxa"/>
            <w:tcBorders>
              <w:tl2br w:val="nil"/>
              <w:tr2bl w:val="nil"/>
            </w:tcBorders>
            <w:tcMar>
              <w:top w:w="0" w:type="dxa"/>
              <w:left w:w="0" w:type="dxa"/>
              <w:bottom w:w="0" w:type="dxa"/>
              <w:right w:w="0" w:type="dxa"/>
            </w:tcMar>
            <w:vAlign w:val="center"/>
          </w:tcPr>
          <w:p w14:paraId="0DB9CB35">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财务净现值</w:t>
            </w:r>
          </w:p>
        </w:tc>
        <w:tc>
          <w:tcPr>
            <w:tcW w:w="1380" w:type="dxa"/>
            <w:tcBorders>
              <w:tl2br w:val="nil"/>
              <w:tr2bl w:val="nil"/>
            </w:tcBorders>
            <w:tcMar>
              <w:top w:w="0" w:type="dxa"/>
              <w:left w:w="0" w:type="dxa"/>
              <w:bottom w:w="0" w:type="dxa"/>
              <w:right w:w="0" w:type="dxa"/>
            </w:tcMar>
            <w:vAlign w:val="center"/>
          </w:tcPr>
          <w:p w14:paraId="778FDE4F">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14:paraId="18E3791C">
            <w:pPr>
              <w:widowControl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2980.97</w:t>
            </w:r>
          </w:p>
        </w:tc>
        <w:tc>
          <w:tcPr>
            <w:tcW w:w="1290" w:type="dxa"/>
            <w:tcBorders>
              <w:tl2br w:val="nil"/>
              <w:tr2bl w:val="nil"/>
            </w:tcBorders>
            <w:tcMar>
              <w:top w:w="0" w:type="dxa"/>
              <w:left w:w="0" w:type="dxa"/>
              <w:bottom w:w="0" w:type="dxa"/>
              <w:right w:w="0" w:type="dxa"/>
            </w:tcMar>
            <w:vAlign w:val="center"/>
          </w:tcPr>
          <w:p w14:paraId="3AF150B7">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税前</w:t>
            </w:r>
          </w:p>
        </w:tc>
      </w:tr>
      <w:tr w14:paraId="7F39A58F">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476" w:hRule="atLeast"/>
        </w:trPr>
        <w:tc>
          <w:tcPr>
            <w:tcW w:w="1209" w:type="dxa"/>
            <w:tcBorders>
              <w:tl2br w:val="nil"/>
              <w:tr2bl w:val="nil"/>
            </w:tcBorders>
            <w:tcMar>
              <w:top w:w="0" w:type="dxa"/>
              <w:left w:w="0" w:type="dxa"/>
              <w:bottom w:w="0" w:type="dxa"/>
              <w:right w:w="0" w:type="dxa"/>
            </w:tcMar>
            <w:vAlign w:val="center"/>
          </w:tcPr>
          <w:p w14:paraId="52AC8101">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11</w:t>
            </w:r>
          </w:p>
        </w:tc>
        <w:tc>
          <w:tcPr>
            <w:tcW w:w="2856" w:type="dxa"/>
            <w:tcBorders>
              <w:tl2br w:val="nil"/>
              <w:tr2bl w:val="nil"/>
            </w:tcBorders>
            <w:tcMar>
              <w:top w:w="0" w:type="dxa"/>
              <w:left w:w="0" w:type="dxa"/>
              <w:bottom w:w="0" w:type="dxa"/>
              <w:right w:w="0" w:type="dxa"/>
            </w:tcMar>
            <w:vAlign w:val="center"/>
          </w:tcPr>
          <w:p w14:paraId="71ECA90C">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总投资收益率</w:t>
            </w:r>
          </w:p>
        </w:tc>
        <w:tc>
          <w:tcPr>
            <w:tcW w:w="1380" w:type="dxa"/>
            <w:tcBorders>
              <w:tl2br w:val="nil"/>
              <w:tr2bl w:val="nil"/>
            </w:tcBorders>
            <w:tcMar>
              <w:top w:w="0" w:type="dxa"/>
              <w:left w:w="0" w:type="dxa"/>
              <w:bottom w:w="0" w:type="dxa"/>
              <w:right w:w="0" w:type="dxa"/>
            </w:tcMar>
            <w:vAlign w:val="center"/>
          </w:tcPr>
          <w:p w14:paraId="3EF432AF">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35" w:type="dxa"/>
            <w:tcBorders>
              <w:tl2br w:val="nil"/>
              <w:tr2bl w:val="nil"/>
            </w:tcBorders>
            <w:tcMar>
              <w:top w:w="0" w:type="dxa"/>
              <w:left w:w="0" w:type="dxa"/>
              <w:bottom w:w="0" w:type="dxa"/>
              <w:right w:w="0" w:type="dxa"/>
            </w:tcMar>
            <w:vAlign w:val="center"/>
          </w:tcPr>
          <w:p w14:paraId="3B78A32C">
            <w:pPr>
              <w:widowControl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5.98</w:t>
            </w:r>
          </w:p>
        </w:tc>
        <w:tc>
          <w:tcPr>
            <w:tcW w:w="1290" w:type="dxa"/>
            <w:tcBorders>
              <w:tl2br w:val="nil"/>
              <w:tr2bl w:val="nil"/>
            </w:tcBorders>
            <w:tcMar>
              <w:top w:w="0" w:type="dxa"/>
              <w:left w:w="0" w:type="dxa"/>
              <w:bottom w:w="0" w:type="dxa"/>
              <w:right w:w="0" w:type="dxa"/>
            </w:tcMar>
            <w:vAlign w:val="center"/>
          </w:tcPr>
          <w:p w14:paraId="4947E86B">
            <w:pPr>
              <w:widowControl w:val="0"/>
              <w:jc w:val="center"/>
              <w:rPr>
                <w:rFonts w:hint="eastAsia" w:ascii="宋体" w:hAnsi="宋体" w:eastAsia="宋体" w:cs="宋体"/>
                <w:color w:val="auto"/>
                <w:sz w:val="21"/>
                <w:szCs w:val="21"/>
              </w:rPr>
            </w:pPr>
          </w:p>
        </w:tc>
      </w:tr>
      <w:tr w14:paraId="1B35D05B">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476" w:hRule="atLeast"/>
        </w:trPr>
        <w:tc>
          <w:tcPr>
            <w:tcW w:w="1209" w:type="dxa"/>
            <w:tcBorders>
              <w:tl2br w:val="nil"/>
              <w:tr2bl w:val="nil"/>
            </w:tcBorders>
            <w:tcMar>
              <w:top w:w="0" w:type="dxa"/>
              <w:left w:w="0" w:type="dxa"/>
              <w:bottom w:w="0" w:type="dxa"/>
              <w:right w:w="0" w:type="dxa"/>
            </w:tcMar>
            <w:vAlign w:val="center"/>
          </w:tcPr>
          <w:p w14:paraId="3617B44C">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12</w:t>
            </w:r>
          </w:p>
        </w:tc>
        <w:tc>
          <w:tcPr>
            <w:tcW w:w="2856" w:type="dxa"/>
            <w:tcBorders>
              <w:tl2br w:val="nil"/>
              <w:tr2bl w:val="nil"/>
            </w:tcBorders>
            <w:tcMar>
              <w:top w:w="0" w:type="dxa"/>
              <w:left w:w="0" w:type="dxa"/>
              <w:bottom w:w="0" w:type="dxa"/>
              <w:right w:w="0" w:type="dxa"/>
            </w:tcMar>
            <w:vAlign w:val="center"/>
          </w:tcPr>
          <w:p w14:paraId="68BB7986">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投资利税率</w:t>
            </w:r>
          </w:p>
        </w:tc>
        <w:tc>
          <w:tcPr>
            <w:tcW w:w="1380" w:type="dxa"/>
            <w:tcBorders>
              <w:tl2br w:val="nil"/>
              <w:tr2bl w:val="nil"/>
            </w:tcBorders>
            <w:tcMar>
              <w:top w:w="0" w:type="dxa"/>
              <w:left w:w="0" w:type="dxa"/>
              <w:bottom w:w="0" w:type="dxa"/>
              <w:right w:w="0" w:type="dxa"/>
            </w:tcMar>
            <w:vAlign w:val="center"/>
          </w:tcPr>
          <w:p w14:paraId="5BDBDE6B">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35" w:type="dxa"/>
            <w:tcBorders>
              <w:tl2br w:val="nil"/>
              <w:tr2bl w:val="nil"/>
            </w:tcBorders>
            <w:tcMar>
              <w:top w:w="0" w:type="dxa"/>
              <w:left w:w="0" w:type="dxa"/>
              <w:bottom w:w="0" w:type="dxa"/>
              <w:right w:w="0" w:type="dxa"/>
            </w:tcMar>
            <w:vAlign w:val="center"/>
          </w:tcPr>
          <w:p w14:paraId="5751DB4E">
            <w:pPr>
              <w:widowControl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4.27</w:t>
            </w:r>
          </w:p>
        </w:tc>
        <w:tc>
          <w:tcPr>
            <w:tcW w:w="1290" w:type="dxa"/>
            <w:tcBorders>
              <w:tl2br w:val="nil"/>
              <w:tr2bl w:val="nil"/>
            </w:tcBorders>
            <w:tcMar>
              <w:top w:w="0" w:type="dxa"/>
              <w:left w:w="0" w:type="dxa"/>
              <w:bottom w:w="0" w:type="dxa"/>
              <w:right w:w="0" w:type="dxa"/>
            </w:tcMar>
            <w:vAlign w:val="center"/>
          </w:tcPr>
          <w:p w14:paraId="11C63C3A">
            <w:pPr>
              <w:widowControl w:val="0"/>
              <w:jc w:val="center"/>
              <w:rPr>
                <w:rFonts w:hint="eastAsia" w:ascii="宋体" w:hAnsi="宋体" w:eastAsia="宋体" w:cs="宋体"/>
                <w:color w:val="auto"/>
                <w:sz w:val="21"/>
                <w:szCs w:val="21"/>
              </w:rPr>
            </w:pPr>
          </w:p>
        </w:tc>
      </w:tr>
      <w:tr w14:paraId="6CC82FD6">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476" w:hRule="atLeast"/>
        </w:trPr>
        <w:tc>
          <w:tcPr>
            <w:tcW w:w="1209" w:type="dxa"/>
            <w:tcBorders>
              <w:tl2br w:val="nil"/>
              <w:tr2bl w:val="nil"/>
            </w:tcBorders>
            <w:tcMar>
              <w:top w:w="0" w:type="dxa"/>
              <w:left w:w="0" w:type="dxa"/>
              <w:bottom w:w="0" w:type="dxa"/>
              <w:right w:w="0" w:type="dxa"/>
            </w:tcMar>
            <w:vAlign w:val="center"/>
          </w:tcPr>
          <w:p w14:paraId="0FAF8A45">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13</w:t>
            </w:r>
          </w:p>
        </w:tc>
        <w:tc>
          <w:tcPr>
            <w:tcW w:w="2856" w:type="dxa"/>
            <w:tcBorders>
              <w:tl2br w:val="nil"/>
              <w:tr2bl w:val="nil"/>
            </w:tcBorders>
            <w:tcMar>
              <w:top w:w="0" w:type="dxa"/>
              <w:left w:w="0" w:type="dxa"/>
              <w:bottom w:w="0" w:type="dxa"/>
              <w:right w:w="0" w:type="dxa"/>
            </w:tcMar>
            <w:vAlign w:val="center"/>
          </w:tcPr>
          <w:p w14:paraId="7812E043">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项目资本金净利润率</w:t>
            </w:r>
          </w:p>
        </w:tc>
        <w:tc>
          <w:tcPr>
            <w:tcW w:w="1380" w:type="dxa"/>
            <w:tcBorders>
              <w:tl2br w:val="nil"/>
              <w:tr2bl w:val="nil"/>
            </w:tcBorders>
            <w:tcMar>
              <w:top w:w="0" w:type="dxa"/>
              <w:left w:w="0" w:type="dxa"/>
              <w:bottom w:w="0" w:type="dxa"/>
              <w:right w:w="0" w:type="dxa"/>
            </w:tcMar>
            <w:vAlign w:val="center"/>
          </w:tcPr>
          <w:p w14:paraId="086E734A">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35" w:type="dxa"/>
            <w:tcBorders>
              <w:tl2br w:val="nil"/>
              <w:tr2bl w:val="nil"/>
            </w:tcBorders>
            <w:tcMar>
              <w:top w:w="0" w:type="dxa"/>
              <w:left w:w="0" w:type="dxa"/>
              <w:bottom w:w="0" w:type="dxa"/>
              <w:right w:w="0" w:type="dxa"/>
            </w:tcMar>
            <w:vAlign w:val="center"/>
          </w:tcPr>
          <w:p w14:paraId="72A44DED">
            <w:pPr>
              <w:widowControl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15.25</w:t>
            </w:r>
          </w:p>
        </w:tc>
        <w:tc>
          <w:tcPr>
            <w:tcW w:w="1290" w:type="dxa"/>
            <w:tcBorders>
              <w:tl2br w:val="nil"/>
              <w:tr2bl w:val="nil"/>
            </w:tcBorders>
            <w:tcMar>
              <w:top w:w="0" w:type="dxa"/>
              <w:left w:w="0" w:type="dxa"/>
              <w:bottom w:w="0" w:type="dxa"/>
              <w:right w:w="0" w:type="dxa"/>
            </w:tcMar>
            <w:vAlign w:val="center"/>
          </w:tcPr>
          <w:p w14:paraId="1D30D370">
            <w:pPr>
              <w:widowControl w:val="0"/>
              <w:jc w:val="center"/>
              <w:rPr>
                <w:rFonts w:hint="eastAsia" w:ascii="宋体" w:hAnsi="宋体" w:eastAsia="宋体" w:cs="宋体"/>
                <w:color w:val="auto"/>
                <w:sz w:val="21"/>
                <w:szCs w:val="21"/>
              </w:rPr>
            </w:pPr>
          </w:p>
        </w:tc>
      </w:tr>
      <w:tr w14:paraId="30508044">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476" w:hRule="atLeast"/>
        </w:trPr>
        <w:tc>
          <w:tcPr>
            <w:tcW w:w="1209" w:type="dxa"/>
            <w:tcBorders>
              <w:tl2br w:val="nil"/>
              <w:tr2bl w:val="nil"/>
            </w:tcBorders>
            <w:tcMar>
              <w:top w:w="0" w:type="dxa"/>
              <w:left w:w="0" w:type="dxa"/>
              <w:bottom w:w="0" w:type="dxa"/>
              <w:right w:w="0" w:type="dxa"/>
            </w:tcMar>
            <w:vAlign w:val="center"/>
          </w:tcPr>
          <w:p w14:paraId="238FAAA7">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14</w:t>
            </w:r>
          </w:p>
        </w:tc>
        <w:tc>
          <w:tcPr>
            <w:tcW w:w="2856" w:type="dxa"/>
            <w:tcBorders>
              <w:tl2br w:val="nil"/>
              <w:tr2bl w:val="nil"/>
            </w:tcBorders>
            <w:tcMar>
              <w:top w:w="0" w:type="dxa"/>
              <w:left w:w="0" w:type="dxa"/>
              <w:bottom w:w="0" w:type="dxa"/>
              <w:right w:w="0" w:type="dxa"/>
            </w:tcMar>
            <w:vAlign w:val="center"/>
          </w:tcPr>
          <w:p w14:paraId="18687FE7">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盈亏平衡点</w:t>
            </w:r>
          </w:p>
        </w:tc>
        <w:tc>
          <w:tcPr>
            <w:tcW w:w="1380" w:type="dxa"/>
            <w:tcBorders>
              <w:tl2br w:val="nil"/>
              <w:tr2bl w:val="nil"/>
            </w:tcBorders>
            <w:tcMar>
              <w:top w:w="0" w:type="dxa"/>
              <w:left w:w="0" w:type="dxa"/>
              <w:bottom w:w="0" w:type="dxa"/>
              <w:right w:w="0" w:type="dxa"/>
            </w:tcMar>
            <w:vAlign w:val="center"/>
          </w:tcPr>
          <w:p w14:paraId="08B789D8">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35" w:type="dxa"/>
            <w:tcBorders>
              <w:tl2br w:val="nil"/>
              <w:tr2bl w:val="nil"/>
            </w:tcBorders>
            <w:tcMar>
              <w:top w:w="0" w:type="dxa"/>
              <w:left w:w="0" w:type="dxa"/>
              <w:bottom w:w="0" w:type="dxa"/>
              <w:right w:w="0" w:type="dxa"/>
            </w:tcMar>
            <w:vAlign w:val="center"/>
          </w:tcPr>
          <w:p w14:paraId="2514132C">
            <w:pPr>
              <w:widowControl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50.60</w:t>
            </w:r>
          </w:p>
        </w:tc>
        <w:tc>
          <w:tcPr>
            <w:tcW w:w="1290" w:type="dxa"/>
            <w:tcBorders>
              <w:tl2br w:val="nil"/>
              <w:tr2bl w:val="nil"/>
            </w:tcBorders>
            <w:tcMar>
              <w:top w:w="0" w:type="dxa"/>
              <w:left w:w="0" w:type="dxa"/>
              <w:bottom w:w="0" w:type="dxa"/>
              <w:right w:w="0" w:type="dxa"/>
            </w:tcMar>
            <w:vAlign w:val="center"/>
          </w:tcPr>
          <w:p w14:paraId="16983954">
            <w:pPr>
              <w:widowControl w:val="0"/>
              <w:jc w:val="center"/>
              <w:rPr>
                <w:rFonts w:hint="eastAsia" w:ascii="宋体" w:hAnsi="宋体" w:eastAsia="宋体" w:cs="宋体"/>
                <w:color w:val="auto"/>
                <w:sz w:val="21"/>
                <w:szCs w:val="21"/>
              </w:rPr>
            </w:pPr>
          </w:p>
        </w:tc>
      </w:tr>
    </w:tbl>
    <w:p w14:paraId="0FA2C943">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12" w:name="_Toc1371"/>
      <w:bookmarkStart w:id="13" w:name="_Toc31455"/>
      <w:bookmarkStart w:id="14" w:name="_Toc6245"/>
      <w:r>
        <w:rPr>
          <w:rFonts w:hint="eastAsia" w:ascii="宋体" w:hAnsi="宋体" w:eastAsia="宋体" w:cs="宋体"/>
          <w:b/>
          <w:bCs/>
          <w:sz w:val="28"/>
          <w:szCs w:val="28"/>
          <w:lang w:val="en-US" w:eastAsia="zh-CN"/>
        </w:rPr>
        <w:t>1.2 企业及实际控制人概况</w:t>
      </w:r>
      <w:bookmarkEnd w:id="12"/>
      <w:bookmarkEnd w:id="13"/>
      <w:bookmarkEnd w:id="14"/>
    </w:p>
    <w:p w14:paraId="1B9ABC7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1、项目主体及实际控制人简介</w:t>
      </w:r>
    </w:p>
    <w:p w14:paraId="359CCED0">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单位为河南中原智慧冷链物流园管理运营有限公司，成立于2021年12月2日，注册资本金为人民币100万元，法定代表人为马金全，注册地址为河南省新乡市获嘉县产业集聚区416室。经营范围：一般项目：园区管理服务；商业综合体管理服务；供应链管理服务；税务服务；信息咨询服务（不含许可类信息咨询服务）；社会经济咨询服务；环保咨询服务；安全咨询服务；会议及展览服务；企业管理咨询；劳务服务（不含劳务派遣）；融资咨询服务；食品销售（仅销售预包装食品）；农产品的生产、销售、加工、运输、贮藏及其他相关服务；初级农产品收购；普通货物仓储服务（不含危险化学品等需许可审批的项目）；低温仓储（不含危险化学品等需许可审批的项目）；国内货物运输代理；林业产品销售；木材销售；礼品花卉销售；建筑材料销售；金属材料销售（除依法须经批准的项目外，凭营业执照依法自主开展经营活动）。</w:t>
      </w:r>
    </w:p>
    <w:p w14:paraId="18B1C738">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主体的唯一股东为获嘉县产业集聚区运营发展服务有限公司，成立于2020年8月7日，注册资金为人民币300万元，法定代表人高本祯，注册地：河南省获嘉县城关镇产业集聚区四楼405号。经营范围：一般项目：物业管理；房地产评估；房地产经纪；房地产咨询；住房租赁；非居住房地产租赁；建筑材料销售；铁路运输辅助活动；陆路国际货物运输代理；停车场服务；机械设备租赁；运输设备租赁服务；仓储设备租赁服务；单位后勤管理服务；企业管理；公共事业管理服务；园区管理服务；供应链管理服务；法律咨询（不包括律师事务所业务）；信息咨询服务（不含许可类信息咨询服务）；环保咨询服务；企业管理咨询；劳务服务（不含劳务派遣）；市政设施管理；城市绿化管理；建筑物清洁服务；专业保洁、清洗、消毒服务（除依法须经批准的项目外，凭营业执照依法自主开展经营活动）。</w:t>
      </w:r>
    </w:p>
    <w:p w14:paraId="7479705A">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ind w:firstLine="560" w:firstLineChars="200"/>
        <w:textAlignment w:val="baseline"/>
        <w:outlineLvl w:val="9"/>
        <w:rPr>
          <w:rFonts w:hint="default" w:ascii="宋体" w:hAnsi="宋体" w:eastAsia="宋体" w:cs="宋体"/>
          <w:b w:val="0"/>
          <w:bCs w:val="0"/>
          <w:sz w:val="28"/>
          <w:szCs w:val="28"/>
          <w:lang w:val="en-US" w:eastAsia="zh-CN"/>
        </w:rPr>
      </w:pPr>
      <w:bookmarkStart w:id="15" w:name="_Toc29965"/>
      <w:bookmarkStart w:id="16" w:name="_Toc4195"/>
      <w:bookmarkStart w:id="17" w:name="_Toc20656"/>
      <w:bookmarkStart w:id="18" w:name="_Toc24935"/>
      <w:r>
        <w:rPr>
          <w:rFonts w:hint="eastAsia" w:ascii="宋体" w:hAnsi="宋体" w:eastAsia="宋体" w:cs="宋体"/>
          <w:b w:val="0"/>
          <w:bCs w:val="0"/>
          <w:sz w:val="28"/>
          <w:szCs w:val="28"/>
          <w:lang w:val="en-US" w:eastAsia="zh-CN"/>
        </w:rPr>
        <w:t>2、用电企业简介</w:t>
      </w:r>
    </w:p>
    <w:p w14:paraId="45290E5C">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ind w:firstLine="560" w:firstLineChars="200"/>
        <w:textAlignment w:val="baseline"/>
        <w:outlineLvl w:val="9"/>
        <w:rPr>
          <w:rFonts w:hint="eastAsia" w:ascii="宋体" w:hAnsi="宋体" w:eastAsia="宋体" w:cs="宋体"/>
          <w:b w:val="0"/>
          <w:bCs w:val="0"/>
          <w:sz w:val="28"/>
          <w:szCs w:val="28"/>
          <w:lang w:val="en-US" w:eastAsia="zh-CN"/>
        </w:rPr>
      </w:pPr>
      <w:r>
        <w:rPr>
          <w:rFonts w:hint="eastAsia" w:ascii="宋体" w:hAnsi="宋体" w:eastAsia="宋体" w:cs="宋体"/>
          <w:snapToGrid/>
          <w:color w:val="auto"/>
          <w:spacing w:val="0"/>
          <w:w w:val="100"/>
          <w:kern w:val="2"/>
          <w:position w:val="0"/>
          <w:sz w:val="28"/>
          <w:szCs w:val="28"/>
          <w:lang w:val="en-US" w:eastAsia="zh-CN" w:bidi="zh-CN"/>
        </w:rPr>
        <w:t>河南大成包装材料有限公司成立于2016年，前身为成立于2005年的新乡市大成线材有限公司。地处中原大地的获嘉县域，公司依托多年来在研发、供应链、销售、服务等方面的技术沉淀与资源积累，通过不断的技术与产品创新，自创办初期20余人发展至今已达全员500余人。经过16年的行业生产经验，自行研制出多条环保、高效、节能的镀锌/镀铜产线，月产销产品12000吨，服务着国内几十家大型企业和上百家中小企业，产品畅销国内各地，产品已通过第三方SGS、RoHS检测认证。广受客户好评。公司用电量稳定，为生产筑牢根基。未来5-10年，面对行业更高要求，凭借多方面优势，公司将持续创新，拓展市场，有望在行业中不断进阶，发展潜力巨大。</w:t>
      </w:r>
    </w:p>
    <w:p w14:paraId="2D7356E8">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1.3 编制依据</w:t>
      </w:r>
      <w:bookmarkEnd w:id="15"/>
      <w:bookmarkEnd w:id="16"/>
      <w:bookmarkEnd w:id="17"/>
      <w:bookmarkEnd w:id="18"/>
    </w:p>
    <w:p w14:paraId="4E40E49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在可行性研究中作为依据的法规、文件、资料、要列出名称、来源、发布日期。并将其中必要的部分全文附后，作为可行性研究报告的附件，这些法规、文件、资料大致可分为四个部分：</w:t>
      </w:r>
    </w:p>
    <w:p w14:paraId="6F657DA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项目主管部门对项目的建设要求所下达的指令性文件；</w:t>
      </w:r>
    </w:p>
    <w:p w14:paraId="1A31EA05">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对项目承办单位或可行性研究单位的请示报告的批复文件。</w:t>
      </w:r>
    </w:p>
    <w:p w14:paraId="06F7557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可行性研究开始前已经形成的工作成果及文件。</w:t>
      </w:r>
    </w:p>
    <w:p w14:paraId="29B1B28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根据项目需要进行调查和收集的设计基础资料。</w:t>
      </w:r>
    </w:p>
    <w:p w14:paraId="548E8B4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《中华人民共和国国民经济和社会发展“十四五”规划纲要》;</w:t>
      </w:r>
    </w:p>
    <w:p w14:paraId="1314D1E8">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《新乡市“十四五”发展规划》;</w:t>
      </w:r>
    </w:p>
    <w:p w14:paraId="22684C4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《国家战略性新兴产业“十四五”发展规划》;</w:t>
      </w:r>
    </w:p>
    <w:p w14:paraId="45520DD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《国家产业结构调整指导目录(2011年本)》;</w:t>
      </w:r>
    </w:p>
    <w:p w14:paraId="68CF923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《建设项目经济评价方法与参数及使用手册》(第三版);</w:t>
      </w:r>
    </w:p>
    <w:p w14:paraId="46700A7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《工业可行性研究编制手册》;</w:t>
      </w:r>
    </w:p>
    <w:p w14:paraId="1305C498">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《现代财务会计》;</w:t>
      </w:r>
    </w:p>
    <w:p w14:paraId="5C542090">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《工业投资项目评价与决策》;</w:t>
      </w:r>
    </w:p>
    <w:p w14:paraId="0A9CBA5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项目公司提供的发展规划、有关资料及相关数据;</w:t>
      </w:r>
    </w:p>
    <w:p w14:paraId="3A4D0AAA">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国家公布的相关设备及施工标准。</w:t>
      </w:r>
    </w:p>
    <w:p w14:paraId="553954E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《公共建筑节能设计标准》（GB50189-2005）；</w:t>
      </w:r>
    </w:p>
    <w:p w14:paraId="2664256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新乡市区各项规划资料；新乡市现场调研资料；相关的地质、水文、燃料、供电、供水等资料；新乡市水、电、天然气等基本耗材价格资料；</w:t>
      </w:r>
    </w:p>
    <w:p w14:paraId="3D8CCBD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国家及地方相关的法律、法规、条例、标准规范等文件。</w:t>
      </w:r>
    </w:p>
    <w:p w14:paraId="33F31B73">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19" w:name="_Toc17379"/>
      <w:bookmarkStart w:id="20" w:name="_Toc1907"/>
      <w:bookmarkStart w:id="21" w:name="_Toc21802"/>
      <w:r>
        <w:rPr>
          <w:rFonts w:hint="eastAsia" w:ascii="宋体" w:hAnsi="宋体" w:eastAsia="宋体" w:cs="宋体"/>
          <w:b/>
          <w:bCs/>
          <w:sz w:val="28"/>
          <w:szCs w:val="28"/>
          <w:lang w:val="en-US" w:eastAsia="zh-CN"/>
        </w:rPr>
        <w:t>1.4 研究范围</w:t>
      </w:r>
      <w:bookmarkEnd w:id="19"/>
      <w:bookmarkEnd w:id="20"/>
      <w:bookmarkEnd w:id="21"/>
    </w:p>
    <w:p w14:paraId="386666F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按照国家对可行性研究报告工作范围和深度的规定，本报告对项目项目建设背景、需求分析及产出方案、项目选址与建设条件、建设规模及内容、项目建设方案、公用工程、绿色建筑、环境保护、节能、劳动安全卫生及消防、组织机构与劳动定员、项目组织及实施、项目招投标、投资估算与资金筹措、财务评价、效益分析、结论与建议等方面进行综合研究和分析，重点研究和论述项目建设的必要性、项目建设方案、投资估算、财务评价、效益分析等内容，为建设单位的决策和实施提供可靠和准确的论证。</w:t>
      </w:r>
    </w:p>
    <w:p w14:paraId="710777BD">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22" w:name="_Toc6849"/>
      <w:bookmarkStart w:id="23" w:name="_Toc13922"/>
      <w:bookmarkStart w:id="24" w:name="_Toc12322"/>
      <w:bookmarkStart w:id="25" w:name="_Toc5471"/>
      <w:r>
        <w:rPr>
          <w:rFonts w:hint="eastAsia" w:ascii="宋体" w:hAnsi="宋体" w:eastAsia="宋体" w:cs="宋体"/>
          <w:b/>
          <w:bCs/>
          <w:sz w:val="28"/>
          <w:szCs w:val="28"/>
          <w:lang w:val="en-US" w:eastAsia="zh-CN"/>
        </w:rPr>
        <w:t>1.5 结论及建议</w:t>
      </w:r>
      <w:bookmarkEnd w:id="22"/>
      <w:bookmarkEnd w:id="23"/>
      <w:bookmarkEnd w:id="24"/>
      <w:bookmarkEnd w:id="25"/>
    </w:p>
    <w:p w14:paraId="035AC193">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1.5.1 结论</w:t>
      </w:r>
    </w:p>
    <w:p w14:paraId="03A1ECBE">
      <w:pPr>
        <w:snapToGrid/>
        <w:spacing w:before="157" w:after="157" w:line="360" w:lineRule="auto"/>
        <w:ind w:left="0" w:right="0" w:firstLine="560" w:firstLineChars="200"/>
        <w:jc w:val="both"/>
      </w:pPr>
      <w:r>
        <w:rPr>
          <w:rFonts w:ascii="宋体" w:hAnsi="宋体" w:eastAsia="宋体" w:cs="宋体"/>
          <w:i w:val="0"/>
          <w:strike w:val="0"/>
          <w:color w:val="000000"/>
          <w:sz w:val="28"/>
          <w:u w:val="none"/>
        </w:rPr>
        <w:t>本项目的建设，可以充分合理的利用园区内工业厂房屋顶面积进行开发利用光能资源，满足能源可持续发展的需要；可以促进地区国民经济的可持续发展；可以加快能源电力结构调整；同时改善生态、保护环境；本工程的兴建不仅能减少对电网电力的消耗，减轻当地电网的压力，使用绿色能源，起到节约传统能源的作用，有助于提升企业形象。</w:t>
      </w:r>
    </w:p>
    <w:p w14:paraId="4D8D8C3A">
      <w:pPr>
        <w:pBdr>
          <w:bottom w:val="none" w:color="auto" w:sz="0" w:space="0"/>
        </w:pBdr>
        <w:snapToGrid/>
        <w:spacing w:before="0" w:after="0" w:line="360" w:lineRule="auto"/>
        <w:ind w:left="0" w:right="0" w:firstLine="560" w:firstLineChars="200"/>
        <w:jc w:val="both"/>
        <w:rPr>
          <w:rFonts w:hint="eastAsia" w:ascii="宋体" w:hAnsi="宋体" w:eastAsia="宋体" w:cs="宋体"/>
          <w:snapToGrid/>
          <w:color w:val="auto"/>
          <w:spacing w:val="0"/>
          <w:w w:val="100"/>
          <w:kern w:val="2"/>
          <w:position w:val="0"/>
          <w:sz w:val="28"/>
          <w:szCs w:val="28"/>
          <w:lang w:val="en-US" w:eastAsia="zh-CN" w:bidi="zh-CN"/>
        </w:rPr>
      </w:pPr>
      <w:r>
        <w:rPr>
          <w:rFonts w:ascii="宋体" w:hAnsi="宋体" w:eastAsia="宋体" w:cs="宋体"/>
          <w:i w:val="0"/>
          <w:strike w:val="0"/>
          <w:color w:val="000000"/>
          <w:sz w:val="28"/>
          <w:u w:val="none"/>
        </w:rPr>
        <w:t>经过以上分析，可知本项目在接入、技术、经济、节能减排指标方面是可行的，项目具备建设条件</w:t>
      </w:r>
      <w:r>
        <w:rPr>
          <w:rFonts w:hint="eastAsia" w:ascii="宋体" w:hAnsi="宋体" w:eastAsia="宋体" w:cs="宋体"/>
          <w:snapToGrid/>
          <w:color w:val="auto"/>
          <w:spacing w:val="0"/>
          <w:w w:val="100"/>
          <w:kern w:val="2"/>
          <w:position w:val="0"/>
          <w:sz w:val="28"/>
          <w:szCs w:val="28"/>
          <w:lang w:val="en-US" w:eastAsia="zh-CN" w:bidi="zh-CN"/>
        </w:rPr>
        <w:t>。</w:t>
      </w:r>
    </w:p>
    <w:p w14:paraId="4FAA3E0E">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1.5.2 建议</w:t>
      </w:r>
    </w:p>
    <w:p w14:paraId="79C6CF0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为保证本项目能够顺利、稳妥的建设和发展，应注意以下几个方面：</w:t>
      </w:r>
    </w:p>
    <w:p w14:paraId="28E4981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1、应积极筹措建设资金，保证项目顺利建设，强化项目进程中的投资、质量、进度计划，注重对可能发生的不利条件及变化因素的预测与防范对策，以保证项目按期完成。</w:t>
      </w:r>
    </w:p>
    <w:p w14:paraId="0E4AF44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2、建议政府出台相关政策，对源网荷储一体化项目给予财政补贴、税收优惠等支持措施；</w:t>
      </w:r>
    </w:p>
    <w:p w14:paraId="065487F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3、加强对当地企业的宣传教育，提高企业对新能源电力的认知度和接受度，促进社会各界的参与和支持；</w:t>
      </w:r>
    </w:p>
    <w:p w14:paraId="6010CC8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14:paraId="3429F48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br w:type="page"/>
      </w:r>
    </w:p>
    <w:p w14:paraId="5D8DE554">
      <w:pPr>
        <w:keepNext w:val="0"/>
        <w:keepLines w:val="0"/>
        <w:pageBreakBefore w:val="0"/>
        <w:widowControl/>
        <w:kinsoku w:val="0"/>
        <w:wordWrap/>
        <w:overflowPunct/>
        <w:topLinePunct w:val="0"/>
        <w:autoSpaceDE w:val="0"/>
        <w:autoSpaceDN w:val="0"/>
        <w:bidi w:val="0"/>
        <w:adjustRightInd/>
        <w:snapToGrid/>
        <w:spacing w:before="0" w:beforeLines="100" w:after="0" w:afterLines="100" w:line="360" w:lineRule="auto"/>
        <w:jc w:val="center"/>
        <w:textAlignment w:val="baseline"/>
        <w:outlineLvl w:val="0"/>
        <w:rPr>
          <w:rFonts w:hint="eastAsia" w:ascii="宋体" w:hAnsi="宋体" w:eastAsia="宋体" w:cs="宋体"/>
          <w:b/>
          <w:bCs/>
          <w:sz w:val="36"/>
          <w:szCs w:val="36"/>
        </w:rPr>
      </w:pPr>
      <w:bookmarkStart w:id="26" w:name="_Toc2447"/>
      <w:bookmarkStart w:id="27" w:name="_Toc1140"/>
      <w:r>
        <w:rPr>
          <w:rFonts w:hint="eastAsia" w:ascii="宋体" w:hAnsi="宋体" w:eastAsia="宋体" w:cs="宋体"/>
          <w:b/>
          <w:bCs/>
          <w:sz w:val="36"/>
          <w:szCs w:val="36"/>
        </w:rPr>
        <w:t>第二章 项目建设背景及必要性</w:t>
      </w:r>
      <w:bookmarkEnd w:id="26"/>
      <w:bookmarkEnd w:id="27"/>
    </w:p>
    <w:p w14:paraId="0431DAC9">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28" w:name="_Toc29717"/>
      <w:bookmarkStart w:id="29" w:name="_Toc5056"/>
      <w:r>
        <w:rPr>
          <w:rFonts w:hint="eastAsia" w:ascii="宋体" w:hAnsi="宋体" w:eastAsia="宋体" w:cs="宋体"/>
          <w:b/>
          <w:bCs/>
          <w:sz w:val="28"/>
          <w:szCs w:val="28"/>
        </w:rPr>
        <w:t>2.1 规划政策符合性</w:t>
      </w:r>
      <w:bookmarkEnd w:id="28"/>
      <w:bookmarkEnd w:id="29"/>
    </w:p>
    <w:p w14:paraId="4BBE20D0">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2.1.1 项目建设背景和前期工作进展情况</w:t>
      </w:r>
    </w:p>
    <w:p w14:paraId="13343056">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2.1.1.1 项目建设背景</w:t>
      </w:r>
    </w:p>
    <w:p w14:paraId="5CA2F340">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随着全球能源结构加速向绿色低碳转型，我国明确提出 “碳达峰、碳中和” 战略目标，将发展可再生能源、构建新型电力系统作为推动能源革命和实现 “双碳” 目标的核心路径。国家层面持续出台政策，大力支持分布式光伏、源网荷储一体化、新型储能等清洁能源项目建设，鼓励通过多能互补、就地消纳的方式提升新能源利用效率，减少化石能源消耗与碳排放。在宏观政策引导下，各地纷纷加快能源结构调整，推动工业、园区、企业等重点领域节能降碳，绿色电力供应、低碳用能模式已成为区域高质量发展的重要标志。本项目正是在国家 “双碳” 战略全面推进、能源转型持续深化的大背景下谋划实施，通过开发利用太阳能资源、配套建设储能设施，实现清洁能源规模化开发与高效化利用，既响应国家绿色低碳发展号召，也为地方落实能耗双控、碳排放管控要求提供重要支撑。</w:t>
      </w:r>
    </w:p>
    <w:p w14:paraId="3A7BBFEB">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随着新一轮电力市场化改革向纵深推进，全国统一电力市场体系加快建设，电力现货市场、辅助服务市场、容量电价机制逐步完善，为新型储能市场化、商业化运营创造了良好政策环境。国家先后印发《关于推进电力源网荷储一体化和多能互补发展的指导意见》《关于加快推动新型储能发展的指导意见》等文件，明确支持储能作为独立市场主体参与电力交易，鼓励通过峰谷套利、调峰调频、容量补偿等方式实现多元盈利。发改价格〔2023〕114 号文件进一步完善了容量电价机制，为电网侧储能提供稳定收益保障；《河南电力辅助服务市场交易细则》则细化了储能参与调峰、调频等辅助服务的交易规则、补偿标准与执行流程。在政策红利持续释放的背景下，源网荷储一体化项目不再局限于单纯供电功能，而是可以深度融入电力市场体系，实现 “发电有收益、储能有效益、运行可持续” 的良性循环，为本项目实施提供了坚实的制度保障和市场基础。</w:t>
      </w:r>
    </w:p>
    <w:p w14:paraId="3FD91CF4">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从区域用能实际来看，获嘉县及周边区域工业企业密集，生产经营用电需求大、负荷稳定，企业长期依赖传统电网供电，用电成本受电价波动、峰谷价差、能源价格上涨等因素影响较为明显，生产成本持续承压。同时，随着环保与能耗管控日趋严格，企业面临节能降碳、提高绿电消费比例、完成可再生能源消纳权重等多重任务，传统用能模式已难以满足新形势下的发展要求。推动企业用能转型、降低用能成本、提升用能可靠性，成为工业企业稳定经营、提升竞争力的迫切需求。本项目周边负荷需求企业众多，电力消纳空间充足，具备发展分布式新能源和储能项目的天然优势，通过就近建设光伏电站、配套储能设施，可有效盘活闲置屋顶资源，实现清洁电力就地生产、就近消纳，既缓解企业用电成本压力，也助力企业加快绿色低碳转型，契合地方产业发展与能源保障的现实需要。</w:t>
      </w:r>
    </w:p>
    <w:p w14:paraId="2A4F4AE5">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color w:val="auto"/>
          <w:sz w:val="28"/>
          <w:szCs w:val="28"/>
        </w:rPr>
      </w:pPr>
      <w:r>
        <w:rPr>
          <w:rFonts w:hint="eastAsia" w:ascii="宋体" w:hAnsi="宋体" w:eastAsia="宋体" w:cs="宋体"/>
          <w:snapToGrid/>
          <w:color w:val="auto"/>
          <w:spacing w:val="0"/>
          <w:w w:val="100"/>
          <w:kern w:val="2"/>
          <w:position w:val="0"/>
          <w:sz w:val="28"/>
          <w:szCs w:val="28"/>
          <w:lang w:val="en-US" w:eastAsia="zh-CN" w:bidi="zh-CN"/>
        </w:rPr>
        <w:t>综合能源发展趋势、政策导向与区域用能需求，建设源网荷储一体化项目具备显著的必要性与可行性。项目以分布式光伏为清洁电源，以电网侧储能为调节支撑，以周边工业企业为核心负荷载体，通过 “源网荷储” 协同运行，实现光伏发电优先直供河南大成包装材料有限公司，储能系统独立参与电力市场化交易，兼顾企业降本、电网调节、项目盈利等多重目标。项目建设既有利于优化区域能源供给结构，提升新能源消纳水平，增强电网灵活性与安全性，也能够充分发挥电力市场化改革红利，通过峰谷价差、辅助服务补偿、容量电价等方式拓宽收益渠道，实现生态效益、社会效益与经济效益统一。在此背景下，启动本项目建设，既是落实国家 “双碳” 战略与电力改革要求的具体行动，也是服务地方工业企业绿色发展、保障区域用能安全稳定、推动县域能源高质量发展的重要举措，具有较强的示范意义与推广价值</w:t>
      </w:r>
      <w:r>
        <w:rPr>
          <w:rFonts w:hint="eastAsia" w:ascii="宋体" w:hAnsi="宋体" w:eastAsia="宋体" w:cs="宋体"/>
          <w:color w:val="auto"/>
          <w:sz w:val="28"/>
          <w:szCs w:val="28"/>
        </w:rPr>
        <w:t>。</w:t>
      </w:r>
    </w:p>
    <w:p w14:paraId="58F27B6E">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2.1.2 经济社会发展规划、产业政策</w:t>
      </w:r>
    </w:p>
    <w:p w14:paraId="387FE8DA">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ind w:firstLine="561" w:firstLineChars="200"/>
        <w:textAlignment w:val="baseline"/>
        <w:rPr>
          <w:rFonts w:hint="eastAsia" w:ascii="宋体" w:hAnsi="宋体" w:eastAsia="宋体" w:cs="宋体"/>
          <w:b/>
          <w:bCs/>
          <w:sz w:val="28"/>
          <w:szCs w:val="28"/>
        </w:rPr>
      </w:pPr>
      <w:r>
        <w:rPr>
          <w:rFonts w:hint="eastAsia" w:ascii="宋体" w:hAnsi="宋体" w:eastAsia="宋体" w:cs="宋体"/>
          <w:b/>
          <w:bCs/>
          <w:sz w:val="28"/>
          <w:szCs w:val="28"/>
          <w:lang w:val="en-US" w:eastAsia="zh-CN"/>
        </w:rPr>
        <w:t>1、</w:t>
      </w:r>
      <w:r>
        <w:rPr>
          <w:rFonts w:hint="eastAsia" w:ascii="宋体" w:hAnsi="宋体" w:eastAsia="宋体" w:cs="宋体"/>
          <w:b/>
          <w:bCs/>
          <w:sz w:val="28"/>
          <w:szCs w:val="28"/>
        </w:rPr>
        <w:t>《国家发展改革委 国家能源局关于推进电力源网荷储一体化和多能互补发展的指导意见》</w:t>
      </w:r>
    </w:p>
    <w:p w14:paraId="57A4469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意见中提出要创新电力生产和消费模式，推进源网荷储一体化发展。鼓励各类市场主体积极参与，探索多种实施路径和商业模式。通过优化电源结构、提升电网灵活性、引导用户侧互动以及加强储能设施建设等措施，实现电力系统的源网荷储各环节深度融合与协调运行，提高电力系统的综合效率和可靠性，促进清洁能源的大规模开发利用和能源的可持续发展。</w:t>
      </w:r>
    </w:p>
    <w:p w14:paraId="75D9F5C3">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ind w:firstLine="561" w:firstLineChars="200"/>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2、《国家发展改革委、国家能源局关于加强电网调峰储能和智能化调度能力建设的指导意见》</w:t>
      </w:r>
    </w:p>
    <w:p w14:paraId="40936ADF">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ind w:firstLine="560" w:firstLineChars="200"/>
        <w:textAlignment w:val="baseline"/>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t>以习近平新时代中国特色社会主义思想为指导，统筹优化调峰资源，推动源网荷储各类调节资源作用发挥。要求加强调峰能力建设，推进储能能力建设，推动智能化调度能力建设等。同时，积极推动各类调节资源参与电力市场，建立健全价格机制，健全完善管理体系，以提升电力系统调节能力，保障能源电力安全稳定供应和可再生能源高质量消纳等。</w:t>
      </w:r>
    </w:p>
    <w:p w14:paraId="572F2E4B">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ind w:firstLine="561" w:firstLineChars="200"/>
        <w:textAlignment w:val="baseline"/>
        <w:rPr>
          <w:rFonts w:hint="eastAsia" w:ascii="宋体" w:hAnsi="宋体" w:eastAsia="宋体" w:cs="宋体"/>
          <w:b/>
          <w:bCs/>
          <w:sz w:val="28"/>
          <w:szCs w:val="28"/>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《关于推进源网荷储一体化和多能互补项目实施的通知》</w:t>
      </w:r>
    </w:p>
    <w:p w14:paraId="54E541A5">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通知中明确了源网荷储一体化和多能互补项目的实施要求和流程。要求各地要结合实际情况，制定具体的项目实施方案，加强项目储备和管理。在项目实施过程中，要注重项目的技术经济性和安全性，鼓励采用先进的技术和设备。同时，要建立健全项目的评估和监管机制，确保项目的顺利实施和预期效果的实现，推动源网荷储一体化和多能互补项目的规模化发展。</w:t>
      </w:r>
    </w:p>
    <w:p w14:paraId="099AE2ED">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ind w:left="0" w:leftChars="0" w:firstLine="561" w:firstLineChars="200"/>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
          <w:woUserID w:val="1"/>
        </w:rPr>
        <w:t>4、</w:t>
      </w:r>
      <w:r>
        <w:rPr>
          <w:rFonts w:hint="eastAsia" w:ascii="宋体" w:hAnsi="宋体" w:eastAsia="宋体" w:cs="宋体"/>
          <w:b/>
          <w:bCs/>
          <w:sz w:val="28"/>
          <w:szCs w:val="28"/>
          <w:lang w:val="en-US" w:eastAsia="zh-CN"/>
        </w:rPr>
        <w:t xml:space="preserve"> 《能源局综合司关于报送源网荷储一体化和多能互补项目有关情况的通知》</w:t>
      </w:r>
    </w:p>
    <w:p w14:paraId="707DD82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通知中要求各地能源主管部门报送源网荷储一体化和多能互补项目的有关情况，包括项目的基本信息、进展情况、存在的问题等。旨在全面了解各地项目的实施现状，及时发现和解决项目推进过程中存在的问题，加强对项目的跟踪和指导，为进一步完善相关政策和措施提供依据，促进源网荷储一体化和多能互补项目的健康发展。</w:t>
      </w:r>
    </w:p>
    <w:p w14:paraId="24123257">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ind w:left="0" w:leftChars="0" w:firstLine="561" w:firstLineChars="200"/>
        <w:textAlignment w:val="baseline"/>
        <w:rPr>
          <w:rFonts w:hint="eastAsia" w:ascii="宋体" w:hAnsi="宋体" w:eastAsia="宋体" w:cs="宋体"/>
          <w:b/>
          <w:bCs/>
          <w:sz w:val="28"/>
          <w:szCs w:val="28"/>
        </w:rPr>
      </w:pPr>
      <w:r>
        <w:rPr>
          <w:rFonts w:hint="eastAsia" w:ascii="宋体" w:hAnsi="宋体" w:eastAsia="宋体" w:cs="宋体"/>
          <w:b/>
          <w:bCs/>
          <w:sz w:val="28"/>
          <w:szCs w:val="28"/>
          <w:lang w:eastAsia="zh"/>
          <w:woUserID w:val="1"/>
        </w:rPr>
        <w:t>5、</w:t>
      </w:r>
      <w:r>
        <w:rPr>
          <w:rFonts w:hint="eastAsia" w:ascii="宋体" w:hAnsi="宋体" w:eastAsia="宋体" w:cs="宋体"/>
          <w:b/>
          <w:bCs/>
          <w:sz w:val="28"/>
          <w:szCs w:val="28"/>
        </w:rPr>
        <w:t>《河南省加快推进源网荷储一体化实施方案》</w:t>
      </w:r>
    </w:p>
    <w:p w14:paraId="49C759E8">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该方案拓展了源网荷储一体化项目的实施范围，涵盖工商业企业、产业园区等多种场景。重点任务包括加快科技创新应用，加强清洁能源供应，推动配网改造升级，优化电力负荷管理以及提速发展新型储能等。同时提出强化政策支持、保障并网消纳、营造良好环境等保障措施，以构建灵活智能、稳定高效的智能微电网，实现新能源的高效消纳和源网荷储各环节的协同互动。</w:t>
      </w:r>
      <w:r>
        <w:rPr>
          <w:rFonts w:hint="eastAsia" w:ascii="宋体" w:hAnsi="宋体" w:eastAsia="宋体" w:cs="宋体"/>
          <w:b/>
          <w:snapToGrid/>
          <w:color w:val="auto"/>
          <w:spacing w:val="0"/>
          <w:w w:val="100"/>
          <w:kern w:val="2"/>
          <w:position w:val="0"/>
          <w:sz w:val="28"/>
          <w:szCs w:val="28"/>
          <w:lang w:val="en-US" w:eastAsia="zh-CN" w:bidi="zh-CN"/>
        </w:rPr>
        <w:t>新乡市作为河南省中心城市，在2027年前需建成70个源网荷储项目目标任务。</w:t>
      </w:r>
    </w:p>
    <w:p w14:paraId="3F31856E">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drawing>
          <wp:inline distT="0" distB="0" distL="0" distR="0">
            <wp:extent cx="5274310" cy="4072255"/>
            <wp:effectExtent l="0" t="0" r="0" b="0"/>
            <wp:docPr id="11"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a:blip r:embed="rId10"/>
                    <a:stretch>
                      <a:fillRect/>
                    </a:stretch>
                  </pic:blipFill>
                  <pic:spPr>
                    <a:xfrm>
                      <a:off x="0" y="0"/>
                      <a:ext cx="5274310" cy="4072360"/>
                    </a:xfrm>
                    <a:prstGeom prst="rect">
                      <a:avLst/>
                    </a:prstGeom>
                  </pic:spPr>
                </pic:pic>
              </a:graphicData>
            </a:graphic>
          </wp:inline>
        </w:drawing>
      </w:r>
    </w:p>
    <w:p w14:paraId="3E9420BD">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ind w:left="0" w:leftChars="0" w:firstLine="561" w:firstLineChars="200"/>
        <w:textAlignment w:val="baseline"/>
        <w:rPr>
          <w:rFonts w:hint="eastAsia" w:ascii="宋体" w:hAnsi="宋体" w:eastAsia="宋体" w:cs="宋体"/>
          <w:b/>
          <w:bCs/>
          <w:sz w:val="28"/>
          <w:szCs w:val="28"/>
        </w:rPr>
      </w:pPr>
      <w:r>
        <w:rPr>
          <w:rFonts w:hint="eastAsia" w:ascii="宋体" w:hAnsi="宋体" w:eastAsia="宋体" w:cs="宋体"/>
          <w:b/>
          <w:bCs/>
          <w:sz w:val="28"/>
          <w:szCs w:val="28"/>
          <w:lang w:eastAsia="zh"/>
          <w:woUserID w:val="1"/>
        </w:rPr>
        <w:t>6、</w:t>
      </w:r>
      <w:r>
        <w:rPr>
          <w:rFonts w:hint="eastAsia" w:ascii="宋体" w:hAnsi="宋体" w:eastAsia="宋体" w:cs="宋体"/>
          <w:b/>
          <w:bCs/>
          <w:sz w:val="28"/>
          <w:szCs w:val="28"/>
        </w:rPr>
        <w:t>《河南省工业企业源网荷储一体化项目实施细则（暂行）》</w:t>
      </w:r>
    </w:p>
    <w:p w14:paraId="5338D19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明确了项目建设模式、电源和储能设施规模、消纳运行和安全、并网时间和接入要求等。规定用电量较大的工业企业可结合自身用电特性，利用 20 公里范围内新能源资源建设分布式光伏或分散式风电，适当配置储能设施，提升绿电使用比例和系统运行效率，实现源网荷储一体化运行。</w:t>
      </w:r>
    </w:p>
    <w:p w14:paraId="2F6B9E6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leftChars="0" w:firstLine="561" w:firstLineChars="200"/>
        <w:jc w:val="both"/>
        <w:textAlignment w:val="auto"/>
        <w:outlineLvl w:val="9"/>
        <w:rPr>
          <w:rFonts w:hint="default" w:ascii="宋体" w:hAnsi="宋体" w:eastAsia="宋体" w:cs="宋体"/>
          <w:b/>
          <w:bCs/>
          <w:snapToGrid/>
          <w:color w:val="auto"/>
          <w:spacing w:val="0"/>
          <w:w w:val="100"/>
          <w:kern w:val="2"/>
          <w:position w:val="0"/>
          <w:sz w:val="28"/>
          <w:szCs w:val="28"/>
          <w:lang w:val="en-US" w:eastAsia="zh-CN" w:bidi="zh-CN"/>
        </w:rPr>
      </w:pPr>
      <w:r>
        <w:rPr>
          <w:rFonts w:hint="eastAsia" w:ascii="宋体" w:hAnsi="宋体" w:eastAsia="宋体" w:cs="宋体"/>
          <w:b/>
          <w:bCs/>
          <w:snapToGrid/>
          <w:color w:val="auto"/>
          <w:spacing w:val="0"/>
          <w:w w:val="100"/>
          <w:kern w:val="2"/>
          <w:position w:val="0"/>
          <w:sz w:val="28"/>
          <w:szCs w:val="28"/>
          <w:lang w:val="en-US" w:eastAsia="zh" w:bidi="zh-CN"/>
          <w:woUserID w:val="1"/>
        </w:rPr>
        <w:t>7、</w:t>
      </w:r>
      <w:r>
        <w:rPr>
          <w:rFonts w:hint="eastAsia" w:ascii="宋体" w:hAnsi="宋体" w:eastAsia="宋体" w:cs="宋体"/>
          <w:b/>
          <w:bCs/>
          <w:snapToGrid/>
          <w:color w:val="auto"/>
          <w:spacing w:val="0"/>
          <w:w w:val="100"/>
          <w:kern w:val="2"/>
          <w:position w:val="0"/>
          <w:sz w:val="28"/>
          <w:szCs w:val="28"/>
          <w:lang w:val="en-US" w:eastAsia="zh-CN" w:bidi="zh-CN"/>
        </w:rPr>
        <w:t>《关于深化新能源上网电价市场化改革 促进新能源高质量发展的通知》（发改价格〔2025〕136 号）</w:t>
      </w:r>
    </w:p>
    <w:p w14:paraId="293A57FB">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该文件核心是推动新能源上网电价全面市场化，构建 “市场交易 + 差价结算” 的新型价格机制。明确风电、太阳能发电项目上网电量原则上全部进入电力市场，电价通过中长期、现货等交易形成，完善市场交易规则，缩短交易周期、放宽价格限制。以 2025 年 6 月 1 日为界，对存量与增量新能源项目分类施策，存量项目机制电价按现行政策执行，不高于当地煤电基准价，增量项目机制电价通过市场化竞价确定。建立新能源可持续发展价格结算机制，对纳入保障范围的机制电量，市场交易均价与机制电价的差额由电网企业结算，费用纳入当地系统运行费用，同时取消强制配储要求，引导新能源从政策驱动转向市场驱动，推动行业高质量转型。</w:t>
      </w:r>
    </w:p>
    <w:p w14:paraId="0689557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leftChars="0" w:firstLine="561" w:firstLineChars="200"/>
        <w:jc w:val="both"/>
        <w:textAlignment w:val="auto"/>
        <w:outlineLvl w:val="9"/>
        <w:rPr>
          <w:rFonts w:hint="default" w:ascii="宋体" w:hAnsi="宋体" w:eastAsia="宋体" w:cs="宋体"/>
          <w:b/>
          <w:bCs/>
          <w:snapToGrid/>
          <w:color w:val="auto"/>
          <w:spacing w:val="0"/>
          <w:w w:val="100"/>
          <w:kern w:val="2"/>
          <w:position w:val="0"/>
          <w:sz w:val="28"/>
          <w:szCs w:val="28"/>
          <w:lang w:val="en-US" w:eastAsia="zh-CN" w:bidi="zh-CN"/>
        </w:rPr>
      </w:pPr>
      <w:r>
        <w:rPr>
          <w:rFonts w:hint="eastAsia" w:ascii="宋体" w:hAnsi="宋体" w:eastAsia="宋体" w:cs="宋体"/>
          <w:b/>
          <w:bCs/>
          <w:snapToGrid/>
          <w:color w:val="auto"/>
          <w:spacing w:val="0"/>
          <w:w w:val="100"/>
          <w:kern w:val="2"/>
          <w:position w:val="0"/>
          <w:sz w:val="28"/>
          <w:szCs w:val="28"/>
          <w:lang w:val="en-US" w:eastAsia="zh" w:bidi="zh-CN"/>
          <w:woUserID w:val="1"/>
        </w:rPr>
        <w:t>8、</w:t>
      </w:r>
      <w:r>
        <w:rPr>
          <w:rFonts w:hint="eastAsia" w:ascii="宋体" w:hAnsi="宋体" w:eastAsia="宋体" w:cs="宋体"/>
          <w:b/>
          <w:bCs/>
          <w:snapToGrid/>
          <w:color w:val="auto"/>
          <w:spacing w:val="0"/>
          <w:w w:val="100"/>
          <w:kern w:val="2"/>
          <w:position w:val="0"/>
          <w:sz w:val="28"/>
          <w:szCs w:val="28"/>
          <w:lang w:val="en-US" w:eastAsia="zh-CN" w:bidi="zh-CN"/>
        </w:rPr>
        <w:t>《河南电力现货市场 2026 年连续结算试运行工作方案》</w:t>
      </w:r>
    </w:p>
    <w:p w14:paraId="55BD4F6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推进河南电力现货市场连续结算运行，完善电力市场价格形成与交易结算体系。明确新能源、独立储能等主体全面参与日前、实时现货市场，实行全电量差价结算模式，电能量电费由实时市场全电量电费、日前市场差价及中长期合约差价构成。设定现货市场价格限价区间，规范市场主体报价、出清与考核规则，对独立储能等主体参与市场的方式、偏差考核机制作出细化规定。建立试运行期间的临时差额补偿机制，保障市场主体基本收益，同时优化中长期交易机制，支持日、旬等高频交易，鼓励用户通过分时段合同管理价格风险，强化现货价格信号引导作用，推动电力资源高效配置，为新能源与储能市场化运营提供制度支撑。</w:t>
      </w:r>
    </w:p>
    <w:p w14:paraId="79C5498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leftChars="0" w:firstLine="561" w:firstLineChars="200"/>
        <w:jc w:val="both"/>
        <w:textAlignment w:val="auto"/>
        <w:outlineLvl w:val="9"/>
        <w:rPr>
          <w:rFonts w:hint="default" w:ascii="宋体" w:hAnsi="宋体" w:eastAsia="宋体" w:cs="宋体"/>
          <w:b/>
          <w:bCs/>
          <w:snapToGrid/>
          <w:color w:val="auto"/>
          <w:spacing w:val="0"/>
          <w:w w:val="100"/>
          <w:kern w:val="2"/>
          <w:position w:val="0"/>
          <w:sz w:val="28"/>
          <w:szCs w:val="28"/>
          <w:lang w:val="en-US" w:eastAsia="zh-CN" w:bidi="zh-CN"/>
        </w:rPr>
      </w:pPr>
      <w:r>
        <w:rPr>
          <w:rFonts w:hint="eastAsia" w:ascii="宋体" w:hAnsi="宋体" w:eastAsia="宋体" w:cs="宋体"/>
          <w:b/>
          <w:bCs/>
          <w:snapToGrid/>
          <w:color w:val="auto"/>
          <w:spacing w:val="0"/>
          <w:w w:val="100"/>
          <w:kern w:val="2"/>
          <w:position w:val="0"/>
          <w:sz w:val="28"/>
          <w:szCs w:val="28"/>
          <w:lang w:val="en-US" w:eastAsia="zh" w:bidi="zh-CN"/>
          <w:woUserID w:val="1"/>
        </w:rPr>
        <w:t>9、</w:t>
      </w:r>
      <w:r>
        <w:rPr>
          <w:rFonts w:hint="eastAsia" w:ascii="宋体" w:hAnsi="宋体" w:eastAsia="宋体" w:cs="宋体"/>
          <w:b/>
          <w:bCs/>
          <w:snapToGrid/>
          <w:color w:val="auto"/>
          <w:spacing w:val="0"/>
          <w:w w:val="100"/>
          <w:kern w:val="2"/>
          <w:position w:val="0"/>
          <w:sz w:val="28"/>
          <w:szCs w:val="28"/>
          <w:lang w:val="en-US" w:eastAsia="zh-CN" w:bidi="zh-CN"/>
        </w:rPr>
        <w:t>《推动河南省新型储能高质量发展的若干措施》（豫发改能综〔2026〕186 号）</w:t>
      </w:r>
    </w:p>
    <w:p w14:paraId="49D3A48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文件围绕 2030 年新型储能装机 2300 万千瓦目标，构建全链条支持体系。</w:t>
      </w:r>
      <w:r>
        <w:rPr>
          <w:rFonts w:hint="eastAsia" w:ascii="宋体" w:hAnsi="宋体" w:eastAsia="宋体" w:cs="宋体"/>
          <w:snapToGrid/>
          <w:color w:val="auto"/>
          <w:spacing w:val="0"/>
          <w:w w:val="100"/>
          <w:kern w:val="2"/>
          <w:position w:val="0"/>
          <w:sz w:val="28"/>
          <w:szCs w:val="28"/>
          <w:lang w:val="en-US" w:eastAsia="zh" w:bidi="zh-CN"/>
          <w:woUserID w:val="1"/>
        </w:rPr>
        <w:t>鼓励达到标准的用户侧储能“能转尽转”为电网侧独立储能，</w:t>
      </w:r>
      <w:r>
        <w:rPr>
          <w:rFonts w:hint="eastAsia" w:ascii="宋体" w:hAnsi="宋体" w:eastAsia="宋体" w:cs="宋体"/>
          <w:snapToGrid/>
          <w:color w:val="auto"/>
          <w:spacing w:val="0"/>
          <w:w w:val="100"/>
          <w:kern w:val="2"/>
          <w:position w:val="0"/>
          <w:sz w:val="28"/>
          <w:szCs w:val="28"/>
          <w:lang w:val="en-US" w:eastAsia="zh-CN" w:bidi="zh-CN"/>
        </w:rPr>
        <w:t>明确支持独立储能参与电力现货、调峰辅助服务市场，充电电量免收输配电价及政府性基金附加，健全容量电价补偿机制。鼓励新能源配建储能转独立储能，简化转改流程，落实储能容量全省统一租赁、跨区域调配政策。对用户侧源网荷储一体化项目给予政策倾斜，明确化工、制造等重点应用场景，对符合技术标准的优质储能项目在纳规、审批、并网环节开通绿色通道。给予财政、融资支持，对达标储能项目给予资金奖励，实施 “储能 + 新能源” 资源配置联动激励，推动储能多元化盈利，提升系统调节能力。</w:t>
      </w:r>
    </w:p>
    <w:p w14:paraId="48CBB61B">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1"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 w:bidi="zh-CN"/>
          <w:woUserID w:val="1"/>
        </w:rPr>
      </w:pPr>
      <w:r>
        <w:rPr>
          <w:rFonts w:hint="eastAsia" w:ascii="宋体" w:hAnsi="宋体" w:eastAsia="宋体" w:cs="宋体"/>
          <w:b/>
          <w:bCs/>
          <w:snapToGrid/>
          <w:color w:val="auto"/>
          <w:spacing w:val="0"/>
          <w:w w:val="100"/>
          <w:kern w:val="2"/>
          <w:position w:val="0"/>
          <w:sz w:val="28"/>
          <w:szCs w:val="28"/>
          <w:lang w:val="en-US" w:eastAsia="zh" w:bidi="zh-CN"/>
          <w:woUserID w:val="1"/>
        </w:rPr>
        <w:t>10、</w:t>
      </w:r>
      <w:r>
        <w:rPr>
          <w:rFonts w:hint="eastAsia" w:ascii="宋体" w:hAnsi="宋体" w:eastAsia="宋体" w:cs="宋体"/>
          <w:b/>
          <w:bCs/>
          <w:snapToGrid/>
          <w:color w:val="auto"/>
          <w:spacing w:val="0"/>
          <w:w w:val="100"/>
          <w:kern w:val="2"/>
          <w:position w:val="0"/>
          <w:sz w:val="28"/>
          <w:szCs w:val="28"/>
          <w:lang w:val="en-US" w:eastAsia="zh-CN" w:bidi="zh-CN"/>
          <w:woUserID w:val="1"/>
        </w:rPr>
        <w:t>《关于</w:t>
      </w:r>
      <w:r>
        <w:rPr>
          <w:rFonts w:hint="eastAsia" w:ascii="宋体" w:hAnsi="宋体" w:eastAsia="宋体" w:cs="宋体"/>
          <w:b/>
          <w:bCs/>
          <w:snapToGrid/>
          <w:color w:val="auto"/>
          <w:spacing w:val="0"/>
          <w:w w:val="100"/>
          <w:kern w:val="2"/>
          <w:position w:val="0"/>
          <w:sz w:val="28"/>
          <w:szCs w:val="28"/>
          <w:lang w:val="en-US" w:eastAsia="zh-CN" w:bidi="zh-CN"/>
          <w:woUserID w:val="1"/>
        </w:rPr>
        <w:t>完善发电侧容量电价机制的通知》发改价格〔2026〕114号</w:t>
      </w:r>
    </w:p>
    <w:p w14:paraId="1F7041A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 w:bidi="zh-CN"/>
          <w:woUserID w:val="1"/>
        </w:rPr>
      </w:pPr>
      <w:r>
        <w:rPr>
          <w:rFonts w:hint="eastAsia" w:ascii="宋体" w:hAnsi="宋体" w:eastAsia="宋体" w:cs="宋体"/>
          <w:snapToGrid/>
          <w:color w:val="auto"/>
          <w:spacing w:val="0"/>
          <w:w w:val="100"/>
          <w:kern w:val="2"/>
          <w:position w:val="0"/>
          <w:sz w:val="28"/>
          <w:szCs w:val="28"/>
          <w:lang w:val="en-US" w:eastAsia="zh" w:bidi="zh-CN"/>
          <w:woUserID w:val="1"/>
        </w:rPr>
        <w:t>文件核心在于首次将电网侧独立新型储能纳入国家容量电价保障体系，为新型储能构建稳定收益底座。文件明确，对服务系统安全、未参与新能源配储的独立储能，各地可在煤电容量电价基准上，按满功率放电时长、顶峰贡献折算定价。机制实行清单制管理，容量电费纳入系统运行费用、由工商业用户分摊。同时衔接《河南电力辅助服务市场交易细则》，储能可同步获取峰谷套利、调峰调频、备用等辅助服务收益。114 号文从国家层面确认储能容量价值，实现与煤电 “同工同酬”，叠加辅助服务市场化，形成 “容量保底 + 市场增收” 模式，彻底解决独立储能收益不稳痛点，强力支撑源网荷储项目可持续运营。</w:t>
      </w:r>
    </w:p>
    <w:p w14:paraId="16605259">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2.1.3 行业和市场准入标准的符合性</w:t>
      </w:r>
    </w:p>
    <w:p w14:paraId="7843F052">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2.1.3.1 行业准入标准的符合性</w:t>
      </w:r>
    </w:p>
    <w:p w14:paraId="2FBD875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woUserID w:val="1"/>
        </w:rPr>
      </w:pPr>
      <w:r>
        <w:rPr>
          <w:rFonts w:hint="eastAsia" w:ascii="宋体" w:hAnsi="宋体" w:eastAsia="宋体" w:cs="宋体"/>
          <w:snapToGrid/>
          <w:color w:val="auto"/>
          <w:spacing w:val="0"/>
          <w:w w:val="100"/>
          <w:kern w:val="2"/>
          <w:position w:val="0"/>
          <w:sz w:val="28"/>
          <w:szCs w:val="28"/>
          <w:lang w:val="en-US" w:eastAsia="zh-CN" w:bidi="zh-CN"/>
          <w:woUserID w:val="1"/>
        </w:rPr>
        <w:t>项目建设符合国家 “双碳” 战略、能源安全新战略及新型电力系统建设总体要求，严格执行《新型储能项目管理规范（暂行）》《关于推进电力源网荷储一体化和多能互补发展的指导意见》等行业管理规定，项目定位、建设规模、功能布局均满足区域能源发展规划与国土空间规划要求。项目配套建设20MW/40MWh 电网侧储能，按照电网侧独立储能模式进行规划设计，符合电网侧储能接入系统管理规范、电力安全管控标准及并网技术要求，储能系统响应速度、调节精度、稳定运行能力等关键技术指标满足 GB/T 36547、GB/T 51048 等国家标准及行业规范。项目同时符合发改价格〔2023〕114 号文件对独立储能参与容量电价的准入条件，以及《河南电力辅助服务市场交易细则》对电网侧储能参与调峰、调频等辅助服务的主体资格要求。项目选址、消防、环保、能耗等均满足相关强制性标准，不存在生态保护红线、永久基本农田等禁限建区域，接入方案通过电网承载力评估，具备规范并网条件。</w:t>
      </w:r>
    </w:p>
    <w:p w14:paraId="021D91C5">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woUserID w:val="1"/>
        </w:rPr>
        <w:t>本项目在规划属性、功能定位、技术参数、安全运营及市场化准入等方面均完全满足电网侧储能及源网荷储一体化项目的行业准入标准，具备合法合规建设与运营的充分条件</w:t>
      </w:r>
      <w:r>
        <w:rPr>
          <w:rFonts w:hint="eastAsia" w:ascii="宋体" w:hAnsi="宋体" w:eastAsia="宋体" w:cs="宋体"/>
          <w:snapToGrid/>
          <w:color w:val="auto"/>
          <w:spacing w:val="0"/>
          <w:w w:val="100"/>
          <w:kern w:val="2"/>
          <w:position w:val="0"/>
          <w:sz w:val="28"/>
          <w:szCs w:val="28"/>
          <w:lang w:val="en-US" w:eastAsia="zh-CN" w:bidi="zh-CN"/>
        </w:rPr>
        <w:t>。</w:t>
      </w:r>
    </w:p>
    <w:p w14:paraId="72460A13">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2.1.3.2 市场准入标准的符合性</w:t>
      </w:r>
    </w:p>
    <w:p w14:paraId="71B2430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woUserID w:val="1"/>
        </w:rPr>
        <w:t>本项目在市场准入层面完全符合国家及河南省现行电力市场、新能源与新型储能相关管理规定和准入条件，分布式光伏与电网侧储能均满足市场化运营与并网接入的全部合规要求。项目建设 5956kW 分布式光伏发电系统，符合分布式电源就地开发、</w:t>
      </w:r>
      <w:r>
        <w:rPr>
          <w:rFonts w:hint="eastAsia" w:ascii="宋体" w:hAnsi="宋体" w:eastAsia="宋体" w:cs="宋体"/>
          <w:snapToGrid/>
          <w:color w:val="auto"/>
          <w:spacing w:val="0"/>
          <w:w w:val="100"/>
          <w:kern w:val="2"/>
          <w:position w:val="0"/>
          <w:sz w:val="28"/>
          <w:szCs w:val="28"/>
          <w:lang w:val="en-US" w:eastAsia="zh" w:bidi="zh-CN"/>
          <w:woUserID w:val="1"/>
        </w:rPr>
        <w:t>通过源网荷储模式</w:t>
      </w:r>
      <w:r>
        <w:rPr>
          <w:rFonts w:hint="eastAsia" w:ascii="宋体" w:hAnsi="宋体" w:eastAsia="宋体" w:cs="宋体"/>
          <w:snapToGrid/>
          <w:color w:val="auto"/>
          <w:spacing w:val="0"/>
          <w:w w:val="100"/>
          <w:kern w:val="2"/>
          <w:position w:val="0"/>
          <w:sz w:val="28"/>
          <w:szCs w:val="28"/>
          <w:lang w:val="en-US" w:eastAsia="zh-CN" w:bidi="zh-CN"/>
          <w:woUserID w:val="1"/>
        </w:rPr>
        <w:t>就近消纳的市场准入原则，满足光伏项目并网技术标准、电力安全运行规范及可再生能源电力消纳制度要求，可依法参与绿电交易、落实可再生能源消纳责任权重，具备进入电力零售市场的合法主体资格。项目配套建设 20MW/40MWh 电网侧独立储能，严格按照国家新型储能市场化运营要求执行，符合《新型储能项目管理规范（暂行）》《关于推进电力源网荷储一体化和多能互补发展的指导意见》对独立储能的市场定位与准入门槛，同时满足发改价格〔2023〕114 号文件关于电网侧储能纳入容量电价机制的申报条件，以及《河南电力辅助服务市场交易细则》规定的市场主体资质、技术参数、调节性能与并网调度要求，可作为独立市场主体参与电力现货市场、辅助服务市场及容量市场交易。项目整体接入方案通过电网承载力评估，符合电力市场注册、并网调度、计量结算等相关管理流程，不存在市场准入限制或合规性障碍。综上，本项目分布式光伏与电网侧储能在政策依据、技术标准、市场主体资格、交易参与条件等方面均全面满足市场准入标准，具备在电力市场化体系下合法建设、规范运营、公平参与交易的完整条件</w:t>
      </w:r>
      <w:r>
        <w:rPr>
          <w:rFonts w:hint="eastAsia" w:ascii="宋体" w:hAnsi="宋体" w:eastAsia="宋体" w:cs="宋体"/>
          <w:snapToGrid/>
          <w:color w:val="auto"/>
          <w:spacing w:val="0"/>
          <w:w w:val="100"/>
          <w:kern w:val="2"/>
          <w:position w:val="0"/>
          <w:sz w:val="28"/>
          <w:szCs w:val="28"/>
          <w:lang w:val="en-US" w:eastAsia="zh-CN" w:bidi="zh-CN"/>
        </w:rPr>
        <w:t>。</w:t>
      </w:r>
    </w:p>
    <w:p w14:paraId="223C015B">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2.1.4 前期工作进展情况</w:t>
      </w:r>
    </w:p>
    <w:p w14:paraId="55DD11B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本项目建设光伏电站所使用的屋顶为获嘉县产业集聚孵化园有限公司名下工业厂房及配套用房9栋，面积31530.09平方米，所有房产均已竣工验收，正在办理不动产权利登记证书。产业园厂房空间道路上方空地等空间较大，可直接按照柔性光伏，可利用面积5677.13㎡。</w:t>
      </w:r>
    </w:p>
    <w:p w14:paraId="71BFD6A8">
      <w:pPr>
        <w:snapToGrid/>
        <w:spacing w:before="157" w:after="157" w:line="240" w:lineRule="auto"/>
        <w:ind w:left="0" w:right="0" w:firstLine="420"/>
        <w:jc w:val="both"/>
        <w:rPr>
          <w:rFonts w:ascii="宋体" w:hAnsi="宋体" w:eastAsia="宋体" w:cs="宋体"/>
          <w:i w:val="0"/>
          <w:strike w:val="0"/>
          <w:color w:val="000000"/>
          <w:spacing w:val="0"/>
          <w:sz w:val="28"/>
          <w:u w:val="none"/>
        </w:rPr>
      </w:pPr>
      <w:r>
        <w:rPr>
          <w:rFonts w:ascii="宋体" w:hAnsi="宋体" w:eastAsia="宋体" w:cs="宋体"/>
          <w:i w:val="0"/>
          <w:strike w:val="0"/>
          <w:color w:val="000000"/>
          <w:spacing w:val="0"/>
          <w:sz w:val="28"/>
          <w:u w:val="none"/>
        </w:rPr>
        <w:t>河南中原智慧冷链物流园管理运营有限公司已与获嘉县产业集聚区创业孵化园有限公司同为获嘉县产业集聚区运营发展服务有限公司的全资子公司，双方已签订屋顶租赁使用协议。</w:t>
      </w:r>
    </w:p>
    <w:p w14:paraId="19FB8E66">
      <w:pPr>
        <w:snapToGrid/>
        <w:spacing w:before="157" w:after="157" w:line="240" w:lineRule="auto"/>
        <w:ind w:left="0" w:right="0" w:firstLine="0"/>
        <w:jc w:val="center"/>
        <w:rPr>
          <w:rFonts w:ascii="宋体" w:hAnsi="宋体" w:eastAsia="宋体" w:cs="宋体"/>
          <w:b/>
          <w:bCs/>
          <w:sz w:val="28"/>
        </w:rPr>
      </w:pPr>
      <w:r>
        <w:rPr>
          <w:rFonts w:ascii="宋体" w:hAnsi="宋体" w:eastAsia="宋体" w:cs="宋体"/>
          <w:b/>
          <w:bCs/>
          <w:sz w:val="28"/>
        </w:rPr>
        <w:t>屋顶及闲置区域使用详情表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1815"/>
        <w:gridCol w:w="2850"/>
        <w:gridCol w:w="2820"/>
      </w:tblGrid>
      <w:tr w14:paraId="68721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28424E7F">
            <w:pPr>
              <w:widowControl w:val="0"/>
              <w:snapToGrid/>
              <w:spacing w:before="0" w:after="0" w:line="240" w:lineRule="auto"/>
              <w:ind w:left="0" w:right="0"/>
              <w:jc w:val="center"/>
              <w:rPr>
                <w:b/>
                <w:bCs/>
              </w:rPr>
            </w:pPr>
            <w:r>
              <w:rPr>
                <w:rFonts w:ascii="宋体" w:hAnsi="宋体" w:eastAsia="宋体" w:cs="宋体"/>
                <w:b/>
                <w:bCs/>
                <w:i w:val="0"/>
                <w:strike w:val="0"/>
                <w:color w:val="000000"/>
                <w:spacing w:val="0"/>
                <w:sz w:val="22"/>
                <w:u w:val="none"/>
              </w:rPr>
              <w:t>序号</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0609F9EA">
            <w:pPr>
              <w:widowControl w:val="0"/>
              <w:snapToGrid/>
              <w:spacing w:before="0" w:after="0" w:line="240" w:lineRule="auto"/>
              <w:ind w:left="0" w:right="0"/>
              <w:jc w:val="center"/>
              <w:rPr>
                <w:b/>
                <w:bCs/>
              </w:rPr>
            </w:pPr>
            <w:r>
              <w:rPr>
                <w:rFonts w:ascii="宋体" w:hAnsi="宋体" w:eastAsia="宋体" w:cs="宋体"/>
                <w:b/>
                <w:bCs/>
                <w:i w:val="0"/>
                <w:strike w:val="0"/>
                <w:color w:val="000000"/>
                <w:spacing w:val="0"/>
                <w:sz w:val="22"/>
                <w:u w:val="none"/>
              </w:rPr>
              <w:t>名称</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05BC3AFB">
            <w:pPr>
              <w:widowControl w:val="0"/>
              <w:snapToGrid/>
              <w:spacing w:before="0" w:after="0" w:line="240" w:lineRule="auto"/>
              <w:ind w:left="0" w:right="0"/>
              <w:jc w:val="center"/>
              <w:rPr>
                <w:b/>
                <w:bCs/>
              </w:rPr>
            </w:pPr>
            <w:r>
              <w:rPr>
                <w:rFonts w:ascii="宋体" w:hAnsi="宋体" w:eastAsia="宋体" w:cs="宋体"/>
                <w:b/>
                <w:bCs/>
                <w:i w:val="0"/>
                <w:strike w:val="0"/>
                <w:color w:val="000000"/>
                <w:spacing w:val="0"/>
                <w:sz w:val="22"/>
                <w:u w:val="none"/>
              </w:rPr>
              <w:t>基底面积(m²)</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186B3DE9">
            <w:pPr>
              <w:widowControl w:val="0"/>
              <w:snapToGrid/>
              <w:spacing w:before="0" w:after="0" w:line="240" w:lineRule="auto"/>
              <w:ind w:left="0" w:right="0"/>
              <w:jc w:val="center"/>
              <w:rPr>
                <w:b/>
                <w:bCs/>
              </w:rPr>
            </w:pPr>
            <w:r>
              <w:rPr>
                <w:rFonts w:ascii="宋体" w:hAnsi="宋体" w:eastAsia="宋体" w:cs="宋体"/>
                <w:b/>
                <w:bCs/>
                <w:i w:val="0"/>
                <w:strike w:val="0"/>
                <w:color w:val="000000"/>
                <w:spacing w:val="0"/>
                <w:sz w:val="22"/>
                <w:u w:val="none"/>
              </w:rPr>
              <w:t>总建筑面积(²)</w:t>
            </w:r>
          </w:p>
        </w:tc>
      </w:tr>
      <w:tr w14:paraId="09522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34644863">
            <w:pPr>
              <w:widowControl w:val="0"/>
              <w:snapToGrid/>
              <w:spacing w:before="0" w:after="0" w:line="240" w:lineRule="auto"/>
              <w:ind w:left="0" w:right="0"/>
              <w:jc w:val="center"/>
            </w:pPr>
            <w:r>
              <w:rPr>
                <w:rFonts w:ascii="宋体" w:hAnsi="宋体" w:eastAsia="宋体" w:cs="宋体"/>
                <w:i w:val="0"/>
                <w:strike w:val="0"/>
                <w:color w:val="000000"/>
                <w:spacing w:val="0"/>
                <w:sz w:val="22"/>
                <w:u w:val="none"/>
              </w:rPr>
              <w:t>1</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0AF50766">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1#厂房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44E67A87">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2616.38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6F38FCEB">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5232.76</w:t>
            </w:r>
          </w:p>
        </w:tc>
      </w:tr>
      <w:tr w14:paraId="0075B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6B8081A7">
            <w:pPr>
              <w:widowControl w:val="0"/>
              <w:snapToGrid/>
              <w:spacing w:before="0" w:after="0" w:line="240" w:lineRule="auto"/>
              <w:ind w:left="0" w:right="0"/>
              <w:jc w:val="center"/>
            </w:pPr>
            <w:r>
              <w:rPr>
                <w:rFonts w:ascii="宋体" w:hAnsi="宋体" w:eastAsia="宋体" w:cs="宋体"/>
                <w:i w:val="0"/>
                <w:strike w:val="0"/>
                <w:color w:val="000000"/>
                <w:spacing w:val="0"/>
                <w:sz w:val="22"/>
                <w:u w:val="none"/>
              </w:rPr>
              <w:t>2</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63CF1EFF">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2#厂房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75AA32E0">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3879.37</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4CDB1836">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7758.74</w:t>
            </w:r>
          </w:p>
        </w:tc>
      </w:tr>
      <w:tr w14:paraId="0957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4539A0E4">
            <w:pPr>
              <w:widowControl w:val="0"/>
              <w:snapToGrid/>
              <w:spacing w:before="0" w:after="0" w:line="240" w:lineRule="auto"/>
              <w:ind w:left="0" w:right="0"/>
              <w:jc w:val="center"/>
            </w:pPr>
            <w:r>
              <w:rPr>
                <w:rFonts w:ascii="宋体" w:hAnsi="宋体" w:eastAsia="宋体" w:cs="宋体"/>
                <w:i w:val="0"/>
                <w:strike w:val="0"/>
                <w:color w:val="000000"/>
                <w:spacing w:val="0"/>
                <w:sz w:val="22"/>
                <w:u w:val="none"/>
              </w:rPr>
              <w:t>3</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3C201A82">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5#厂房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753566CD">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2890.38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0C7A7B28">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5780.76</w:t>
            </w:r>
          </w:p>
        </w:tc>
      </w:tr>
      <w:tr w14:paraId="6232E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5039AD5B">
            <w:pPr>
              <w:widowControl w:val="0"/>
              <w:snapToGrid/>
              <w:spacing w:before="0" w:after="0" w:line="240" w:lineRule="auto"/>
              <w:ind w:left="0" w:right="0"/>
              <w:jc w:val="center"/>
            </w:pPr>
            <w:r>
              <w:rPr>
                <w:rFonts w:ascii="宋体" w:hAnsi="宋体" w:eastAsia="宋体" w:cs="宋体"/>
                <w:i w:val="0"/>
                <w:strike w:val="0"/>
                <w:color w:val="000000"/>
                <w:spacing w:val="0"/>
                <w:sz w:val="22"/>
                <w:u w:val="none"/>
              </w:rPr>
              <w:t>4</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27A8A28D">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6#厂房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679ECA20">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3399.42</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777BBE23">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6798.84</w:t>
            </w:r>
          </w:p>
        </w:tc>
      </w:tr>
      <w:tr w14:paraId="1C217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38B65030">
            <w:pPr>
              <w:widowControl w:val="0"/>
              <w:snapToGrid/>
              <w:spacing w:before="0" w:after="0" w:line="240" w:lineRule="auto"/>
              <w:ind w:left="0" w:right="0"/>
              <w:jc w:val="center"/>
            </w:pPr>
            <w:r>
              <w:rPr>
                <w:rFonts w:ascii="宋体" w:hAnsi="宋体" w:eastAsia="宋体" w:cs="宋体"/>
                <w:i w:val="0"/>
                <w:strike w:val="0"/>
                <w:color w:val="000000"/>
                <w:spacing w:val="0"/>
                <w:sz w:val="22"/>
                <w:u w:val="none"/>
              </w:rPr>
              <w:t>5</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06D4B70C">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8#厂房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72B4C942">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2890.38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37DE6C65">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5780.76</w:t>
            </w:r>
          </w:p>
        </w:tc>
      </w:tr>
      <w:tr w14:paraId="30CB6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7ABB4142">
            <w:pPr>
              <w:widowControl w:val="0"/>
              <w:snapToGrid/>
              <w:spacing w:before="0" w:after="0" w:line="240" w:lineRule="auto"/>
              <w:ind w:left="0" w:right="0"/>
              <w:jc w:val="center"/>
            </w:pPr>
            <w:r>
              <w:rPr>
                <w:rFonts w:ascii="宋体" w:hAnsi="宋体" w:eastAsia="宋体" w:cs="宋体"/>
                <w:i w:val="0"/>
                <w:strike w:val="0"/>
                <w:color w:val="000000"/>
                <w:spacing w:val="0"/>
                <w:sz w:val="22"/>
                <w:u w:val="none"/>
              </w:rPr>
              <w:t>6</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483EB6C0">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9#厂房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4437AD59">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2890.38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0D538D5D">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5780.76</w:t>
            </w:r>
          </w:p>
        </w:tc>
      </w:tr>
      <w:tr w14:paraId="76311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6157C0B6">
            <w:pPr>
              <w:widowControl w:val="0"/>
              <w:snapToGrid/>
              <w:spacing w:before="0" w:after="0" w:line="240" w:lineRule="auto"/>
              <w:ind w:left="0" w:right="0"/>
              <w:jc w:val="center"/>
            </w:pPr>
            <w:r>
              <w:rPr>
                <w:rFonts w:ascii="宋体" w:hAnsi="宋体" w:eastAsia="宋体" w:cs="宋体"/>
                <w:i w:val="0"/>
                <w:strike w:val="0"/>
                <w:color w:val="000000"/>
                <w:spacing w:val="0"/>
                <w:sz w:val="22"/>
                <w:u w:val="none"/>
              </w:rPr>
              <w:t>7</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1CD67270">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10#厂房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72F22434">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4321.26</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4FBA7C66">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4321.26</w:t>
            </w:r>
          </w:p>
        </w:tc>
      </w:tr>
      <w:tr w14:paraId="7701C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467EF7CC">
            <w:pPr>
              <w:widowControl w:val="0"/>
              <w:snapToGrid/>
              <w:spacing w:before="0" w:after="0" w:line="240" w:lineRule="auto"/>
              <w:ind w:left="0" w:right="0"/>
              <w:jc w:val="center"/>
            </w:pPr>
            <w:r>
              <w:rPr>
                <w:rFonts w:ascii="宋体" w:hAnsi="宋体" w:eastAsia="宋体" w:cs="宋体"/>
                <w:i w:val="0"/>
                <w:strike w:val="0"/>
                <w:color w:val="000000"/>
                <w:spacing w:val="0"/>
                <w:sz w:val="22"/>
                <w:u w:val="none"/>
              </w:rPr>
              <w:t>8</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23AFD62D">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11#厂房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0CF11CE9">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4321.26</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69593729">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4321.26</w:t>
            </w:r>
          </w:p>
        </w:tc>
      </w:tr>
      <w:tr w14:paraId="08774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0DBA94A8">
            <w:pPr>
              <w:widowControl w:val="0"/>
              <w:snapToGrid/>
              <w:spacing w:before="0" w:after="0" w:line="240" w:lineRule="auto"/>
              <w:ind w:left="0" w:right="0"/>
              <w:jc w:val="center"/>
            </w:pPr>
            <w:r>
              <w:rPr>
                <w:rFonts w:ascii="宋体" w:hAnsi="宋体" w:eastAsia="宋体" w:cs="宋体"/>
                <w:i w:val="0"/>
                <w:strike w:val="0"/>
                <w:color w:val="000000"/>
                <w:spacing w:val="0"/>
                <w:sz w:val="22"/>
                <w:u w:val="none"/>
              </w:rPr>
              <w:t>9</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76C24B67">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12#厂房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6D9BC6C8">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4321.26</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1747BBD7">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4321.26</w:t>
            </w:r>
          </w:p>
        </w:tc>
      </w:tr>
      <w:tr w14:paraId="3A43C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2790" w:type="dxa"/>
            <w:gridSpan w:val="2"/>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5E0D2590">
            <w:pPr>
              <w:widowControl w:val="0"/>
              <w:snapToGrid/>
              <w:spacing w:before="0" w:after="0" w:line="240" w:lineRule="auto"/>
              <w:ind w:left="0" w:right="0"/>
              <w:jc w:val="center"/>
            </w:pPr>
            <w:r>
              <w:rPr>
                <w:rFonts w:ascii="宋体" w:hAnsi="宋体" w:eastAsia="宋体" w:cs="宋体"/>
                <w:i w:val="0"/>
                <w:strike w:val="0"/>
                <w:color w:val="000000"/>
                <w:spacing w:val="0"/>
                <w:sz w:val="22"/>
                <w:u w:val="none"/>
              </w:rPr>
              <w:t>合计</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53295A26">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31530.09</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4C5865EB">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50096.4</w:t>
            </w:r>
          </w:p>
        </w:tc>
      </w:tr>
      <w:tr w14:paraId="2B76A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790" w:type="dxa"/>
            <w:gridSpan w:val="2"/>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255CF994">
            <w:pPr>
              <w:widowControl w:val="0"/>
              <w:snapToGrid/>
              <w:spacing w:before="0" w:after="0" w:line="240" w:lineRule="auto"/>
              <w:ind w:left="0" w:right="0"/>
              <w:jc w:val="center"/>
            </w:pPr>
            <w:r>
              <w:rPr>
                <w:rFonts w:ascii="宋体" w:hAnsi="宋体" w:eastAsia="宋体" w:cs="宋体"/>
                <w:i w:val="0"/>
                <w:strike w:val="0"/>
                <w:color w:val="000000"/>
                <w:spacing w:val="0"/>
                <w:sz w:val="22"/>
                <w:u w:val="none"/>
              </w:rPr>
              <w:t>可使用空闲区域占用面积</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28463AEC">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12267.68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617DA19C">
            <w:pPr>
              <w:widowControl w:val="0"/>
              <w:snapToGrid/>
              <w:spacing w:before="0" w:after="0" w:line="240" w:lineRule="auto"/>
              <w:ind w:left="0" w:right="0"/>
              <w:jc w:val="center"/>
            </w:pPr>
          </w:p>
        </w:tc>
      </w:tr>
      <w:tr w14:paraId="4978E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2790" w:type="dxa"/>
            <w:gridSpan w:val="2"/>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34052733">
            <w:pPr>
              <w:widowControl w:val="0"/>
              <w:snapToGrid/>
              <w:spacing w:before="0" w:after="0" w:line="240" w:lineRule="auto"/>
              <w:ind w:left="0" w:right="0"/>
              <w:jc w:val="center"/>
            </w:pPr>
            <w:r>
              <w:rPr>
                <w:rFonts w:ascii="宋体" w:hAnsi="宋体" w:eastAsia="宋体" w:cs="宋体"/>
                <w:i w:val="0"/>
                <w:strike w:val="0"/>
                <w:color w:val="000000"/>
                <w:spacing w:val="0"/>
                <w:sz w:val="22"/>
                <w:u w:val="none"/>
              </w:rPr>
              <w:t>共合计</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56847830">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42807.95</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74CABCD9">
            <w:pPr>
              <w:widowControl w:val="0"/>
              <w:snapToGrid/>
              <w:spacing w:before="0" w:after="0" w:line="240" w:lineRule="auto"/>
              <w:jc w:val="center"/>
            </w:pPr>
          </w:p>
        </w:tc>
      </w:tr>
    </w:tbl>
    <w:p w14:paraId="3A226636">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30" w:name="_Toc7919"/>
      <w:r>
        <w:rPr>
          <w:rFonts w:hint="eastAsia" w:ascii="宋体" w:hAnsi="宋体" w:eastAsia="宋体" w:cs="宋体"/>
          <w:b/>
          <w:bCs/>
          <w:sz w:val="28"/>
          <w:szCs w:val="28"/>
        </w:rPr>
        <w:t>2.2 项目主体发展战略需求分析</w:t>
      </w:r>
      <w:bookmarkEnd w:id="30"/>
    </w:p>
    <w:p w14:paraId="2471A67F">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color w:val="FF0000"/>
          <w:sz w:val="28"/>
          <w:szCs w:val="28"/>
        </w:rPr>
      </w:pPr>
      <w:bookmarkStart w:id="154" w:name="_GoBack"/>
      <w:r>
        <w:rPr>
          <w:rFonts w:hint="eastAsia" w:ascii="宋体" w:hAnsi="宋体" w:eastAsia="宋体" w:cs="宋体"/>
          <w:b/>
          <w:bCs/>
          <w:color w:val="FF0000"/>
          <w:sz w:val="28"/>
          <w:szCs w:val="28"/>
        </w:rPr>
        <w:t xml:space="preserve">2.2.1 </w:t>
      </w:r>
      <w:r>
        <w:rPr>
          <w:rFonts w:hint="eastAsia" w:ascii="宋体" w:hAnsi="宋体" w:eastAsia="宋体" w:cs="宋体"/>
          <w:b/>
          <w:bCs/>
          <w:color w:val="FF0000"/>
          <w:sz w:val="28"/>
          <w:szCs w:val="28"/>
          <w:lang w:val="en-US" w:eastAsia="zh-CN"/>
        </w:rPr>
        <w:t>获嘉县</w:t>
      </w:r>
      <w:r>
        <w:rPr>
          <w:rFonts w:hint="eastAsia" w:ascii="宋体" w:hAnsi="宋体" w:eastAsia="宋体" w:cs="宋体"/>
          <w:b/>
          <w:bCs/>
          <w:color w:val="FF0000"/>
          <w:sz w:val="28"/>
          <w:szCs w:val="28"/>
        </w:rPr>
        <w:t>发展对项目需要分析</w:t>
      </w:r>
    </w:p>
    <w:bookmarkEnd w:id="154"/>
    <w:p w14:paraId="1B97013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获嘉县当前正处于产业结构优化升级、推动绿色低碳转型的关键阶段，县域经济持续发展对能源供给的清洁化、高效化提出了更高要求，加快发展可再生能源、降低碳排放强度已成为地方发展的重要方向。随着各类产业项目集聚落地，传统能源消费模式难以满足可持续发展需求，推动工业领域用能转型、提升绿色能源应用比例成为必然选择。本项目依托园区厂房屋顶建设分布式光伏并配套储能设施，契合获嘉县推进生态优先、绿色发展的总体导向，能够有效补充区域清洁能源供给，助力县域降低化石能源依赖，改善能源消费结构，为实现低碳发展目标提供务实支撑，也符合地方打造绿色产业园区、提升区域生态环境质量的现实需要。</w:t>
      </w:r>
    </w:p>
    <w:p w14:paraId="19AF9D9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随着县域产业规模不断扩大，工业用电需求持续增长，电网峰谷负荷矛盾逐步凸显，供电保障压力和企业用能成本压力同步增加。稳定可靠的电力供应、合理可控的用能成本，已成为支撑县域企业稳定生产、产业持续壮大的重要基础。本项目通过源网荷储一体化模式实现清洁能源就近生产、就近消纳，配合储能系统平抑负荷波动、优化用电时段，既能提升园区供电稳定性，又能缓解电网调峰压力，有效改善区域电力供需格局。同时，项目通过优化用能方式降低企业综合用电成本，减轻企业经营负担，助力县域实体经济提质增效，契合获嘉县优化营商环境、增强产业竞争力的内在需求，对保障区域能源安全、促进产业平稳发展具有重要现实意义。</w:t>
      </w:r>
    </w:p>
    <w:p w14:paraId="46E8C3B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color w:val="auto"/>
          <w:sz w:val="28"/>
          <w:szCs w:val="28"/>
          <w:lang w:val="en-US" w:eastAsia="zh-CN"/>
        </w:rPr>
        <w:t>在全省大力推进源网荷储一体化、加快新型储能市场化应用的整体趋势下，获嘉县也在积极布局新能源项目，推动能源领域改革政策落地见效。当前县域内类似综合能源项目仍较为缺乏，亟需具备示范效应的项目带动新能源规模化、规范化发展。本项目作为典型的工业企业源网荷储一体化项目，完全贴合地方能源发展规划和相关政策导向，能够为县域同类项目建设提供可借鉴、可复制的实践路径，带动更多市场主体参与清洁能源开发利用。项目落地有利于加快获嘉县新能源应用推广，完善区域能源基础设施，充分释放电力市场化改革带来的政策红利，推动地方能源体系向清洁、安全、高效、灵活方向转型，为获嘉县实现高质量发展注入新的动能</w:t>
      </w:r>
      <w:r>
        <w:rPr>
          <w:rFonts w:hint="eastAsia" w:ascii="宋体" w:hAnsi="宋体" w:eastAsia="宋体" w:cs="宋体"/>
          <w:color w:val="auto"/>
          <w:sz w:val="28"/>
          <w:szCs w:val="28"/>
        </w:rPr>
        <w:t>。</w:t>
      </w:r>
    </w:p>
    <w:p w14:paraId="61B64E9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b/>
          <w:bCs w:val="0"/>
          <w:i w:val="0"/>
          <w:iCs w:val="0"/>
          <w:caps w:val="0"/>
          <w:smallCaps w:val="0"/>
          <w:strike w:val="0"/>
          <w:dstrike w:val="0"/>
          <w:vanish w:val="0"/>
          <w:color w:val="auto"/>
          <w:spacing w:val="0"/>
          <w:kern w:val="0"/>
          <w:position w:val="0"/>
          <w:sz w:val="28"/>
          <w:szCs w:val="28"/>
          <w:u w:val="none"/>
          <w:vertAlign w:val="baseline"/>
          <w:lang w:val="en-US" w:eastAsia="zh-CN" w:bidi="ar-SA"/>
        </w:rPr>
        <w:t>2.2.2 拟建项目对促进获嘉县发展战略落地的紧迫性和重要性</w:t>
      </w:r>
    </w:p>
    <w:p w14:paraId="7F8B51C5">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近年来，获嘉县正处于产业集聚加快、园区规模持续扩大、工业用电需求不断增长的关键时期，县域电网峰谷负荷矛盾日益凸显，传统供电方式与日益增长的用能需求、严格的能耗管控要求之间的差距逐步显现。与此同时，河南省电力市场化改革深入推进，新型储能参与电力现货市场、调峰辅助服务、容量租赁等政策红利集中释放，为地方能源转型提供了重要窗口期。如果不能抢抓当前有利时机加快推进源网荷储一体化项目落地，不仅会错失多重市场化收益机会，还会导致园区企业用电成本居高不下，削弱区域营商环境和产业竞争力。随着双碳目标持续压实、能耗双控考核趋紧，延迟布局清洁能源与储能设施，还将使县域在绿色园区建设、新能源消纳、碳减排任务落实等方面陷入被动局面，难以跟上全省能源转型步伐。综合来看，本项目的加快实施对获嘉县推动各项发展战略落地具有十分突出的现实紧迫性。</w:t>
      </w:r>
    </w:p>
    <w:p w14:paraId="04C4948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color w:val="auto"/>
          <w:sz w:val="28"/>
          <w:szCs w:val="28"/>
          <w:lang w:val="en-US" w:eastAsia="zh-CN"/>
        </w:rPr>
        <w:t>本项目落地实施后，能够有效补齐获嘉县清洁能源供给短板，提升产业集聚区供电可靠性和电网调节能力，为工业生产稳定运行提供坚实能源保障，助力园区持续吸引优质项目、扩大产业规模。通过分布式光伏与储能系统协同运行，可显著降低企业综合用能成本，减轻实体经济负担，激发市场主体活力，推动县域产业提质增效。同时，项目能够优化县域能源结构，提升绿电消费比重，减少碳排放和污染物排放，助力获嘉县稳步实现节能降碳目标，打造绿色低碳发展样板。作为县域内典型的源网荷储一体化示范项目，还能形成可复制、可推广的模式，带动更多企业参与新能源建设，完善地方绿色产业生态，增强区域可持续发展能力。由此可见，本项目对获嘉县统筹推进产业升级、能源转型和绿色发展各项战略落地，具有不可替代的重要意义</w:t>
      </w:r>
      <w:r>
        <w:rPr>
          <w:rFonts w:hint="eastAsia" w:ascii="宋体" w:hAnsi="宋体" w:eastAsia="宋体" w:cs="宋体"/>
          <w:color w:val="auto"/>
          <w:sz w:val="28"/>
          <w:szCs w:val="28"/>
        </w:rPr>
        <w:t>。</w:t>
      </w:r>
    </w:p>
    <w:p w14:paraId="210CEC23">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31" w:name="_Toc5481"/>
      <w:bookmarkStart w:id="32" w:name="_Toc30857"/>
      <w:r>
        <w:rPr>
          <w:rFonts w:hint="eastAsia" w:ascii="宋体" w:hAnsi="宋体" w:eastAsia="宋体" w:cs="宋体"/>
          <w:b/>
          <w:bCs/>
          <w:sz w:val="28"/>
          <w:szCs w:val="28"/>
        </w:rPr>
        <w:t>2.3 项目市场需求分析</w:t>
      </w:r>
      <w:bookmarkEnd w:id="31"/>
      <w:bookmarkEnd w:id="32"/>
    </w:p>
    <w:p w14:paraId="0ABCEDFA">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2.3.1 项目的业态分析</w:t>
      </w:r>
    </w:p>
    <w:p w14:paraId="225F471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本项目业态大致分为：源网荷储、光伏发电、储能调峰、分布式换电储能系统、光储充电桩。</w:t>
      </w:r>
    </w:p>
    <w:p w14:paraId="3B9AE445">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1、源网荷储</w:t>
      </w:r>
    </w:p>
    <w:p w14:paraId="7C5EAB58">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源网荷储作为一种新型电力系统综合业态，正深刻影响着能源产业格局。从电源端来看，传统火电在能源结构调整下，逐步向灵活性改造方向发展，以更好地平衡新能源发电的间歇性与波动性；与此同时，风电、光伏等清洁能源装机规模持续增长，其发电成本不断降低，成为能源供应的重要力量。电网层面，随着分布式电源的广泛接入以及电力负荷的动态变化，电网的智能化升级迫在眉睫，需加强输电网络的韧性与配电网的灵活性，以实现电力的高效传输与精准分配，例如采用先进的电力电子技术、智能监控系统等提升电网的运行效率与可靠性。负荷侧，工业、商业、居民等各类用户对于电能质量与可靠性的要求日益提高，通过需求响应机制、节能技术应用等手段，实现削峰填谷，优化电力资源配置，降低用电成本。储能则是整个业态的关键支撑，无论是电化学储能、抽水蓄能还是其他新型储能技术，都在发挥着 “蓄水池” 作用，存储多余电能，在用电高峰或发电不足时释放，平抑功率波动、增强系统稳定性，促进源网荷各环节的紧密协同，提升电力系统整体的安全性、经济性和灵活性，推动能源行业朝着绿色低碳、智能高效的方向迈进，催生了新的商业模式和市场机遇，如储能参与辅助服务市场、虚拟电厂的兴起等，为能源产业的可持续发展注入新活力。</w:t>
      </w:r>
    </w:p>
    <w:p w14:paraId="4272D36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2、光伏发电</w:t>
      </w:r>
    </w:p>
    <w:p w14:paraId="1C2BFB0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光伏发电业态是一种利用太阳能转化为电能的可再生能源解决方案，通过光伏电池板将太阳光中的光子转化为电力，以满足日益增长的能源需求。该业态涵盖了从光伏组件的制造、系统的设计与安装，到电力的生产和销售等全过程，形成了一个完整的产业链。光伏发电系统主要包括光伏电池板、逆变器、支架、监控系统等设备，光伏电池板通过光电效应将太阳光转化为直流电，再通过逆变器将直流电转换为交流电，以便于并入电网或供给直接使用。光伏发电不仅能够有效减少对化石燃料的依赖，降低温室气体排放，还能通过其可再生特性提供稳定的电力供应，促进能源结构的优化。该业态的关键在于技术进步和成本控制，随着光伏技术的不断革新和规模效应的提升，光伏发电的成本逐年下降，使其在全球范围内得到广泛应用。此外，光伏发电系统具有较低的维护成本和长期的经济效益，适合于住宅、商业建筑以及大型光伏电站等多种应用场景。通过政策支持、市场推动和技术创新，光伏发电业态正在加速全球能源转型，为实现可持续发展目标和应对气候变化挑战做出重要贡献。</w:t>
      </w:r>
    </w:p>
    <w:p w14:paraId="054DC1D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3、储能调峰</w:t>
      </w:r>
    </w:p>
    <w:p w14:paraId="013CF4F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储能调峰业态是现代能源系统中的关键组成部分，通过先进的储能技术平衡电力供应与需求的波动，提高电网的稳定性和可靠性。该业态主要涉及使用各种储能设备，如锂电池、钠硫电池、抽水蓄能、压缩空气储能等，将电力存储在需求低峰期，并在需求高峰期释放，以补充电网供电不足的问题。这种调峰能力能够有效应对可再生能源（如风能和太阳能）的间歇性特征，使其能够在电力需求高峰期间平稳地供电，提高系统的整体运行效率。储能调峰不仅优化了电力系统的运行，减少了电力波动对电网的冲击，还延长了设备的使用寿命，降低了电力系统的整体运营成本。此外，通过智能化的调度和管理系统，储能调峰业态能够实现对电力生产和消费的精准预测和调节，使电网的负荷分布更加均衡，从而提高能源利用效率。储能技术的进步和成本的降低使得这一业态在未来能源转型中具有广阔的发展前景，为实现绿色低碳目标和构建高效、稳定的能源系统提供了有力支持。</w:t>
      </w:r>
    </w:p>
    <w:p w14:paraId="68D5392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4、分布式换电储能系统</w:t>
      </w:r>
    </w:p>
    <w:p w14:paraId="40AC068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分布式换电储能系统犹如一个智能储能“百宝箱”，为电动自行车用户带来高效便捷的能源补给新体验。它的核心作用在于实现电瓶的集中存储、智能管理与快速更换，极大节省用户充电时间。用户骑行电动自行车电量不足时，只需前往就近的换电柜，通过手机扫码操作，便能迅速取出满电电瓶完成更换，全程仅需数秒，有效解决传统充电耗时长的痛点。在优势方面，该系统采用分布式布局，能广泛覆盖社区、商圈、交通枢纽等区域，提高服务可达性；内置智能监测系统实时监控电瓶状态，确保用电安全，避免过充、短路等隐患；同时，通过峰谷电价机制对电瓶进行储能充电，优化电力资源利用，降低运营成本，还能减轻电网高峰负荷压力。其模式与铁塔换电相似，为城市电动自行车用户打造了高效、安全、灵活的能源服务体系。</w:t>
      </w:r>
    </w:p>
    <w:p w14:paraId="154A9AC4">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5、光储充电桩</w:t>
      </w:r>
    </w:p>
    <w:p w14:paraId="1289E69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光储充电桩作为光伏发电业态的创新应用，在能源领域发挥着重要作用。它融合了光伏发电与储能技术，以满足新能源汽车充电需求。其工作原理基于光伏发电系统，由光伏电池板借助光电效应，将太阳光中的光子转化为直流电，再经逆变器转换为交流电。光储充电桩涵盖了从光伏组件制造，到系统设计、安装，再到电力供应的完整产业链环节。光储充电桩配备了储能设备。在光照充足时，可将多余电能储存起来，确保在光照不足或用电高峰时，仍能稳定为新能源汽车充电，避免充电中断。其产生的电力不仅能直接用于车辆充电，还减少了对传统电网的依赖，降低了充电成本，契合绿色环保理念，有效降低碳排放。光储充电桩凭借技术进步与规模效应，成本逐渐降低，维护成本也较低。其安装灵活，适用于居民小区、商业广场、公共充电站等多种场景。</w:t>
      </w:r>
    </w:p>
    <w:p w14:paraId="07D558D5">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2.3.2 目标市场环境和容量</w:t>
      </w:r>
    </w:p>
    <w:p w14:paraId="06B31EF0">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1、源网荷储市场环境</w:t>
      </w:r>
    </w:p>
    <w:p w14:paraId="5EA4427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近年来国家不断下发政策性文件支持开发建设源网荷储一体化项目，同时地方需求也在不断增加，获嘉县建设源网荷储一体化项目市场环境较为乐观。在政策方面，国家大力倡导绿色能源发展，推进源网荷储一体化建设，河南省也出台了一系列政策细则，如《河南省加快推进源网荷储一体化实施方案》，明确了项目实施范围、重点任务及保障措施，为获嘉县的项目提供了方向指引和政策支持，鼓励企业积极参与新能源建设，提升清洁能源占比，推动配网改造升级和储能设施建设，保障项目的并网消纳等权益，营造了良好的政策氛围。</w:t>
      </w:r>
    </w:p>
    <w:p w14:paraId="4EECDCE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从市场需求来看，随着当地经济的发展，工业用电需求持续增长，尤其是获嘉县工业集聚区的众多企业，如中新化工、中小企业孵化园、河南晶瑞日用品、大成包装等，用电量大且对电能质量和稳定性要求较高，源网荷储一体化项目能够就地消纳新能源电力，降低企业用电成本，满足其稳定可靠的电力需求，具有较大的市场吸引力。</w:t>
      </w:r>
    </w:p>
    <w:p w14:paraId="2419E30B">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2、源网荷储市场容量</w:t>
      </w:r>
    </w:p>
    <w:p w14:paraId="790A830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随着当地经济的稳步前行，各产业尤其是工业领域呈现出蓬勃发展态势，用电需求持续攀升。众多中小企业不断发展壮大，其生产运营对电力的依赖程度与日俱增，为源网荷储一体化项目提供了坚实的市场基础。在当前能源转型的大趋势下，绿色能源成为降低企业运营成本、提高生产效率的关键要素。对于获嘉县的中小企业而言，源网荷储一体化项目所提供的清洁电能，不仅能满足其日益增长的电力需求，保障生产活动的稳定开展，还能借助绿电的价格优势以及储能系统对峰谷电价差的有效利用，大幅降低用电成本，增强市场竞争力。从长期来看，随着技术的不断进步与完善，源网荷储一体化项目的应用范围将进一步拓展，无论是工业园区、商业综合体还是居民社区，都将成为潜在的市场增长点，其市场容量有望持续扩充，在满足获嘉县能源需求、推动绿色发展的道路上发挥关键作用。</w:t>
      </w:r>
    </w:p>
    <w:p w14:paraId="69970EFF">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2.3.3 产品或服务价格</w:t>
      </w:r>
    </w:p>
    <w:p w14:paraId="5519079D">
      <w:pPr>
        <w:keepNext w:val="0"/>
        <w:keepLines w:val="0"/>
        <w:pageBreakBefore w:val="0"/>
        <w:widowControl w:val="0"/>
        <w:kinsoku/>
        <w:wordWrap/>
        <w:overflowPunct/>
        <w:topLinePunct/>
        <w:autoSpaceDE w:val="0"/>
        <w:autoSpaceDN w:val="0"/>
        <w:bidi w:val="0"/>
        <w:adjustRightInd/>
        <w:snapToGrid/>
        <w:spacing w:before="157" w:beforeLines="50" w:after="157" w:afterLines="50" w:line="360" w:lineRule="auto"/>
        <w:ind w:left="0" w:leftChars="0" w:right="0" w:firstLine="560" w:firstLineChars="200"/>
        <w:jc w:val="both"/>
      </w:pPr>
      <w:r>
        <w:rPr>
          <w:rFonts w:hint="eastAsia" w:ascii="宋体" w:hAnsi="宋体" w:eastAsia="宋体" w:cs="宋体"/>
          <w:snapToGrid/>
          <w:color w:val="auto"/>
          <w:spacing w:val="0"/>
          <w:w w:val="100"/>
          <w:kern w:val="2"/>
          <w:position w:val="0"/>
          <w:sz w:val="28"/>
          <w:szCs w:val="28"/>
          <w:lang w:val="en-US" w:eastAsia="zh-CN" w:bidi="zh-CN"/>
        </w:rPr>
        <w:t>拟建项目的收入主要有光伏售电收入、储能调峰收入及光伏充电桩收入。详细费用情况参阅第六章节。</w:t>
      </w:r>
    </w:p>
    <w:p w14:paraId="016D2B7A">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2.3.</w:t>
      </w:r>
      <w:r>
        <w:rPr>
          <w:rFonts w:hint="eastAsia" w:ascii="宋体" w:hAnsi="宋体" w:eastAsia="宋体" w:cs="宋体"/>
          <w:b/>
          <w:bCs/>
          <w:sz w:val="28"/>
          <w:szCs w:val="28"/>
          <w:lang w:val="en-US" w:eastAsia="zh-CN"/>
        </w:rPr>
        <w:t>4</w:t>
      </w:r>
      <w:r>
        <w:rPr>
          <w:rFonts w:hint="eastAsia" w:ascii="宋体" w:hAnsi="宋体" w:eastAsia="宋体" w:cs="宋体"/>
          <w:b/>
          <w:bCs/>
          <w:sz w:val="28"/>
          <w:szCs w:val="28"/>
        </w:rPr>
        <w:t xml:space="preserve"> 市场饱和程度</w:t>
      </w:r>
    </w:p>
    <w:p w14:paraId="1E8B2D28">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将根据</w:t>
      </w:r>
      <w:r>
        <w:rPr>
          <w:rFonts w:hint="eastAsia" w:ascii="宋体" w:hAnsi="宋体" w:eastAsia="宋体" w:cs="宋体"/>
          <w:b/>
          <w:bCs/>
          <w:sz w:val="28"/>
          <w:szCs w:val="28"/>
        </w:rPr>
        <w:t>《</w:t>
      </w:r>
      <w:r>
        <w:rPr>
          <w:rFonts w:hint="eastAsia" w:ascii="宋体" w:hAnsi="宋体" w:eastAsia="宋体" w:cs="宋体"/>
          <w:b w:val="0"/>
          <w:bCs w:val="0"/>
          <w:sz w:val="28"/>
          <w:szCs w:val="28"/>
        </w:rPr>
        <w:t>河南省工业企业源网荷储一体化项目实施细则（暂行）》</w:t>
      </w:r>
      <w:r>
        <w:rPr>
          <w:rFonts w:hint="eastAsia" w:ascii="宋体" w:hAnsi="宋体" w:eastAsia="宋体" w:cs="宋体"/>
          <w:b w:val="0"/>
          <w:bCs w:val="0"/>
          <w:sz w:val="28"/>
          <w:szCs w:val="28"/>
          <w:lang w:val="en-US" w:eastAsia="zh-CN"/>
        </w:rPr>
        <w:t>文件要求，已项目建设地为核心点半径20公里内</w:t>
      </w:r>
      <w:r>
        <w:rPr>
          <w:rFonts w:hint="eastAsia" w:ascii="宋体" w:hAnsi="宋体" w:eastAsia="宋体" w:cs="宋体"/>
          <w:color w:val="auto"/>
          <w:sz w:val="28"/>
          <w:szCs w:val="28"/>
        </w:rPr>
        <w:t>就近销售给</w:t>
      </w:r>
      <w:r>
        <w:rPr>
          <w:rFonts w:hint="eastAsia" w:ascii="宋体" w:hAnsi="宋体" w:eastAsia="宋体" w:cs="宋体"/>
          <w:color w:val="auto"/>
          <w:sz w:val="28"/>
          <w:szCs w:val="28"/>
          <w:lang w:val="en-US" w:eastAsia="zh-CN"/>
        </w:rPr>
        <w:t>附近用电企业完成自我消纳，</w:t>
      </w:r>
      <w:r>
        <w:rPr>
          <w:rFonts w:hint="eastAsia" w:ascii="宋体" w:hAnsi="宋体" w:eastAsia="宋体" w:cs="宋体"/>
          <w:color w:val="auto"/>
          <w:sz w:val="28"/>
          <w:szCs w:val="28"/>
        </w:rPr>
        <w:t>本项目所产出的绿色电力能源出售给</w:t>
      </w:r>
      <w:r>
        <w:rPr>
          <w:rFonts w:ascii="宋体" w:hAnsi="宋体" w:eastAsia="宋体" w:cs="宋体"/>
          <w:i w:val="0"/>
          <w:strike w:val="0"/>
          <w:spacing w:val="0"/>
          <w:sz w:val="28"/>
          <w:u w:val="none"/>
        </w:rPr>
        <w:t>新乡市腾飞纸业有限公司</w:t>
      </w:r>
      <w:r>
        <w:rPr>
          <w:rFonts w:hint="eastAsia" w:ascii="宋体" w:hAnsi="宋体" w:eastAsia="宋体" w:cs="宋体"/>
          <w:color w:val="auto"/>
          <w:sz w:val="28"/>
          <w:szCs w:val="28"/>
        </w:rPr>
        <w:t>使用</w:t>
      </w:r>
      <w:r>
        <w:rPr>
          <w:rFonts w:hint="eastAsia" w:ascii="宋体" w:hAnsi="宋体" w:eastAsia="宋体" w:cs="宋体"/>
          <w:color w:val="auto"/>
          <w:sz w:val="28"/>
          <w:szCs w:val="28"/>
          <w:lang w:eastAsia="zh-CN"/>
        </w:rPr>
        <w:t>，</w:t>
      </w:r>
      <w:r>
        <w:rPr>
          <w:rFonts w:hint="eastAsia" w:ascii="宋体" w:hAnsi="宋体" w:eastAsia="宋体" w:cs="宋体"/>
          <w:color w:val="000000"/>
          <w:sz w:val="28"/>
          <w:szCs w:val="28"/>
        </w:rPr>
        <w:t>项目年产出绿电约为717.57万KWH</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计算</w:t>
      </w:r>
      <w:r>
        <w:rPr>
          <w:rFonts w:hint="eastAsia" w:ascii="宋体" w:hAnsi="宋体" w:eastAsia="宋体" w:cs="宋体"/>
          <w:color w:val="auto"/>
          <w:sz w:val="28"/>
          <w:szCs w:val="28"/>
          <w:lang w:val="en-US" w:eastAsia="zh-CN"/>
        </w:rPr>
        <w:t>公式见第六章内容）</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经调查，目前</w:t>
      </w:r>
      <w:r>
        <w:rPr>
          <w:rFonts w:ascii="宋体" w:hAnsi="宋体" w:eastAsia="宋体" w:cs="宋体"/>
          <w:i w:val="0"/>
          <w:strike w:val="0"/>
          <w:spacing w:val="0"/>
          <w:sz w:val="28"/>
          <w:u w:val="none"/>
        </w:rPr>
        <w:t>河南大成包装材料有限公司</w:t>
      </w:r>
      <w:r>
        <w:rPr>
          <w:rFonts w:hint="eastAsia" w:ascii="宋体" w:hAnsi="宋体" w:eastAsia="宋体" w:cs="宋体"/>
          <w:color w:val="auto"/>
          <w:sz w:val="28"/>
          <w:szCs w:val="28"/>
          <w:lang w:val="en-US" w:eastAsia="zh-CN"/>
        </w:rPr>
        <w:t>年用电量约</w:t>
      </w:r>
      <w:r>
        <w:rPr>
          <w:rFonts w:hint="eastAsia" w:ascii="宋体" w:hAnsi="宋体" w:eastAsia="宋体" w:cs="宋体"/>
          <w:color w:val="000000"/>
          <w:sz w:val="28"/>
          <w:szCs w:val="28"/>
          <w:lang w:val="en-US" w:eastAsia="zh-CN"/>
        </w:rPr>
        <w:t>为4752.00万</w:t>
      </w:r>
      <w:r>
        <w:rPr>
          <w:rFonts w:hint="eastAsia" w:ascii="宋体" w:hAnsi="宋体" w:eastAsia="宋体" w:cs="宋体"/>
          <w:color w:val="000000"/>
          <w:sz w:val="28"/>
          <w:szCs w:val="28"/>
        </w:rPr>
        <w:t>KWH</w:t>
      </w:r>
      <w:r>
        <w:rPr>
          <w:rFonts w:hint="eastAsia" w:ascii="宋体" w:hAnsi="宋体" w:eastAsia="宋体" w:cs="宋体"/>
          <w:color w:val="000000"/>
          <w:sz w:val="28"/>
          <w:szCs w:val="28"/>
          <w:lang w:eastAsia="zh-CN"/>
        </w:rPr>
        <w:t>，该企业是24小时不间断生产，相应每天用电时段用电量平均，</w:t>
      </w:r>
      <w:r>
        <w:rPr>
          <w:rFonts w:hint="eastAsia" w:ascii="宋体" w:hAnsi="宋体" w:eastAsia="宋体" w:cs="宋体"/>
          <w:b/>
          <w:color w:val="auto"/>
          <w:sz w:val="28"/>
          <w:szCs w:val="28"/>
          <w:lang w:val="en-US" w:eastAsia="zh-CN"/>
        </w:rPr>
        <w:t>本项目光伏发电将直接供应至河南大成包装材料有限公司平谷时段用电，项目储能将满足该公司在高峰时段电力稳定供应。低谷时段国网电价较低，国网压力较小，用电企业可直接向国网购买，平谷用电不足部分将直接向国网购买。</w:t>
      </w:r>
      <w:r>
        <w:rPr>
          <w:rFonts w:hint="eastAsia" w:ascii="宋体" w:hAnsi="宋体" w:eastAsia="宋体" w:cs="宋体"/>
          <w:b/>
          <w:color w:val="auto"/>
          <w:sz w:val="28"/>
          <w:szCs w:val="28"/>
        </w:rPr>
        <w:t>本项目所产出绿色电力能源销售价格低于国网销售价格，对用电量较大的企业具有致命的吸引力（销售价格详情见第六章盈利能力分析）。</w:t>
      </w:r>
    </w:p>
    <w:p w14:paraId="3B40726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1"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b/>
          <w:snapToGrid/>
          <w:color w:val="auto"/>
          <w:spacing w:val="0"/>
          <w:w w:val="100"/>
          <w:kern w:val="2"/>
          <w:position w:val="0"/>
          <w:sz w:val="28"/>
          <w:szCs w:val="28"/>
          <w:lang w:val="en-US" w:eastAsia="zh-CN" w:bidi="zh-CN"/>
        </w:rPr>
        <w:t>另外，在项目周边半径20公里范围内，还有众多用电量较大的企业，例如：河南金天化工有限公司年用电量约9000万</w:t>
      </w:r>
      <w:r>
        <w:rPr>
          <w:rFonts w:hint="eastAsia" w:ascii="宋体" w:hAnsi="宋体" w:eastAsia="宋体" w:cs="宋体"/>
          <w:b/>
          <w:color w:val="000000"/>
          <w:sz w:val="28"/>
          <w:szCs w:val="28"/>
        </w:rPr>
        <w:t>KWH、新乡中新化工有限责任公司年用电量约6000万KWH、河南宏一纺织有限公司年用电量约4000万KWH，以上企业都可以作为本项目消纳客户。</w:t>
      </w:r>
      <w:r>
        <w:rPr>
          <w:rFonts w:hint="eastAsia" w:ascii="宋体" w:hAnsi="宋体" w:eastAsia="宋体" w:cs="宋体"/>
          <w:b/>
          <w:color w:val="auto"/>
          <w:sz w:val="28"/>
          <w:szCs w:val="28"/>
        </w:rPr>
        <w:t>目标市场环境较好，容量缺口较大</w:t>
      </w:r>
      <w:r>
        <w:rPr>
          <w:rFonts w:hint="eastAsia" w:ascii="宋体" w:hAnsi="宋体" w:eastAsia="宋体" w:cs="宋体"/>
          <w:color w:val="auto"/>
          <w:sz w:val="28"/>
          <w:szCs w:val="28"/>
        </w:rPr>
        <w:t>。</w:t>
      </w:r>
    </w:p>
    <w:p w14:paraId="7D33AD2B">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2.3.</w:t>
      </w:r>
      <w:r>
        <w:rPr>
          <w:rFonts w:hint="eastAsia" w:ascii="宋体" w:hAnsi="宋体" w:eastAsia="宋体" w:cs="宋体"/>
          <w:b/>
          <w:bCs/>
          <w:sz w:val="28"/>
          <w:szCs w:val="28"/>
          <w:lang w:val="en-US" w:eastAsia="zh-CN"/>
        </w:rPr>
        <w:t>5</w:t>
      </w:r>
      <w:r>
        <w:rPr>
          <w:rFonts w:hint="eastAsia" w:ascii="宋体" w:hAnsi="宋体" w:eastAsia="宋体" w:cs="宋体"/>
          <w:b/>
          <w:bCs/>
          <w:sz w:val="28"/>
          <w:szCs w:val="28"/>
        </w:rPr>
        <w:t xml:space="preserve"> 行业发展趋势</w:t>
      </w:r>
    </w:p>
    <w:p w14:paraId="4A34717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1、能源结构清洁化加速</w:t>
      </w:r>
    </w:p>
    <w:p w14:paraId="23B7DAC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 “双碳” 目标引领下，清洁能源在源端的占比将持续大幅提高。太阳能、风能凭借其资源丰富、分布广泛且成本持续降低的优势，将实现大规模快速发展，海上风电、分布式光伏等项目建设加速推进。同时，水电、核能等清洁能源也将稳步发展，传统火电则逐步向灵活性改造和调峰兜底角色转变，以适应清洁能源发电的间歇性和波动性，构建以清洁能源为主导的新型电力供应体系。</w:t>
      </w:r>
    </w:p>
    <w:p w14:paraId="676787D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2、电网智能化升级深化</w:t>
      </w:r>
    </w:p>
    <w:p w14:paraId="6DCA2E4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应对新能源大规模接入和负荷多样化需求，电网将向智能化、柔性化方向深度发展。先进的电力电子技术广泛应用，实现对电流、电压等参数的精准控制和电能的高效变换；智能电网调度系统更加完善，利用大数据、云计算和人工智能技术，对电网运行状态进行实时监测、分析和预测，优化电力资源配置，提高电网可靠性和供电质量，实现源网荷储各环节的智能互动与协调运行，如虚拟电厂等新型电力运营模式将得到更广泛实践。</w:t>
      </w:r>
    </w:p>
    <w:p w14:paraId="527DC2C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3、用户侧灵活性资源潜力释放</w:t>
      </w:r>
    </w:p>
    <w:p w14:paraId="31B2E25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需求侧响应在源网荷储体系中的作用日益凸显。工业、商业和居民用户通过安装智能电表、控制系统等设备，实现用电行为的智能化管理，根据电网供需情况和价格信号灵活调整用电负荷，参与削峰填谷，获取经济收益。储能系统在用户侧的应用将更加普及，不仅保障关键负荷的不间断供电，还能利用峰谷电价差套利，降低用电成本，提升能源利用效率，用户从单纯的电力消费者逐渐转变为电力系统的参与者和调节者。</w:t>
      </w:r>
    </w:p>
    <w:p w14:paraId="7841539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4、储能技术多元化突破与规模化应用</w:t>
      </w:r>
    </w:p>
    <w:p w14:paraId="57119228">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储能是源网荷储协同发展的关键支撑，各类储能技术将共同发展并实现突破。锂离子电池储能在技术成熟度和成本控制方面优势明显，短期内仍将占据主导地位，但安全性和资源回收问题将逐步解决；液流电池、钠离子电池等新型电化学储能技术凭借其长寿命、大容量、高安全性等特点，进入商业化推广阶段；抽水蓄能作为大规模储能的成熟技术，建设步伐加快，同时压缩空气储能、飞轮储能、储热等技术也将在各自适用场景下实现规模化应用，为电力系统提供多样化的储能解决方案，增强系统稳定性和灵活性。</w:t>
      </w:r>
    </w:p>
    <w:p w14:paraId="5B46CE4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5、市场机制与商业模式创新活跃</w:t>
      </w:r>
    </w:p>
    <w:p w14:paraId="39D2BEE0">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随着源网荷储行业的发展，电力市场机制将不断完善，分时电价、现货市场、辅助服务市场等更加健全，为各市场主体提供公平、透明的交易环境和多元化的盈利途径。源网荷储一体化项目的商业模式将不断创新，如能源服务公司（ESCO）通过整合能源资源，为用户提供一站式能源解决方案，包括能源供应、节能改造、储能租赁等服务；分布式能源运营商通过建设和运营分布式源网荷储系统，实现电力的直接供应，与电网企业建立互利共赢的合作关系，激发市场活力，推动行业可持续发展。</w:t>
      </w:r>
    </w:p>
    <w:p w14:paraId="2EA717CB">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color w:val="000000"/>
          <w:sz w:val="28"/>
          <w:szCs w:val="28"/>
        </w:rPr>
      </w:pPr>
      <w:r>
        <w:rPr>
          <w:rFonts w:hint="eastAsia" w:ascii="宋体" w:hAnsi="宋体" w:eastAsia="宋体" w:cs="宋体"/>
          <w:b/>
          <w:bCs/>
          <w:color w:val="000000"/>
          <w:sz w:val="28"/>
          <w:szCs w:val="28"/>
        </w:rPr>
        <w:t>2.3.</w:t>
      </w:r>
      <w:r>
        <w:rPr>
          <w:rFonts w:hint="eastAsia" w:ascii="宋体" w:hAnsi="宋体" w:eastAsia="宋体" w:cs="宋体"/>
          <w:b/>
          <w:bCs/>
          <w:color w:val="000000"/>
          <w:sz w:val="28"/>
          <w:szCs w:val="28"/>
          <w:lang w:val="en-US" w:eastAsia="zh-CN"/>
        </w:rPr>
        <w:t>6</w:t>
      </w:r>
      <w:r>
        <w:rPr>
          <w:rFonts w:hint="eastAsia" w:ascii="宋体" w:hAnsi="宋体" w:eastAsia="宋体" w:cs="宋体"/>
          <w:b/>
          <w:bCs/>
          <w:color w:val="000000"/>
          <w:sz w:val="28"/>
          <w:szCs w:val="28"/>
        </w:rPr>
        <w:t xml:space="preserve"> 项目产品或服务的竞争力</w:t>
      </w:r>
    </w:p>
    <w:p w14:paraId="28678381">
      <w:pPr>
        <w:snapToGrid/>
        <w:spacing w:before="157" w:after="157" w:line="360" w:lineRule="auto"/>
        <w:ind w:left="0" w:right="0" w:firstLine="561" w:firstLineChars="200"/>
        <w:jc w:val="both"/>
      </w:pPr>
      <w:r>
        <w:rPr>
          <w:rFonts w:ascii="宋体" w:hAnsi="宋体" w:eastAsia="宋体" w:cs="宋体"/>
          <w:b/>
          <w:i w:val="0"/>
          <w:strike w:val="0"/>
          <w:color w:val="000000"/>
          <w:sz w:val="28"/>
          <w:u w:val="none"/>
        </w:rPr>
        <w:t>1、项目供电价格低于传统供电价格</w:t>
      </w:r>
    </w:p>
    <w:p w14:paraId="28BC4AAD">
      <w:pPr>
        <w:snapToGrid/>
        <w:spacing w:before="157" w:after="157" w:line="360" w:lineRule="auto"/>
        <w:ind w:left="0" w:right="0" w:firstLine="560" w:firstLineChars="200"/>
        <w:jc w:val="both"/>
      </w:pPr>
      <w:r>
        <w:rPr>
          <w:rFonts w:ascii="宋体" w:hAnsi="宋体" w:eastAsia="宋体" w:cs="宋体"/>
          <w:i w:val="0"/>
          <w:strike w:val="0"/>
          <w:color w:val="000000"/>
          <w:sz w:val="28"/>
          <w:u w:val="none"/>
        </w:rPr>
        <w:t>企业通过使用绿色能源供电相较于使用传统供电，可以获得更低的电价，从而在节省企业运营成本方面具有显著的优势。本项目系能源供电采取光伏发电，其生产过程无需消耗有限资源，且不产生温室气体排放，因此在价格上往往更为优惠。其次，政府针对可再生能源的政策支持，如补贴和税收优惠，降低了绿色电力的购买成本。这些政策措施进一步降低了企业的用电成本，帮助企业节省运营费用。</w:t>
      </w:r>
    </w:p>
    <w:p w14:paraId="48AD3E65">
      <w:pPr>
        <w:snapToGrid/>
        <w:spacing w:before="157" w:after="157" w:line="360" w:lineRule="auto"/>
        <w:ind w:left="0" w:right="0" w:firstLine="561" w:firstLineChars="200"/>
        <w:jc w:val="both"/>
      </w:pPr>
      <w:r>
        <w:rPr>
          <w:rFonts w:ascii="宋体" w:hAnsi="宋体" w:eastAsia="宋体" w:cs="宋体"/>
          <w:b/>
          <w:i w:val="0"/>
          <w:strike w:val="0"/>
          <w:color w:val="000000"/>
          <w:sz w:val="28"/>
          <w:u w:val="none"/>
        </w:rPr>
        <w:t>2、绿色电力可以协同中小企业绿色转型</w:t>
      </w:r>
    </w:p>
    <w:p w14:paraId="536205B3">
      <w:pPr>
        <w:snapToGrid/>
        <w:spacing w:before="0" w:after="0" w:line="360" w:lineRule="auto"/>
        <w:ind w:left="0" w:right="0" w:firstLine="560" w:firstLineChars="200"/>
        <w:jc w:val="both"/>
      </w:pPr>
      <w:r>
        <w:rPr>
          <w:rFonts w:ascii="宋体" w:hAnsi="宋体" w:eastAsia="宋体" w:cs="宋体"/>
          <w:i w:val="0"/>
          <w:strike w:val="0"/>
          <w:color w:val="000000"/>
          <w:sz w:val="28"/>
          <w:u w:val="none"/>
        </w:rPr>
        <w:t>绿色电力的采用可以在多个层面协助企业实现绿色转型。首先，绿色电力供应商通常提供与可再生能源相关的技术和咨询服务，帮助企业评估其能源使用情况，并提出有效的节能方案，从而降低能源消耗和成本。其次，通过与绿色电力供应商建立合作关系，企业可以获得政府的奖励和认可，如绿色证书或减排配额，进而提升其品牌形象和市场竞争力。此外，一些绿色电力供应商还提供灵活的购电方式和定制化的解决方案，满足不同企业的需求，，使其更容易实施绿色能源转型。另外，作为绿色供应链的一部分，采用绿色电力还可以激励企业的供应商和合作伙伴跟随其步伐，共同推动整个产业链的绿色化转型。最重要的是，绿色电力的使用符合当今社会对环保和可持续发展的迫切需求，中小企业选择绿色电力不仅可以降低环境风险，还可以吸引更多的消费者和投资者，促进企业的长期可持续发展。因此，通过与绿色电力供应商合作，企业可以获得技术支持、市场优势和社会认可，实现可持续发展的双赢局面。</w:t>
      </w:r>
    </w:p>
    <w:p w14:paraId="556B7BB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3、源网荷储根据周边企业用电需求进行降本增效提供了安全廉价的绿色电力能源</w:t>
      </w:r>
    </w:p>
    <w:p w14:paraId="01B35550">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这一模式下，通过整合电源、电网、负荷和储能等环节，实现了能源的高效利用和优化配置。对于周边企业而言，首先，源网荷储模式中的光伏发电等清洁能源发电方式，大大降低了对传统化石能源的依赖。随着技术的不断进步，光伏发电成本持续下降，为企业提供了廉价的电力供应。相比传统能源，绿色电力价格更为稳定，不受国际能源市场波动的影响，有效降低了企业的能源采购成本。其次，储能系统的加入确保了电力供应的稳定性和可靠性。在用电高峰时期，储能系统可以释放电能，满足企业的用电需求，避免因电网负荷过大而导致的停电或限电情况，为企业的生产经营活动提供了安全保障。同时，企业使用绿色电力有助于减少碳排放，满足环保要求，提升企业的社会形象和市场竞争力。此外，源网荷储一体化模式还可以根据企业的用电需求进行个性化定制，实现精准供电，进一步提高能源利用效率。通过智能化的能源管理系统，企业可以实时监测和控制用电情况，优化用电策略，降低能源浪费。总之，源网荷储模式为周边企业带来了安全廉价的绿色电力能源，为企业的可持续发展提供了有力支持。</w:t>
      </w:r>
    </w:p>
    <w:p w14:paraId="4010CCD6">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2.3.7 项目产品或服务的市场拥有量</w:t>
      </w:r>
    </w:p>
    <w:p w14:paraId="2C8DE06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截至 2024 年 12 月 23 日，河南省已实施五批源网荷储一体化项目，规模共计 5.225GW。其中工业企业类项目占比较大，在已实施的 253 个项目中，工业企业类项目有 49 个，占总项目数的比例并不是 60%，但工业企业类项目在项目规模上占据了重要部分。以下是对这一情况的具体介绍：</w:t>
      </w:r>
    </w:p>
    <w:p w14:paraId="5978E488">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第一批：6 月 21 日，河南省发改委发布《关于实施第一批源网荷储一体化项目的通知》，共包含 63 个新能源项目，合计规模为 2.145GW，其中工业企业类项目 49 个，规模共计 1254.3MW。</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190"/>
        <w:gridCol w:w="1880"/>
        <w:gridCol w:w="1990"/>
        <w:gridCol w:w="1345"/>
      </w:tblGrid>
      <w:tr w14:paraId="1B810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1F620CE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b/>
                <w:bCs/>
                <w:snapToGrid/>
                <w:color w:val="000000"/>
                <w:spacing w:val="0"/>
                <w:w w:val="100"/>
                <w:kern w:val="2"/>
                <w:position w:val="0"/>
                <w:sz w:val="22"/>
                <w:szCs w:val="28"/>
                <w:lang w:val="en-US" w:eastAsia="zh-CN" w:bidi="zh-CN"/>
              </w:rPr>
            </w:pPr>
            <w:r>
              <w:rPr>
                <w:rFonts w:hint="eastAsia" w:ascii="宋体" w:hAnsi="宋体" w:eastAsia="宋体" w:cs="宋体"/>
                <w:b/>
                <w:bCs/>
                <w:snapToGrid/>
                <w:color w:val="000000"/>
                <w:spacing w:val="0"/>
                <w:w w:val="100"/>
                <w:kern w:val="2"/>
                <w:position w:val="0"/>
                <w:sz w:val="22"/>
                <w:szCs w:val="28"/>
                <w:lang w:val="en-US" w:eastAsia="zh-CN" w:bidi="zh-CN"/>
              </w:rPr>
              <w:t>序号</w:t>
            </w:r>
          </w:p>
        </w:tc>
        <w:tc>
          <w:tcPr>
            <w:tcW w:w="2190" w:type="dxa"/>
          </w:tcPr>
          <w:p w14:paraId="1707E03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b/>
                <w:bCs/>
                <w:snapToGrid/>
                <w:color w:val="000000"/>
                <w:spacing w:val="0"/>
                <w:w w:val="100"/>
                <w:kern w:val="2"/>
                <w:position w:val="0"/>
                <w:sz w:val="22"/>
                <w:szCs w:val="28"/>
                <w:lang w:val="en-US" w:eastAsia="zh-CN" w:bidi="zh-CN"/>
              </w:rPr>
            </w:pPr>
            <w:r>
              <w:rPr>
                <w:rFonts w:hint="eastAsia" w:ascii="宋体" w:hAnsi="宋体" w:eastAsia="宋体" w:cs="宋体"/>
                <w:b/>
                <w:bCs/>
                <w:snapToGrid/>
                <w:color w:val="000000"/>
                <w:spacing w:val="0"/>
                <w:w w:val="100"/>
                <w:kern w:val="2"/>
                <w:position w:val="0"/>
                <w:sz w:val="22"/>
                <w:szCs w:val="28"/>
                <w:lang w:val="en-US" w:eastAsia="zh-CN" w:bidi="zh-CN"/>
              </w:rPr>
              <w:t>新能源项目（个数）</w:t>
            </w:r>
          </w:p>
        </w:tc>
        <w:tc>
          <w:tcPr>
            <w:tcW w:w="1880" w:type="dxa"/>
          </w:tcPr>
          <w:p w14:paraId="18172A8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b/>
                <w:bCs/>
                <w:snapToGrid/>
                <w:color w:val="000000"/>
                <w:spacing w:val="0"/>
                <w:w w:val="100"/>
                <w:kern w:val="2"/>
                <w:position w:val="0"/>
                <w:sz w:val="22"/>
                <w:szCs w:val="28"/>
                <w:lang w:val="en-US" w:eastAsia="zh-CN" w:bidi="zh-CN"/>
              </w:rPr>
            </w:pPr>
            <w:r>
              <w:rPr>
                <w:rFonts w:hint="eastAsia" w:ascii="宋体" w:hAnsi="宋体" w:eastAsia="宋体" w:cs="宋体"/>
                <w:b/>
                <w:bCs/>
                <w:snapToGrid/>
                <w:color w:val="000000"/>
                <w:spacing w:val="0"/>
                <w:w w:val="100"/>
                <w:kern w:val="2"/>
                <w:position w:val="0"/>
                <w:sz w:val="22"/>
                <w:szCs w:val="28"/>
                <w:lang w:val="en-US" w:eastAsia="zh-CN" w:bidi="zh-CN"/>
              </w:rPr>
              <w:t>新乡地区（个数）</w:t>
            </w:r>
          </w:p>
        </w:tc>
        <w:tc>
          <w:tcPr>
            <w:tcW w:w="1990" w:type="dxa"/>
          </w:tcPr>
          <w:p w14:paraId="0ECD19E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b/>
                <w:bCs/>
                <w:snapToGrid/>
                <w:color w:val="000000"/>
                <w:spacing w:val="0"/>
                <w:w w:val="100"/>
                <w:kern w:val="2"/>
                <w:position w:val="0"/>
                <w:sz w:val="22"/>
                <w:szCs w:val="28"/>
                <w:lang w:val="en-US" w:eastAsia="zh-CN" w:bidi="zh-CN"/>
              </w:rPr>
            </w:pPr>
            <w:r>
              <w:rPr>
                <w:rFonts w:hint="eastAsia" w:ascii="宋体" w:hAnsi="宋体" w:eastAsia="宋体" w:cs="宋体"/>
                <w:b/>
                <w:bCs/>
                <w:snapToGrid/>
                <w:color w:val="000000"/>
                <w:spacing w:val="0"/>
                <w:w w:val="100"/>
                <w:kern w:val="2"/>
                <w:position w:val="0"/>
                <w:sz w:val="22"/>
                <w:szCs w:val="28"/>
                <w:lang w:val="en-US" w:eastAsia="zh-CN" w:bidi="zh-CN"/>
              </w:rPr>
              <w:t>其他地区（个数）</w:t>
            </w:r>
          </w:p>
        </w:tc>
        <w:tc>
          <w:tcPr>
            <w:tcW w:w="1345" w:type="dxa"/>
          </w:tcPr>
          <w:p w14:paraId="1CD71354">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b/>
                <w:bCs/>
                <w:snapToGrid/>
                <w:color w:val="000000"/>
                <w:spacing w:val="0"/>
                <w:w w:val="100"/>
                <w:kern w:val="2"/>
                <w:position w:val="0"/>
                <w:sz w:val="22"/>
                <w:szCs w:val="28"/>
                <w:lang w:val="en-US" w:eastAsia="zh-CN" w:bidi="zh-CN"/>
              </w:rPr>
            </w:pPr>
            <w:r>
              <w:rPr>
                <w:rFonts w:hint="eastAsia" w:ascii="宋体" w:hAnsi="宋体" w:eastAsia="宋体" w:cs="宋体"/>
                <w:b/>
                <w:bCs/>
                <w:snapToGrid/>
                <w:color w:val="000000"/>
                <w:spacing w:val="0"/>
                <w:w w:val="100"/>
                <w:kern w:val="2"/>
                <w:position w:val="0"/>
                <w:sz w:val="22"/>
                <w:szCs w:val="28"/>
                <w:lang w:val="en-US" w:eastAsia="zh-CN" w:bidi="zh-CN"/>
              </w:rPr>
              <w:t>备注</w:t>
            </w:r>
          </w:p>
        </w:tc>
      </w:tr>
      <w:tr w14:paraId="74150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7192DA7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1</w:t>
            </w:r>
          </w:p>
        </w:tc>
        <w:tc>
          <w:tcPr>
            <w:tcW w:w="2190" w:type="dxa"/>
          </w:tcPr>
          <w:p w14:paraId="5C214CF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63</w:t>
            </w:r>
          </w:p>
        </w:tc>
        <w:tc>
          <w:tcPr>
            <w:tcW w:w="1880" w:type="dxa"/>
          </w:tcPr>
          <w:p w14:paraId="4B1946F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0</w:t>
            </w:r>
          </w:p>
        </w:tc>
        <w:tc>
          <w:tcPr>
            <w:tcW w:w="1990" w:type="dxa"/>
          </w:tcPr>
          <w:p w14:paraId="2DDF9E0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63</w:t>
            </w:r>
          </w:p>
        </w:tc>
        <w:tc>
          <w:tcPr>
            <w:tcW w:w="1345" w:type="dxa"/>
          </w:tcPr>
          <w:p w14:paraId="50EA091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p>
        </w:tc>
      </w:tr>
    </w:tbl>
    <w:p w14:paraId="6E086C40">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第二批：7 月 23 日，河南省发改委发布《关于实施第二批源网荷储一体化项目的通知》，工业企业类 40 个项目纳入第二批实施范围，新能源总规模 917.71MW。</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190"/>
        <w:gridCol w:w="1865"/>
        <w:gridCol w:w="2035"/>
        <w:gridCol w:w="1315"/>
      </w:tblGrid>
      <w:tr w14:paraId="7269D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5" w:type="dxa"/>
          </w:tcPr>
          <w:p w14:paraId="301EA74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序号</w:t>
            </w:r>
          </w:p>
        </w:tc>
        <w:tc>
          <w:tcPr>
            <w:tcW w:w="2190" w:type="dxa"/>
          </w:tcPr>
          <w:p w14:paraId="5AED3CC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新能源项目（个数）</w:t>
            </w:r>
          </w:p>
        </w:tc>
        <w:tc>
          <w:tcPr>
            <w:tcW w:w="1865" w:type="dxa"/>
          </w:tcPr>
          <w:p w14:paraId="40E5AFB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新乡地区（个数）</w:t>
            </w:r>
          </w:p>
        </w:tc>
        <w:tc>
          <w:tcPr>
            <w:tcW w:w="2035" w:type="dxa"/>
          </w:tcPr>
          <w:p w14:paraId="6CCC8EB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其他地区（个数）</w:t>
            </w:r>
          </w:p>
        </w:tc>
        <w:tc>
          <w:tcPr>
            <w:tcW w:w="1315" w:type="dxa"/>
          </w:tcPr>
          <w:p w14:paraId="454F026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备注</w:t>
            </w:r>
          </w:p>
        </w:tc>
      </w:tr>
      <w:tr w14:paraId="720AC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5" w:type="dxa"/>
          </w:tcPr>
          <w:p w14:paraId="6B261B60">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1</w:t>
            </w:r>
          </w:p>
        </w:tc>
        <w:tc>
          <w:tcPr>
            <w:tcW w:w="2190" w:type="dxa"/>
          </w:tcPr>
          <w:p w14:paraId="08723FA5">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45</w:t>
            </w:r>
          </w:p>
        </w:tc>
        <w:tc>
          <w:tcPr>
            <w:tcW w:w="1865" w:type="dxa"/>
          </w:tcPr>
          <w:p w14:paraId="7314683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1</w:t>
            </w:r>
          </w:p>
        </w:tc>
        <w:tc>
          <w:tcPr>
            <w:tcW w:w="2035" w:type="dxa"/>
          </w:tcPr>
          <w:p w14:paraId="4234FB4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44</w:t>
            </w:r>
          </w:p>
        </w:tc>
        <w:tc>
          <w:tcPr>
            <w:tcW w:w="1315" w:type="dxa"/>
          </w:tcPr>
          <w:p w14:paraId="10EE085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p>
        </w:tc>
      </w:tr>
    </w:tbl>
    <w:p w14:paraId="2A61EC7A">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第三批：8 月 30 日，河南省发改委发布《关于实施第三批源网荷储一体化项目（工业企业类、增量配电网类）的通知》，工业企业类 19 个项目纳入第三批实施范围，总规模为 637.6MW。</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190"/>
        <w:gridCol w:w="1865"/>
        <w:gridCol w:w="2035"/>
        <w:gridCol w:w="1315"/>
      </w:tblGrid>
      <w:tr w14:paraId="39B88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5" w:type="dxa"/>
          </w:tcPr>
          <w:p w14:paraId="136E0DB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序号</w:t>
            </w:r>
          </w:p>
        </w:tc>
        <w:tc>
          <w:tcPr>
            <w:tcW w:w="2190" w:type="dxa"/>
          </w:tcPr>
          <w:p w14:paraId="707FE23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新能源项目（个数）</w:t>
            </w:r>
          </w:p>
        </w:tc>
        <w:tc>
          <w:tcPr>
            <w:tcW w:w="1865" w:type="dxa"/>
          </w:tcPr>
          <w:p w14:paraId="42677C2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新乡地区（个数）</w:t>
            </w:r>
          </w:p>
        </w:tc>
        <w:tc>
          <w:tcPr>
            <w:tcW w:w="2035" w:type="dxa"/>
          </w:tcPr>
          <w:p w14:paraId="285F0F5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其他地区（个数）</w:t>
            </w:r>
          </w:p>
        </w:tc>
        <w:tc>
          <w:tcPr>
            <w:tcW w:w="1315" w:type="dxa"/>
          </w:tcPr>
          <w:p w14:paraId="231F6214">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备注</w:t>
            </w:r>
          </w:p>
        </w:tc>
      </w:tr>
      <w:tr w14:paraId="5AC47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5" w:type="dxa"/>
          </w:tcPr>
          <w:p w14:paraId="2D49C3B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1</w:t>
            </w:r>
          </w:p>
        </w:tc>
        <w:tc>
          <w:tcPr>
            <w:tcW w:w="2190" w:type="dxa"/>
          </w:tcPr>
          <w:p w14:paraId="5131E50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21</w:t>
            </w:r>
          </w:p>
        </w:tc>
        <w:tc>
          <w:tcPr>
            <w:tcW w:w="1865" w:type="dxa"/>
          </w:tcPr>
          <w:p w14:paraId="0FDBC82B">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0</w:t>
            </w:r>
          </w:p>
        </w:tc>
        <w:tc>
          <w:tcPr>
            <w:tcW w:w="2035" w:type="dxa"/>
          </w:tcPr>
          <w:p w14:paraId="5E72442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21</w:t>
            </w:r>
          </w:p>
        </w:tc>
        <w:tc>
          <w:tcPr>
            <w:tcW w:w="1315" w:type="dxa"/>
          </w:tcPr>
          <w:p w14:paraId="63D5DE0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p>
        </w:tc>
      </w:tr>
    </w:tbl>
    <w:p w14:paraId="16D9AD24">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第四批：11 月 4 日，河南省发展和改革委员会发布《关于实施第四批源网荷储一体化项目的通知》，本批次涉及项目规模共 653.91MW。</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190"/>
        <w:gridCol w:w="1865"/>
        <w:gridCol w:w="2035"/>
        <w:gridCol w:w="1315"/>
      </w:tblGrid>
      <w:tr w14:paraId="166E9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5" w:type="dxa"/>
          </w:tcPr>
          <w:p w14:paraId="536DA73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序号</w:t>
            </w:r>
          </w:p>
        </w:tc>
        <w:tc>
          <w:tcPr>
            <w:tcW w:w="2190" w:type="dxa"/>
          </w:tcPr>
          <w:p w14:paraId="0D9345B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新能源项目（个数）</w:t>
            </w:r>
          </w:p>
        </w:tc>
        <w:tc>
          <w:tcPr>
            <w:tcW w:w="1865" w:type="dxa"/>
          </w:tcPr>
          <w:p w14:paraId="6BDCFBA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新乡地区（个数）</w:t>
            </w:r>
          </w:p>
        </w:tc>
        <w:tc>
          <w:tcPr>
            <w:tcW w:w="2035" w:type="dxa"/>
          </w:tcPr>
          <w:p w14:paraId="381EA804">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其他地区（个数）</w:t>
            </w:r>
          </w:p>
        </w:tc>
        <w:tc>
          <w:tcPr>
            <w:tcW w:w="1315" w:type="dxa"/>
          </w:tcPr>
          <w:p w14:paraId="0801612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备注</w:t>
            </w:r>
          </w:p>
        </w:tc>
      </w:tr>
      <w:tr w14:paraId="0AAE1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845" w:type="dxa"/>
          </w:tcPr>
          <w:p w14:paraId="571C7630">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1</w:t>
            </w:r>
          </w:p>
        </w:tc>
        <w:tc>
          <w:tcPr>
            <w:tcW w:w="2190" w:type="dxa"/>
          </w:tcPr>
          <w:p w14:paraId="7EFCFFF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61</w:t>
            </w:r>
          </w:p>
        </w:tc>
        <w:tc>
          <w:tcPr>
            <w:tcW w:w="1865" w:type="dxa"/>
          </w:tcPr>
          <w:p w14:paraId="36FCCF68">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2</w:t>
            </w:r>
          </w:p>
        </w:tc>
        <w:tc>
          <w:tcPr>
            <w:tcW w:w="2035" w:type="dxa"/>
          </w:tcPr>
          <w:p w14:paraId="25CF2F3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59</w:t>
            </w:r>
          </w:p>
        </w:tc>
        <w:tc>
          <w:tcPr>
            <w:tcW w:w="1315" w:type="dxa"/>
          </w:tcPr>
          <w:p w14:paraId="37077D2B">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p>
        </w:tc>
      </w:tr>
    </w:tbl>
    <w:p w14:paraId="7138CF40">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第五批：12 月 23 日，河南省发改委发布《关于实施第五批源网荷储一体化项目的通知》，工业企业类 49 个项目纳入第五批实施范围，规模共 823.999MW，包含风电 511.1MW，光伏 312.899MW。</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190"/>
        <w:gridCol w:w="1865"/>
        <w:gridCol w:w="2035"/>
        <w:gridCol w:w="1315"/>
      </w:tblGrid>
      <w:tr w14:paraId="2457F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5" w:type="dxa"/>
          </w:tcPr>
          <w:p w14:paraId="56337860">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序号</w:t>
            </w:r>
          </w:p>
        </w:tc>
        <w:tc>
          <w:tcPr>
            <w:tcW w:w="2190" w:type="dxa"/>
          </w:tcPr>
          <w:p w14:paraId="0DE3479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新能源项目（个数）</w:t>
            </w:r>
          </w:p>
        </w:tc>
        <w:tc>
          <w:tcPr>
            <w:tcW w:w="1865" w:type="dxa"/>
          </w:tcPr>
          <w:p w14:paraId="5704F92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新乡地区（个数）</w:t>
            </w:r>
          </w:p>
        </w:tc>
        <w:tc>
          <w:tcPr>
            <w:tcW w:w="2035" w:type="dxa"/>
          </w:tcPr>
          <w:p w14:paraId="19EF5D1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其他地区（个数）</w:t>
            </w:r>
          </w:p>
        </w:tc>
        <w:tc>
          <w:tcPr>
            <w:tcW w:w="1315" w:type="dxa"/>
          </w:tcPr>
          <w:p w14:paraId="1D95BB8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备注</w:t>
            </w:r>
          </w:p>
        </w:tc>
      </w:tr>
      <w:tr w14:paraId="23D23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845" w:type="dxa"/>
          </w:tcPr>
          <w:p w14:paraId="5450DBC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1</w:t>
            </w:r>
          </w:p>
        </w:tc>
        <w:tc>
          <w:tcPr>
            <w:tcW w:w="2190" w:type="dxa"/>
          </w:tcPr>
          <w:p w14:paraId="2BDA42A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61</w:t>
            </w:r>
          </w:p>
        </w:tc>
        <w:tc>
          <w:tcPr>
            <w:tcW w:w="1865" w:type="dxa"/>
          </w:tcPr>
          <w:p w14:paraId="678C931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5</w:t>
            </w:r>
          </w:p>
        </w:tc>
        <w:tc>
          <w:tcPr>
            <w:tcW w:w="2035" w:type="dxa"/>
          </w:tcPr>
          <w:p w14:paraId="07F4425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56</w:t>
            </w:r>
          </w:p>
        </w:tc>
        <w:tc>
          <w:tcPr>
            <w:tcW w:w="1315" w:type="dxa"/>
          </w:tcPr>
          <w:p w14:paraId="2A00809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p>
        </w:tc>
      </w:tr>
    </w:tbl>
    <w:p w14:paraId="009F4E1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根据以上内容，</w:t>
      </w:r>
      <w:r>
        <w:rPr>
          <w:rFonts w:hint="eastAsia" w:ascii="宋体" w:hAnsi="宋体" w:eastAsia="宋体" w:cs="宋体"/>
          <w:snapToGrid/>
          <w:color w:val="000000"/>
          <w:spacing w:val="0"/>
          <w:w w:val="100"/>
          <w:kern w:val="2"/>
          <w:position w:val="0"/>
          <w:sz w:val="28"/>
          <w:szCs w:val="28"/>
          <w:lang w:val="en-US" w:eastAsia="zh-CN" w:bidi="zh-CN"/>
        </w:rPr>
        <w:t>河南省已实施源网荷储一体化项目第一批至第五批次，新乡市有8个项目申报建设，此间无获嘉县区域项目，</w:t>
      </w:r>
      <w:r>
        <w:rPr>
          <w:rFonts w:hint="eastAsia" w:ascii="宋体" w:hAnsi="宋体" w:eastAsia="宋体" w:cs="宋体"/>
          <w:snapToGrid/>
          <w:color w:val="auto"/>
          <w:spacing w:val="0"/>
          <w:w w:val="100"/>
          <w:kern w:val="2"/>
          <w:position w:val="0"/>
          <w:sz w:val="28"/>
          <w:szCs w:val="28"/>
          <w:lang w:val="en-US" w:eastAsia="zh-CN" w:bidi="zh-CN"/>
        </w:rPr>
        <w:t>市场拥有量为零。</w:t>
      </w:r>
    </w:p>
    <w:p w14:paraId="74FCD2FA">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33" w:name="_Toc20731"/>
      <w:r>
        <w:rPr>
          <w:rFonts w:hint="eastAsia" w:ascii="宋体" w:hAnsi="宋体" w:eastAsia="宋体" w:cs="宋体"/>
          <w:b/>
          <w:bCs/>
          <w:sz w:val="28"/>
          <w:szCs w:val="28"/>
        </w:rPr>
        <w:t>2.4 项目建设内容、规模及产出</w:t>
      </w:r>
      <w:bookmarkEnd w:id="33"/>
    </w:p>
    <w:p w14:paraId="2013C4E8">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2.4.1 建设原则</w:t>
      </w:r>
    </w:p>
    <w:p w14:paraId="75FBFFE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项目定位：获嘉县产业集聚区中小企业创业孵化园源网荷储一体化项目定位为新能源综合开发利用项目。集光伏发电、储能调峰及源网荷储于一体，致力于解决企业用电贵的问题，为较大用电需求的企业提供绿色能源，推动获嘉县生态与经济协同发展。</w:t>
      </w:r>
    </w:p>
    <w:p w14:paraId="393F291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设计理念：利用源网荷储一体化的优势在孵化园区内工业厂房屋顶及闲置场地安装光伏发电设备并配备储能设备进行调峰。使有较大用电需求的企业用上绿色、稳定、便宜、可靠的电力能源，从而降低生产经营成本，从而促进双碳战略的发展。</w:t>
      </w:r>
    </w:p>
    <w:p w14:paraId="6AA89EB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3、规划思路：通过在孵化园区内建设光伏电站及配套储能所产出的绿色电力能源，根据</w:t>
      </w:r>
      <w:r>
        <w:rPr>
          <w:rFonts w:hint="eastAsia" w:ascii="宋体" w:hAnsi="宋体" w:eastAsia="宋体" w:cs="宋体"/>
          <w:b w:val="0"/>
          <w:bCs w:val="0"/>
          <w:sz w:val="28"/>
          <w:szCs w:val="28"/>
          <w:lang w:val="en-US" w:eastAsia="zh-CN"/>
        </w:rPr>
        <w:t>已项目建设地为核心点半径20公里内有较大用电需求的企业提供绿色新能源电力</w:t>
      </w:r>
      <w:r>
        <w:rPr>
          <w:rFonts w:hint="eastAsia" w:ascii="宋体" w:hAnsi="宋体" w:eastAsia="宋体" w:cs="宋体"/>
          <w:color w:val="auto"/>
          <w:sz w:val="28"/>
          <w:szCs w:val="28"/>
        </w:rPr>
        <w:t>，帮助用电企业降低生产经营成本。</w:t>
      </w:r>
    </w:p>
    <w:p w14:paraId="57DFAAD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4、科学发展的原则，体现数字经济与传统产业融合，坚持可持续发展，注重土地集约利用。</w:t>
      </w:r>
    </w:p>
    <w:p w14:paraId="2176CF6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5、高起点、高标准、高效益的原则，启动建设的各项工程一定要服从和服务于总体规划的要求，高起点设计，高标准施工，高效益回报，树精品意识，建样板工程，创一流环境。</w:t>
      </w:r>
    </w:p>
    <w:p w14:paraId="3E5BB24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6、效益优先的原则，平台建设要有艰苦奋斗的精神，本着少花钱、多办事、办好事的宗旨，精打细算用好每笔资金，集中投入，重点开发，以最小的投入换取最理想的产出。</w:t>
      </w:r>
    </w:p>
    <w:p w14:paraId="24E478AB">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2.4.2 发展目标</w:t>
      </w:r>
    </w:p>
    <w:p w14:paraId="34595E7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ascii="宋体" w:hAnsi="宋体" w:eastAsia="宋体" w:cs="宋体"/>
          <w:sz w:val="28"/>
        </w:rPr>
        <w:t>1</w:t>
      </w:r>
      <w:r>
        <w:rPr>
          <w:rFonts w:hint="eastAsia" w:ascii="宋体" w:hAnsi="宋体" w:eastAsia="宋体" w:cs="宋体"/>
          <w:snapToGrid/>
          <w:color w:val="auto"/>
          <w:spacing w:val="0"/>
          <w:w w:val="100"/>
          <w:kern w:val="2"/>
          <w:position w:val="0"/>
          <w:sz w:val="28"/>
          <w:szCs w:val="28"/>
          <w:lang w:val="en-US" w:eastAsia="zh-CN" w:bidi="zh-CN"/>
        </w:rPr>
        <w:t>、近期目标（2024-2025）：架设光伏，安装储能</w:t>
      </w:r>
    </w:p>
    <w:p w14:paraId="1404C198">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本项目近期主要完成光伏电站及储能电站的架设安装，为较大用电需求的企业供应绿色电力能源。</w:t>
      </w:r>
    </w:p>
    <w:p w14:paraId="6F466BC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2、远期目标（2026-2036）：形成智能微电网，服务周边</w:t>
      </w:r>
    </w:p>
    <w:p w14:paraId="42C3E1D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提高发电量，在满足园区内部中小企业用电的同时，向项目周边中小企业开始蔓延，让周边企业也能够享受绿色的电力能源。</w:t>
      </w:r>
    </w:p>
    <w:p w14:paraId="2DCED9E5">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2.4.3 建设内容、规模和产出方案</w:t>
      </w:r>
    </w:p>
    <w:p w14:paraId="4C7924E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1、建筑工程</w:t>
      </w:r>
    </w:p>
    <w:p w14:paraId="3A037B31">
      <w:pPr>
        <w:snapToGrid/>
        <w:spacing w:line="240" w:lineRule="auto"/>
        <w:ind w:firstLineChars="200"/>
        <w:rPr>
          <w:color w:val="000000"/>
        </w:rPr>
      </w:pPr>
      <w:r>
        <w:rPr>
          <w:rFonts w:ascii="宋体" w:hAnsi="宋体" w:eastAsia="宋体" w:cs="宋体"/>
          <w:i w:val="0"/>
          <w:strike w:val="0"/>
          <w:spacing w:val="0"/>
          <w:sz w:val="28"/>
          <w:u w:val="none"/>
        </w:rPr>
        <w:t>本项目在</w:t>
      </w:r>
      <w:r>
        <w:rPr>
          <w:rFonts w:hint="eastAsia" w:ascii="宋体" w:hAnsi="宋体" w:eastAsia="宋体" w:cs="宋体"/>
          <w:snapToGrid/>
          <w:color w:val="auto"/>
          <w:spacing w:val="0"/>
          <w:w w:val="100"/>
          <w:kern w:val="2"/>
          <w:position w:val="0"/>
          <w:sz w:val="28"/>
          <w:szCs w:val="28"/>
          <w:lang w:val="en-US" w:eastAsia="zh-CN" w:bidi="zh-CN"/>
        </w:rPr>
        <w:t>获嘉县产业集聚区创业孵化</w:t>
      </w:r>
      <w:r>
        <w:rPr>
          <w:rFonts w:ascii="宋体" w:hAnsi="宋体" w:eastAsia="宋体" w:cs="宋体"/>
          <w:i w:val="0"/>
          <w:strike w:val="0"/>
          <w:spacing w:val="0"/>
          <w:sz w:val="28"/>
          <w:u w:val="none"/>
        </w:rPr>
        <w:t>园区内工业厂房屋顶部署</w:t>
      </w:r>
      <w:r>
        <w:rPr>
          <w:rFonts w:hint="eastAsia" w:ascii="宋体" w:hAnsi="宋体" w:eastAsia="宋体" w:cs="宋体"/>
          <w:i w:val="0"/>
          <w:strike w:val="0"/>
          <w:spacing w:val="0"/>
          <w:sz w:val="28"/>
          <w:u w:val="none"/>
          <w:lang w:val="en-US" w:eastAsia="zh-CN"/>
        </w:rPr>
        <w:t>5956</w:t>
      </w:r>
      <w:r>
        <w:rPr>
          <w:rFonts w:ascii="宋体" w:hAnsi="宋体" w:eastAsia="宋体" w:cs="宋体"/>
          <w:i w:val="0"/>
          <w:strike w:val="0"/>
          <w:spacing w:val="0"/>
          <w:sz w:val="28"/>
          <w:u w:val="none"/>
        </w:rPr>
        <w:t>KW的分布式光伏发电系统，并配套安装用户侧储能设施，总规模达到</w:t>
      </w:r>
      <w:r>
        <w:rPr>
          <w:rFonts w:hint="eastAsia" w:ascii="宋体" w:hAnsi="宋体" w:eastAsia="宋体" w:cs="宋体"/>
          <w:i w:val="0"/>
          <w:strike w:val="0"/>
          <w:spacing w:val="0"/>
          <w:sz w:val="28"/>
          <w:u w:val="none"/>
          <w:lang w:val="en-US" w:eastAsia="zh-CN"/>
        </w:rPr>
        <w:t>20</w:t>
      </w:r>
      <w:r>
        <w:rPr>
          <w:rFonts w:ascii="宋体" w:hAnsi="宋体" w:eastAsia="宋体" w:cs="宋体"/>
          <w:i w:val="0"/>
          <w:strike w:val="0"/>
          <w:spacing w:val="0"/>
          <w:sz w:val="28"/>
          <w:u w:val="none"/>
        </w:rPr>
        <w:t>MW/</w:t>
      </w:r>
      <w:r>
        <w:rPr>
          <w:rFonts w:hint="eastAsia" w:ascii="宋体" w:hAnsi="宋体" w:eastAsia="宋体" w:cs="宋体"/>
          <w:i w:val="0"/>
          <w:strike w:val="0"/>
          <w:spacing w:val="0"/>
          <w:sz w:val="28"/>
          <w:u w:val="none"/>
          <w:lang w:val="en-US" w:eastAsia="zh-CN"/>
        </w:rPr>
        <w:t>40</w:t>
      </w:r>
      <w:r>
        <w:rPr>
          <w:rFonts w:ascii="宋体" w:hAnsi="宋体" w:eastAsia="宋体" w:cs="宋体"/>
          <w:i w:val="0"/>
          <w:strike w:val="0"/>
          <w:spacing w:val="0"/>
          <w:sz w:val="28"/>
          <w:u w:val="none"/>
        </w:rPr>
        <w:t>MWh（其中包含3MW储能换电模块）。此外，项目规划安装</w:t>
      </w:r>
      <w:r>
        <w:rPr>
          <w:rFonts w:hint="eastAsia" w:ascii="宋体" w:hAnsi="宋体" w:eastAsia="宋体" w:cs="宋体"/>
          <w:i w:val="0"/>
          <w:strike w:val="0"/>
          <w:spacing w:val="0"/>
          <w:sz w:val="28"/>
          <w:u w:val="none"/>
          <w:lang w:val="en-US" w:eastAsia="zh-CN"/>
        </w:rPr>
        <w:t>5</w:t>
      </w:r>
      <w:r>
        <w:rPr>
          <w:rFonts w:ascii="宋体" w:hAnsi="宋体" w:eastAsia="宋体" w:cs="宋体"/>
          <w:i w:val="0"/>
          <w:strike w:val="0"/>
          <w:spacing w:val="0"/>
          <w:sz w:val="28"/>
          <w:u w:val="none"/>
        </w:rPr>
        <w:t>个600kw液冷光储充电桩和其他等量充电桩，并同步实施其他相关配套工程。通过源网荷储一体化方案，本项目将用户侧储能设备直接安装在</w:t>
      </w:r>
      <w:r>
        <w:rPr>
          <w:rFonts w:hint="eastAsia" w:ascii="宋体" w:hAnsi="宋体" w:eastAsia="宋体" w:cs="宋体"/>
          <w:i w:val="0"/>
          <w:strike w:val="0"/>
          <w:spacing w:val="0"/>
          <w:sz w:val="28"/>
          <w:u w:val="none"/>
        </w:rPr>
        <w:t>河南大成包装材料有限公司</w:t>
      </w:r>
      <w:r>
        <w:rPr>
          <w:rFonts w:ascii="宋体" w:hAnsi="宋体" w:eastAsia="宋体" w:cs="宋体"/>
          <w:i w:val="0"/>
          <w:strike w:val="0"/>
          <w:spacing w:val="0"/>
          <w:sz w:val="28"/>
          <w:u w:val="none"/>
        </w:rPr>
        <w:t>（以下简称“</w:t>
      </w:r>
      <w:r>
        <w:rPr>
          <w:rFonts w:hint="eastAsia" w:ascii="宋体" w:hAnsi="宋体" w:eastAsia="宋体" w:cs="宋体"/>
          <w:i w:val="0"/>
          <w:strike w:val="0"/>
          <w:spacing w:val="0"/>
          <w:sz w:val="28"/>
          <w:u w:val="none"/>
          <w:lang w:val="en-US" w:eastAsia="zh-CN"/>
        </w:rPr>
        <w:t>大成包装</w:t>
      </w:r>
      <w:r>
        <w:rPr>
          <w:rFonts w:ascii="宋体" w:hAnsi="宋体" w:eastAsia="宋体" w:cs="宋体"/>
          <w:i w:val="0"/>
          <w:strike w:val="0"/>
          <w:spacing w:val="0"/>
          <w:sz w:val="28"/>
          <w:u w:val="none"/>
        </w:rPr>
        <w:t>”）内部，项目所产出的新能源电力将直供给</w:t>
      </w:r>
      <w:r>
        <w:rPr>
          <w:rFonts w:hint="eastAsia" w:ascii="宋体" w:hAnsi="宋体" w:eastAsia="宋体" w:cs="宋体"/>
          <w:i w:val="0"/>
          <w:strike w:val="0"/>
          <w:spacing w:val="0"/>
          <w:sz w:val="28"/>
          <w:u w:val="none"/>
          <w:lang w:val="en-US" w:eastAsia="zh-CN"/>
        </w:rPr>
        <w:t>大成包装</w:t>
      </w:r>
      <w:r>
        <w:rPr>
          <w:rFonts w:ascii="宋体" w:hAnsi="宋体" w:eastAsia="宋体" w:cs="宋体"/>
          <w:i w:val="0"/>
          <w:strike w:val="0"/>
          <w:spacing w:val="0"/>
          <w:sz w:val="28"/>
          <w:u w:val="none"/>
        </w:rPr>
        <w:t>使用</w:t>
      </w:r>
      <w:r>
        <w:rPr>
          <w:rFonts w:ascii="宋体" w:hAnsi="宋体" w:eastAsia="宋体" w:cs="宋体"/>
          <w:i w:val="0"/>
          <w:strike w:val="0"/>
          <w:color w:val="000000"/>
          <w:spacing w:val="0"/>
          <w:sz w:val="28"/>
          <w:u w:val="none"/>
        </w:rPr>
        <w:t>。</w:t>
      </w:r>
    </w:p>
    <w:p w14:paraId="1A51CA18">
      <w:pPr>
        <w:pBdr>
          <w:bottom w:val="none" w:color="auto" w:sz="0" w:space="0"/>
        </w:pBdr>
        <w:snapToGrid/>
        <w:spacing w:before="157" w:after="157" w:line="360" w:lineRule="auto"/>
        <w:ind w:left="0" w:firstLine="560" w:firstLineChars="200"/>
        <w:jc w:val="both"/>
        <w:rPr>
          <w:rFonts w:ascii="宋体" w:hAnsi="宋体" w:eastAsia="宋体" w:cs="宋体"/>
          <w:i w:val="0"/>
          <w:strike w:val="0"/>
          <w:color w:val="000000"/>
          <w:spacing w:val="0"/>
          <w:sz w:val="28"/>
          <w:u w:val="none"/>
        </w:rPr>
      </w:pPr>
      <w:r>
        <w:rPr>
          <w:rFonts w:hint="eastAsia" w:ascii="宋体" w:hAnsi="宋体" w:eastAsia="宋体" w:cs="宋体"/>
          <w:i w:val="0"/>
          <w:strike w:val="0"/>
          <w:color w:val="000000"/>
          <w:spacing w:val="0"/>
          <w:sz w:val="28"/>
          <w:u w:val="none"/>
          <w:lang w:val="en-US" w:eastAsia="zh-CN"/>
        </w:rPr>
        <w:t>2、光伏储能设备占用面积</w:t>
      </w:r>
    </w:p>
    <w:p w14:paraId="4E5E733A">
      <w:pPr>
        <w:pBdr>
          <w:bottom w:val="none" w:color="auto" w:sz="0" w:space="0"/>
        </w:pBdr>
        <w:snapToGrid/>
        <w:spacing w:before="157" w:after="157" w:line="360" w:lineRule="auto"/>
        <w:ind w:left="0" w:firstLine="560" w:firstLineChars="200"/>
        <w:jc w:val="both"/>
        <w:rPr>
          <w:rFonts w:ascii="宋体" w:hAnsi="宋体" w:eastAsia="宋体" w:cs="宋体"/>
          <w:i w:val="0"/>
          <w:strike w:val="0"/>
          <w:color w:val="FF0000"/>
          <w:spacing w:val="0"/>
          <w:sz w:val="28"/>
          <w:u w:val="none"/>
        </w:rPr>
      </w:pPr>
      <w:r>
        <w:rPr>
          <w:rFonts w:ascii="宋体" w:hAnsi="宋体" w:eastAsia="宋体" w:cs="宋体"/>
          <w:i w:val="0"/>
          <w:strike w:val="0"/>
          <w:color w:val="000000"/>
          <w:spacing w:val="0"/>
          <w:sz w:val="28"/>
          <w:u w:val="none"/>
        </w:rPr>
        <w:t>项目规划利用获嘉县产业集聚区中小企业创业孵化园项目屋顶面积为31530.09m²，园区内可使用道路区域面积为12267.68m²，合计可使用面积为42807.95m²。房产及按照柔性光伏详细情况如下：</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1815"/>
        <w:gridCol w:w="2850"/>
        <w:gridCol w:w="2820"/>
      </w:tblGrid>
      <w:tr w14:paraId="1FEFD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blHeader/>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6B3C8CA3">
            <w:pPr>
              <w:widowControl w:val="0"/>
              <w:snapToGrid/>
              <w:spacing w:before="0" w:after="0" w:line="240" w:lineRule="auto"/>
              <w:ind w:left="0" w:right="0"/>
              <w:jc w:val="center"/>
              <w:rPr>
                <w:b/>
                <w:bCs/>
              </w:rPr>
            </w:pPr>
            <w:r>
              <w:rPr>
                <w:rFonts w:ascii="宋体" w:hAnsi="宋体" w:eastAsia="宋体" w:cs="宋体"/>
                <w:b/>
                <w:bCs/>
                <w:i w:val="0"/>
                <w:strike w:val="0"/>
                <w:color w:val="000000"/>
                <w:spacing w:val="0"/>
                <w:sz w:val="22"/>
                <w:u w:val="none"/>
              </w:rPr>
              <w:t>序号</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7298F69E">
            <w:pPr>
              <w:widowControl w:val="0"/>
              <w:snapToGrid/>
              <w:spacing w:before="0" w:after="0" w:line="240" w:lineRule="auto"/>
              <w:ind w:left="0" w:right="0"/>
              <w:jc w:val="center"/>
              <w:rPr>
                <w:b/>
                <w:bCs/>
              </w:rPr>
            </w:pPr>
            <w:r>
              <w:rPr>
                <w:rFonts w:ascii="宋体" w:hAnsi="宋体" w:eastAsia="宋体" w:cs="宋体"/>
                <w:b/>
                <w:bCs/>
                <w:i w:val="0"/>
                <w:strike w:val="0"/>
                <w:color w:val="000000"/>
                <w:spacing w:val="0"/>
                <w:sz w:val="22"/>
                <w:u w:val="none"/>
              </w:rPr>
              <w:t>名称</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19434047">
            <w:pPr>
              <w:widowControl w:val="0"/>
              <w:snapToGrid/>
              <w:spacing w:before="0" w:after="0" w:line="240" w:lineRule="auto"/>
              <w:ind w:left="0" w:right="0"/>
              <w:jc w:val="center"/>
              <w:rPr>
                <w:b/>
                <w:bCs/>
              </w:rPr>
            </w:pPr>
            <w:r>
              <w:rPr>
                <w:rFonts w:ascii="宋体" w:hAnsi="宋体" w:eastAsia="宋体" w:cs="宋体"/>
                <w:b/>
                <w:bCs/>
                <w:i w:val="0"/>
                <w:strike w:val="0"/>
                <w:color w:val="000000"/>
                <w:spacing w:val="0"/>
                <w:sz w:val="22"/>
                <w:u w:val="none"/>
              </w:rPr>
              <w:t>基底面积(m²)</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0C96FD81">
            <w:pPr>
              <w:widowControl w:val="0"/>
              <w:snapToGrid/>
              <w:spacing w:before="0" w:after="0" w:line="240" w:lineRule="auto"/>
              <w:ind w:left="0" w:right="0"/>
              <w:jc w:val="center"/>
              <w:rPr>
                <w:b/>
                <w:bCs/>
              </w:rPr>
            </w:pPr>
            <w:r>
              <w:rPr>
                <w:rFonts w:ascii="宋体" w:hAnsi="宋体" w:eastAsia="宋体" w:cs="宋体"/>
                <w:b/>
                <w:bCs/>
                <w:i w:val="0"/>
                <w:strike w:val="0"/>
                <w:color w:val="000000"/>
                <w:spacing w:val="0"/>
                <w:sz w:val="22"/>
                <w:u w:val="none"/>
              </w:rPr>
              <w:t>总建筑面积(²)</w:t>
            </w:r>
          </w:p>
        </w:tc>
      </w:tr>
      <w:tr w14:paraId="5B344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14:paraId="6D554881">
            <w:pPr>
              <w:widowControl w:val="0"/>
              <w:snapToGrid/>
              <w:spacing w:before="0" w:after="0" w:line="240" w:lineRule="auto"/>
              <w:ind w:left="0" w:right="0"/>
              <w:jc w:val="center"/>
            </w:pPr>
            <w:r>
              <w:rPr>
                <w:rFonts w:ascii="宋体" w:hAnsi="宋体" w:eastAsia="宋体" w:cs="宋体"/>
                <w:i w:val="0"/>
                <w:strike w:val="0"/>
                <w:color w:val="000000"/>
                <w:spacing w:val="0"/>
                <w:sz w:val="22"/>
                <w:u w:val="none"/>
              </w:rPr>
              <w:t>1</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14:paraId="49293484">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1#厂房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14:paraId="01D4EBF2">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2616.38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14:paraId="23C589A2">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 xml:space="preserve">5232.76 </w:t>
            </w:r>
          </w:p>
        </w:tc>
      </w:tr>
      <w:tr w14:paraId="6BEFB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6CD14781">
            <w:pPr>
              <w:widowControl w:val="0"/>
              <w:snapToGrid/>
              <w:spacing w:before="0" w:after="0" w:line="240" w:lineRule="auto"/>
              <w:ind w:left="0" w:right="0"/>
              <w:jc w:val="center"/>
            </w:pPr>
            <w:r>
              <w:rPr>
                <w:rFonts w:ascii="宋体" w:hAnsi="宋体" w:eastAsia="宋体" w:cs="宋体"/>
                <w:i w:val="0"/>
                <w:strike w:val="0"/>
                <w:color w:val="000000"/>
                <w:spacing w:val="0"/>
                <w:sz w:val="22"/>
                <w:u w:val="none"/>
              </w:rPr>
              <w:t>2</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4F29EFCA">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2#厂房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073FFF2A">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3879.37</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7EF1D908">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 xml:space="preserve">7758.74 </w:t>
            </w:r>
          </w:p>
        </w:tc>
      </w:tr>
      <w:tr w14:paraId="11387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14:paraId="756B8B43">
            <w:pPr>
              <w:widowControl w:val="0"/>
              <w:snapToGrid/>
              <w:spacing w:before="0" w:after="0" w:line="240" w:lineRule="auto"/>
              <w:ind w:left="0" w:right="0"/>
              <w:jc w:val="center"/>
            </w:pPr>
            <w:r>
              <w:rPr>
                <w:rFonts w:ascii="宋体" w:hAnsi="宋体" w:eastAsia="宋体" w:cs="宋体"/>
                <w:i w:val="0"/>
                <w:strike w:val="0"/>
                <w:color w:val="000000"/>
                <w:spacing w:val="0"/>
                <w:sz w:val="22"/>
                <w:u w:val="none"/>
              </w:rPr>
              <w:t>3</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14:paraId="659D2E8E">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5#厂房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14:paraId="07CEF85A">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2890.38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14:paraId="756EBAFF">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 xml:space="preserve">5780.76 </w:t>
            </w:r>
          </w:p>
        </w:tc>
      </w:tr>
      <w:tr w14:paraId="7EA5B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14:paraId="0CEBA8F3">
            <w:pPr>
              <w:widowControl w:val="0"/>
              <w:snapToGrid/>
              <w:spacing w:before="0" w:after="0" w:line="240" w:lineRule="auto"/>
              <w:ind w:left="0" w:right="0"/>
              <w:jc w:val="center"/>
            </w:pPr>
            <w:r>
              <w:rPr>
                <w:rFonts w:ascii="宋体" w:hAnsi="宋体" w:eastAsia="宋体" w:cs="宋体"/>
                <w:i w:val="0"/>
                <w:strike w:val="0"/>
                <w:color w:val="000000"/>
                <w:spacing w:val="0"/>
                <w:sz w:val="22"/>
                <w:u w:val="none"/>
              </w:rPr>
              <w:t>4</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14:paraId="751E4D5C">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6#厂房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14:paraId="7002FA6F">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3399.42</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14:paraId="13584763">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 xml:space="preserve">6798.84 </w:t>
            </w:r>
          </w:p>
        </w:tc>
      </w:tr>
      <w:tr w14:paraId="6B4D1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14:paraId="3BD1CDA0">
            <w:pPr>
              <w:widowControl w:val="0"/>
              <w:snapToGrid/>
              <w:spacing w:before="0" w:after="0" w:line="240" w:lineRule="auto"/>
              <w:ind w:left="0" w:right="0"/>
              <w:jc w:val="center"/>
            </w:pPr>
            <w:r>
              <w:rPr>
                <w:rFonts w:ascii="宋体" w:hAnsi="宋体" w:eastAsia="宋体" w:cs="宋体"/>
                <w:i w:val="0"/>
                <w:strike w:val="0"/>
                <w:color w:val="000000"/>
                <w:spacing w:val="0"/>
                <w:sz w:val="22"/>
                <w:u w:val="none"/>
              </w:rPr>
              <w:t>5</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2293433D">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8#厂房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259226B7">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2890.38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2B42B314">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 xml:space="preserve">5780.76 </w:t>
            </w:r>
          </w:p>
        </w:tc>
      </w:tr>
      <w:tr w14:paraId="7A5CB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14:paraId="74C34C3B">
            <w:pPr>
              <w:widowControl w:val="0"/>
              <w:snapToGrid/>
              <w:spacing w:before="0" w:after="0" w:line="240" w:lineRule="auto"/>
              <w:ind w:left="0" w:right="0"/>
              <w:jc w:val="center"/>
            </w:pPr>
            <w:r>
              <w:rPr>
                <w:rFonts w:ascii="宋体" w:hAnsi="宋体" w:eastAsia="宋体" w:cs="宋体"/>
                <w:i w:val="0"/>
                <w:strike w:val="0"/>
                <w:color w:val="000000"/>
                <w:spacing w:val="0"/>
                <w:sz w:val="22"/>
                <w:u w:val="none"/>
              </w:rPr>
              <w:t>6</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14:paraId="698B194E">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9#厂房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14:paraId="00D6F7F8">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2890.38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14:paraId="554D599B">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 xml:space="preserve">5780.76 </w:t>
            </w:r>
          </w:p>
        </w:tc>
      </w:tr>
      <w:tr w14:paraId="1811D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14:paraId="51E92700">
            <w:pPr>
              <w:widowControl w:val="0"/>
              <w:snapToGrid/>
              <w:spacing w:before="0" w:after="0" w:line="240" w:lineRule="auto"/>
              <w:ind w:left="0" w:right="0"/>
              <w:jc w:val="center"/>
            </w:pPr>
            <w:r>
              <w:rPr>
                <w:rFonts w:ascii="宋体" w:hAnsi="宋体" w:eastAsia="宋体" w:cs="宋体"/>
                <w:i w:val="0"/>
                <w:strike w:val="0"/>
                <w:color w:val="000000"/>
                <w:spacing w:val="0"/>
                <w:sz w:val="22"/>
                <w:u w:val="none"/>
              </w:rPr>
              <w:t>7</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0DAD16AB">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10#厂房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4F35EC16">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4321.26</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259E3B40">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 xml:space="preserve">4321.26 </w:t>
            </w:r>
          </w:p>
        </w:tc>
      </w:tr>
      <w:tr w14:paraId="56C0E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14:paraId="4D3214CC">
            <w:pPr>
              <w:widowControl w:val="0"/>
              <w:snapToGrid/>
              <w:spacing w:before="0" w:after="0" w:line="240" w:lineRule="auto"/>
              <w:ind w:left="0" w:right="0"/>
              <w:jc w:val="center"/>
            </w:pPr>
            <w:r>
              <w:rPr>
                <w:rFonts w:ascii="宋体" w:hAnsi="宋体" w:eastAsia="宋体" w:cs="宋体"/>
                <w:i w:val="0"/>
                <w:strike w:val="0"/>
                <w:color w:val="000000"/>
                <w:spacing w:val="0"/>
                <w:sz w:val="22"/>
                <w:u w:val="none"/>
              </w:rPr>
              <w:t>8</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14:paraId="3BBED5B3">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11#厂房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14:paraId="05BA5589">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4321.26</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14:paraId="072731D0">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 xml:space="preserve">4321.26 </w:t>
            </w:r>
          </w:p>
        </w:tc>
      </w:tr>
      <w:tr w14:paraId="69CDC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14:paraId="3F8C44EC">
            <w:pPr>
              <w:widowControl w:val="0"/>
              <w:snapToGrid/>
              <w:spacing w:before="0" w:after="0" w:line="240" w:lineRule="auto"/>
              <w:ind w:left="0" w:right="0"/>
              <w:jc w:val="center"/>
            </w:pPr>
            <w:r>
              <w:rPr>
                <w:rFonts w:ascii="宋体" w:hAnsi="宋体" w:eastAsia="宋体" w:cs="宋体"/>
                <w:i w:val="0"/>
                <w:strike w:val="0"/>
                <w:color w:val="000000"/>
                <w:spacing w:val="0"/>
                <w:sz w:val="22"/>
                <w:u w:val="none"/>
              </w:rPr>
              <w:t>9</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11E70A9A">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12#厂房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45AFE837">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4321.26</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77B70AF6">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 xml:space="preserve">4321.26 </w:t>
            </w:r>
          </w:p>
        </w:tc>
      </w:tr>
      <w:tr w14:paraId="1353E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790" w:type="dxa"/>
            <w:gridSpan w:val="2"/>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254EE1DD">
            <w:pPr>
              <w:widowControl w:val="0"/>
              <w:snapToGrid/>
              <w:spacing w:before="0" w:after="0" w:line="240" w:lineRule="auto"/>
              <w:ind w:left="0" w:right="0"/>
              <w:jc w:val="center"/>
            </w:pPr>
            <w:r>
              <w:rPr>
                <w:rFonts w:ascii="宋体" w:hAnsi="宋体" w:eastAsia="宋体" w:cs="宋体"/>
                <w:i w:val="0"/>
                <w:strike w:val="0"/>
                <w:color w:val="000000"/>
                <w:spacing w:val="0"/>
                <w:sz w:val="22"/>
                <w:u w:val="none"/>
              </w:rPr>
              <w:t>  合计</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14:paraId="13201A49">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31530.09</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14:paraId="3AEEB6CB">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50096.4</w:t>
            </w:r>
          </w:p>
        </w:tc>
      </w:tr>
      <w:tr w14:paraId="1DEA2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790" w:type="dxa"/>
            <w:gridSpan w:val="2"/>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4A3FB0C0">
            <w:pPr>
              <w:widowControl w:val="0"/>
              <w:snapToGrid/>
              <w:spacing w:before="0" w:after="0" w:line="240" w:lineRule="auto"/>
              <w:ind w:left="0" w:right="0"/>
              <w:jc w:val="center"/>
            </w:pPr>
            <w:r>
              <w:rPr>
                <w:rFonts w:ascii="宋体" w:hAnsi="宋体" w:eastAsia="宋体" w:cs="宋体"/>
                <w:i w:val="0"/>
                <w:strike w:val="0"/>
                <w:color w:val="000000"/>
                <w:spacing w:val="0"/>
                <w:sz w:val="22"/>
                <w:u w:val="none"/>
              </w:rPr>
              <w:t>可使用空闲区域占用面积</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14:paraId="4D7B83DB">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12267.68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14:paraId="5296D985">
            <w:pPr>
              <w:widowControl w:val="0"/>
              <w:snapToGrid/>
              <w:spacing w:before="0" w:after="0" w:line="240" w:lineRule="auto"/>
              <w:ind w:left="0" w:right="0"/>
              <w:jc w:val="center"/>
            </w:pPr>
            <w:r>
              <w:rPr>
                <w:rFonts w:ascii="宋体" w:hAnsi="宋体" w:eastAsia="宋体" w:cs="宋体"/>
                <w:i w:val="0"/>
                <w:strike w:val="0"/>
                <w:color w:val="000000"/>
                <w:spacing w:val="0"/>
                <w:sz w:val="22"/>
                <w:u w:val="none"/>
              </w:rPr>
              <w:t> </w:t>
            </w:r>
          </w:p>
        </w:tc>
      </w:tr>
      <w:tr w14:paraId="60DC5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790" w:type="dxa"/>
            <w:gridSpan w:val="2"/>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14:paraId="5389E766">
            <w:pPr>
              <w:widowControl w:val="0"/>
              <w:snapToGrid/>
              <w:spacing w:before="0" w:after="0" w:line="240" w:lineRule="auto"/>
              <w:ind w:left="0" w:right="0"/>
              <w:jc w:val="center"/>
            </w:pPr>
            <w:r>
              <w:rPr>
                <w:rFonts w:ascii="宋体" w:hAnsi="宋体" w:eastAsia="宋体" w:cs="宋体"/>
                <w:i w:val="0"/>
                <w:strike w:val="0"/>
                <w:color w:val="000000"/>
                <w:spacing w:val="0"/>
                <w:sz w:val="22"/>
                <w:u w:val="none"/>
              </w:rPr>
              <w:t>共合计</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14:paraId="143F4D28">
            <w:pPr>
              <w:widowControl w:val="0"/>
              <w:snapToGrid/>
              <w:spacing w:before="0" w:after="0" w:line="240" w:lineRule="auto"/>
              <w:jc w:val="center"/>
            </w:pPr>
            <w:r>
              <w:rPr>
                <w:rFonts w:ascii="宋体" w:hAnsi="宋体" w:eastAsia="宋体" w:cs="宋体"/>
                <w:i w:val="0"/>
                <w:strike w:val="0"/>
                <w:color w:val="000000"/>
                <w:spacing w:val="0"/>
                <w:sz w:val="22"/>
                <w:u w:val="none"/>
                <w:vertAlign w:val="baseline"/>
              </w:rPr>
              <w:t>42807.95</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14:paraId="27C1EC99">
            <w:pPr>
              <w:widowControl w:val="0"/>
              <w:snapToGrid/>
              <w:spacing w:before="0" w:after="0" w:line="240" w:lineRule="auto"/>
            </w:pPr>
          </w:p>
        </w:tc>
      </w:tr>
    </w:tbl>
    <w:p w14:paraId="4EEE1488">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34" w:name="_Toc21466"/>
      <w:r>
        <w:rPr>
          <w:rFonts w:hint="eastAsia" w:ascii="宋体" w:hAnsi="宋体" w:eastAsia="宋体" w:cs="宋体"/>
          <w:b/>
          <w:bCs/>
          <w:sz w:val="28"/>
          <w:szCs w:val="28"/>
        </w:rPr>
        <w:t>2.5 项目商业模式</w:t>
      </w:r>
      <w:bookmarkEnd w:id="34"/>
    </w:p>
    <w:p w14:paraId="5B2D0AF6">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2.5.1 商业可行性分析</w:t>
      </w:r>
    </w:p>
    <w:p w14:paraId="155665A4">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本项目拥有卓越的商业可行性。基于源网荷储一体化模式，根据项目周边半径 20 公里内单个用电需求较大的企业。依据企业确切的用电规模来铺设光伏发电装置，充分利用当地充沛的太阳能资源，为企业提供清洁电能。而储能利用峰谷电价差，在用电低谷时段，从国网购入低价电储存起来，此时段电价成本优势显著；待企业进入用电高峰，储能装置即时放电，满足企业激增的用电需求，有效平抑高峰用电压力，确保供电稳定不间断。相较于国网高峰电价，项目以更低价格向企业供电，为企业的生产经营成本减负，极大提升企业竞争力，企业自然乐于合作。项目借此稳定的供需关系保障收益，随着运营成熟，成本可控下降，盈利逐步上扬，商业前景一片光明，有望成为区域能源供应的创新典范。</w:t>
      </w:r>
    </w:p>
    <w:p w14:paraId="1D145182">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2.5.2 融资可行性分析</w:t>
      </w:r>
    </w:p>
    <w:p w14:paraId="1BCC4334">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政策方面，国家层面大力推动能源结构调整与绿色发展，积极鼓励源网荷储一体化建设，为项目指明了方向并营造了宏观政策环境。河南省印发的《河南省加快推进源网荷储一体化实施方案》，明确了项目实施范围、重点任务及保障措施，给予项目清晰的指引和潜在的政策支持。同时，当地政府也可能会出台配套的补贴、税收优惠、专项基金等具体政策，如对新能源发电设施建设给予资金补贴，对项目运营过程中的税费进行减免，设立专门针对源网荷储项目的发展基金等，这些举措将直接降低项目的投资成本与运营风险，增强项目在金融市场的吸引力，使金融机构和投资者基于政策稳定性和优惠力度，更愿意为项目提供融资，提高项目的融资可得性与资金规模。</w:t>
      </w:r>
    </w:p>
    <w:p w14:paraId="1885396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现金流方面，直供企业用电需求较大，构成了坚实的现金流基础。项目建成后，通过采用直供的方式向用电企业提供绿色电力输出，结合峰谷电价差利用储能设施套利，以及参与电力辅助服务市场获取收益等多元途径，能够产生稳定、可预测且持续增长的现金流。例如，在用电低谷期储存国网低价电能，高峰期释放高价卖出，额外赚取差价收益；通过为电网提供调频、调压等辅助服务，获得服务费用。这些稳定的收入流为项目偿还融资贷款本息、维持日常运营以及实现盈利提供了可靠保障，向融资方展示了项目良好的财务可持续性和偿债能力，从而提升项目融资的成功率与融资额度。</w:t>
      </w:r>
    </w:p>
    <w:p w14:paraId="0196353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需求供给方面，企业对电力的稳定、可靠、优质供应存在刚性需求，而源网荷储一体化项目能够精准匹配这一需求。项目利用清洁能源发电，结合智能电网调配和储能调节，实现电力的稳定生产与灵活供给，有效应对企业生产过程中的电力需求波动，确保电力供应的及时性与适配性。无论是生产高峰期的高电量需求，还是应对突发停电状况的应急供电，项目都能通过自身的源网荷储系统实现高效保障。这种紧密契合的供需关系，使得项目的电力销售具备高度的稳定性与市场竞争力，为融资提供了稳固的商业逻辑支撑，使投资者相信项目的盈利前景，进而愿意为项目建设与运营提供资金支持。</w:t>
      </w:r>
    </w:p>
    <w:p w14:paraId="44D91A9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市场拥有量方面，获嘉县乃至周边地区能源市场正处于快速发展与变革期，对清洁能源及源网荷储一体化项目的需求日益旺盛。随着区域经济发展、产业升级以及环保意识的增强，用电负荷持续攀升，清洁能源的市场接纳度不断提高。本项目不仅能够“一对一”的满足企业的用电需求，还具备向周边区域拓展市场的潜力，通过扩大电力销售范围和服务领域，增加发电设备，提高电量产出，进一步提升项目的收入水平与市场份额。广阔的市场前景预示着项目具备良好的盈利潜力与长期发展空间，在融资过程中能够向投资者充分展示项目的优势与价值，吸引包括银行贷款、产业投资基金、社会资本等多种渠道的资金流入，为项目的全方位发展提供充足的资金保障，有力推动项目落地实施并达成预期的经济、社会与环境效益，助力获嘉县产业集聚区实现绿色低碳转型与可持续发展。</w:t>
      </w:r>
    </w:p>
    <w:p w14:paraId="2C808954">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2.5.3 项目商业模式创新和综合开发情况分析</w:t>
      </w:r>
    </w:p>
    <w:p w14:paraId="0846E11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ascii="宋体" w:hAnsi="宋体" w:eastAsia="宋体" w:cs="宋体"/>
          <w:i w:val="0"/>
          <w:strike w:val="0"/>
          <w:color w:val="000000"/>
          <w:spacing w:val="0"/>
          <w:sz w:val="28"/>
          <w:u w:val="none"/>
          <w:vertAlign w:val="baseline"/>
        </w:rPr>
      </w:pPr>
      <w:r>
        <w:rPr>
          <w:rFonts w:ascii="宋体" w:hAnsi="宋体" w:eastAsia="宋体" w:cs="宋体"/>
          <w:i w:val="0"/>
          <w:strike w:val="0"/>
          <w:color w:val="000000"/>
          <w:spacing w:val="0"/>
          <w:sz w:val="28"/>
          <w:u w:val="none"/>
          <w:vertAlign w:val="baseline"/>
        </w:rPr>
        <w:t>获嘉县产业集聚区创业孵化园有限公司在源网荷储项目中创新采用合同能源管理模式。获嘉县产业集聚区创业孵化园有限公司负责筹资建设光伏、储能等相关设施，与</w:t>
      </w:r>
      <w:r>
        <w:rPr>
          <w:rFonts w:hint="eastAsia" w:ascii="宋体" w:hAnsi="宋体" w:eastAsia="宋体" w:cs="宋体"/>
          <w:i w:val="0"/>
          <w:strike w:val="0"/>
          <w:color w:val="000000"/>
          <w:spacing w:val="0"/>
          <w:sz w:val="28"/>
          <w:u w:val="none"/>
          <w:vertAlign w:val="baseline"/>
        </w:rPr>
        <w:t>河南大成包装材料有限公司</w:t>
      </w:r>
      <w:r>
        <w:rPr>
          <w:rFonts w:ascii="宋体" w:hAnsi="宋体" w:eastAsia="宋体" w:cs="宋体"/>
          <w:i w:val="0"/>
          <w:strike w:val="0"/>
          <w:color w:val="000000"/>
          <w:spacing w:val="0"/>
          <w:sz w:val="28"/>
          <w:u w:val="none"/>
          <w:vertAlign w:val="baseline"/>
        </w:rPr>
        <w:t>签订合同，在合同期内，通过源网荷储模式为其提供电力。在运营过程中，公司精准监测和分析</w:t>
      </w:r>
      <w:r>
        <w:rPr>
          <w:rFonts w:hint="eastAsia" w:ascii="宋体" w:hAnsi="宋体" w:eastAsia="宋体" w:cs="宋体"/>
          <w:i w:val="0"/>
          <w:strike w:val="0"/>
          <w:color w:val="000000"/>
          <w:spacing w:val="0"/>
          <w:sz w:val="28"/>
          <w:u w:val="none"/>
          <w:vertAlign w:val="baseline"/>
          <w:lang w:val="en-US" w:eastAsia="zh-CN"/>
        </w:rPr>
        <w:t>大成包装</w:t>
      </w:r>
      <w:r>
        <w:rPr>
          <w:rFonts w:ascii="宋体" w:hAnsi="宋体" w:eastAsia="宋体" w:cs="宋体"/>
          <w:i w:val="0"/>
          <w:strike w:val="0"/>
          <w:color w:val="000000"/>
          <w:spacing w:val="0"/>
          <w:sz w:val="28"/>
          <w:u w:val="none"/>
          <w:vertAlign w:val="baseline"/>
        </w:rPr>
        <w:t>的用电数据，利用光伏发电和储能系统的协同运作，满足其用电需求并降低用电成本。</w:t>
      </w:r>
    </w:p>
    <w:p w14:paraId="2EEF4578">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ascii="宋体" w:hAnsi="宋体" w:eastAsia="宋体" w:cs="宋体"/>
          <w:i w:val="0"/>
          <w:strike w:val="0"/>
          <w:color w:val="000000"/>
          <w:spacing w:val="0"/>
          <w:sz w:val="28"/>
          <w:u w:val="none"/>
          <w:vertAlign w:val="baseline"/>
        </w:rPr>
      </w:pPr>
      <w:r>
        <w:rPr>
          <w:rFonts w:ascii="宋体" w:hAnsi="宋体" w:eastAsia="宋体" w:cs="宋体"/>
          <w:i w:val="0"/>
          <w:strike w:val="0"/>
          <w:color w:val="000000"/>
          <w:spacing w:val="0"/>
          <w:sz w:val="28"/>
          <w:u w:val="none"/>
          <w:vertAlign w:val="baseline"/>
        </w:rPr>
        <w:t>在综合开发层面，项目综合开发采用光伏 + 储能 + 光储充电桩相结合的方式。以光伏发电为基础，将太阳能转化为电能，除直接供给腾飞纸业使用外，还为储能系统充电。储能系统发挥 “削峰填谷” 作用，在电力低谷时储存电能，在高峰时段释放电能，平抑电价波动，保障对</w:t>
      </w:r>
      <w:r>
        <w:rPr>
          <w:rFonts w:hint="eastAsia" w:ascii="宋体" w:hAnsi="宋体" w:eastAsia="宋体" w:cs="宋体"/>
          <w:i w:val="0"/>
          <w:strike w:val="0"/>
          <w:color w:val="000000"/>
          <w:spacing w:val="0"/>
          <w:sz w:val="28"/>
          <w:u w:val="none"/>
          <w:vertAlign w:val="baseline"/>
          <w:lang w:val="en-US" w:eastAsia="zh-CN"/>
        </w:rPr>
        <w:t>大成包装</w:t>
      </w:r>
      <w:r>
        <w:rPr>
          <w:rFonts w:ascii="宋体" w:hAnsi="宋体" w:eastAsia="宋体" w:cs="宋体"/>
          <w:i w:val="0"/>
          <w:strike w:val="0"/>
          <w:color w:val="000000"/>
          <w:spacing w:val="0"/>
          <w:sz w:val="28"/>
          <w:u w:val="none"/>
          <w:vertAlign w:val="baseline"/>
        </w:rPr>
        <w:t>的电力稳定供应，降低其用电成本。光储充电桩的设置则进一步拓展了项目的应用场景，一方面满足了</w:t>
      </w:r>
      <w:r>
        <w:rPr>
          <w:rFonts w:hint="eastAsia" w:ascii="宋体" w:hAnsi="宋体" w:eastAsia="宋体" w:cs="宋体"/>
          <w:i w:val="0"/>
          <w:strike w:val="0"/>
          <w:color w:val="000000"/>
          <w:spacing w:val="0"/>
          <w:sz w:val="28"/>
          <w:u w:val="none"/>
          <w:vertAlign w:val="baseline"/>
          <w:lang w:val="en-US" w:eastAsia="zh-CN"/>
        </w:rPr>
        <w:t>大成包装</w:t>
      </w:r>
      <w:r>
        <w:rPr>
          <w:rFonts w:ascii="宋体" w:hAnsi="宋体" w:eastAsia="宋体" w:cs="宋体"/>
          <w:i w:val="0"/>
          <w:strike w:val="0"/>
          <w:color w:val="000000"/>
          <w:spacing w:val="0"/>
          <w:sz w:val="28"/>
          <w:u w:val="none"/>
          <w:vertAlign w:val="baseline"/>
        </w:rPr>
        <w:t>内部及来访人员的新能源汽车充电需求，另一方面，在充电桩闲置时可将多余电能回馈至电网或供企业使用，提高了能源的综合利用效率。通过这种综合开发方式，形成了一个高效、循环的能源生态系统，不仅保障了企业的能源供应，还拓展了项目的盈利渠道，提升了项目整体的市场竞争力与可持续发展能力。</w:t>
      </w:r>
    </w:p>
    <w:p w14:paraId="08A93B1A">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2.5.4 招商策略</w:t>
      </w:r>
    </w:p>
    <w:p w14:paraId="259A8144">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z w:val="28"/>
          <w:szCs w:val="28"/>
        </w:rPr>
      </w:pPr>
      <w:r>
        <w:rPr>
          <w:rFonts w:hint="eastAsia" w:ascii="宋体" w:hAnsi="宋体" w:eastAsia="宋体" w:cs="宋体"/>
          <w:snapToGrid/>
          <w:color w:val="auto"/>
          <w:spacing w:val="0"/>
          <w:w w:val="100"/>
          <w:kern w:val="2"/>
          <w:position w:val="0"/>
          <w:sz w:val="28"/>
          <w:szCs w:val="28"/>
          <w:lang w:val="en-US" w:eastAsia="zh-CN" w:bidi="zh-CN"/>
        </w:rPr>
        <w:t>本项目的招商策略围绕绿色电力的销售与推广展开，旨在构建一个稳定且可持续发展的市场体系。我们凭借源网荷储一体化项目所生产的绿色电力，为企业提供清洁、稳定且价格合理的电力解决方案。通过与企业建立紧密的合作关系，深入了解其用电需求和负荷特性，制定个性化的电力供应套餐，不仅助力其降低用电成本，还能提升企业的绿色形象，增强其市场竞争力。在满足企业用电后，我们将目光投向周边企业，利用项目优越的地理位置和完善的电力输送网络，积极拓展外部市场。针对周边企业的用电特点和需求，开展精准营销，宣传绿色电力的优势和可靠性，通过合理的定价策略和优质的服务，吸引周边企业加入，从而提高电力的利用率和项目的整体收益。同时，我们将不断优化电力生产和供应流程，加强储能设施的管理与调配，确保在不同时段和用电需求下，都能为客户提供高质量的电力供应，逐步树立项目在绿色电力市场中的良好口碑和品牌形象，吸引更多企业参与到我们的绿色电力生态系统中，实现项目与客户的互利共赢和共同发展。</w:t>
      </w:r>
    </w:p>
    <w:p w14:paraId="1640DB5D">
      <w:pPr>
        <w:snapToGrid w:val="0"/>
        <w:spacing w:before="0" w:after="0" w:line="240" w:lineRule="auto"/>
        <w:ind w:left="0" w:right="0"/>
        <w:jc w:val="left"/>
      </w:pPr>
    </w:p>
    <w:p w14:paraId="2AB51AC5">
      <w:pPr>
        <w:rPr>
          <w:rFonts w:ascii="宋体" w:hAnsi="宋体" w:eastAsia="宋体" w:cs="宋体"/>
          <w:b/>
          <w:i w:val="0"/>
          <w:strike w:val="0"/>
          <w:color w:val="000000"/>
          <w:spacing w:val="0"/>
          <w:sz w:val="36"/>
          <w:u w:val="none"/>
          <w:vertAlign w:val="baseline"/>
        </w:rPr>
      </w:pPr>
      <w:r>
        <w:rPr>
          <w:rFonts w:ascii="宋体" w:hAnsi="宋体" w:eastAsia="宋体" w:cs="宋体"/>
          <w:b/>
          <w:i w:val="0"/>
          <w:strike w:val="0"/>
          <w:color w:val="000000"/>
          <w:spacing w:val="0"/>
          <w:sz w:val="36"/>
          <w:u w:val="none"/>
          <w:vertAlign w:val="baseline"/>
        </w:rPr>
        <w:br w:type="page"/>
      </w:r>
    </w:p>
    <w:p w14:paraId="479A5579">
      <w:pPr>
        <w:keepNext w:val="0"/>
        <w:keepLines w:val="0"/>
        <w:pageBreakBefore w:val="0"/>
        <w:widowControl/>
        <w:kinsoku w:val="0"/>
        <w:wordWrap/>
        <w:overflowPunct/>
        <w:topLinePunct w:val="0"/>
        <w:autoSpaceDE w:val="0"/>
        <w:autoSpaceDN w:val="0"/>
        <w:bidi w:val="0"/>
        <w:adjustRightInd/>
        <w:snapToGrid/>
        <w:spacing w:before="0" w:beforeLines="100" w:after="0" w:afterLines="100" w:line="360" w:lineRule="auto"/>
        <w:jc w:val="center"/>
        <w:textAlignment w:val="baseline"/>
        <w:outlineLvl w:val="0"/>
        <w:rPr>
          <w:rFonts w:hint="eastAsia" w:ascii="宋体" w:hAnsi="宋体" w:eastAsia="宋体" w:cs="宋体"/>
          <w:b/>
          <w:bCs/>
          <w:sz w:val="36"/>
          <w:szCs w:val="36"/>
          <w:lang w:val="en-US" w:eastAsia="zh-CN"/>
        </w:rPr>
      </w:pPr>
      <w:bookmarkStart w:id="35" w:name="_Toc15267"/>
      <w:bookmarkStart w:id="36" w:name="_Toc13005"/>
      <w:r>
        <w:rPr>
          <w:rFonts w:hint="eastAsia" w:ascii="宋体" w:hAnsi="宋体" w:eastAsia="宋体" w:cs="宋体"/>
          <w:b/>
          <w:bCs/>
          <w:sz w:val="36"/>
          <w:szCs w:val="36"/>
          <w:lang w:val="en-US" w:eastAsia="zh-CN"/>
        </w:rPr>
        <w:t>第三章 项目选址与要素保障</w:t>
      </w:r>
      <w:bookmarkEnd w:id="35"/>
      <w:bookmarkEnd w:id="36"/>
    </w:p>
    <w:p w14:paraId="4F435EBF">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37" w:name="_Toc31412"/>
      <w:bookmarkStart w:id="38" w:name="_Toc26467"/>
      <w:r>
        <w:rPr>
          <w:rFonts w:hint="eastAsia" w:ascii="宋体" w:hAnsi="宋体" w:eastAsia="宋体" w:cs="宋体"/>
          <w:b/>
          <w:bCs/>
          <w:sz w:val="28"/>
          <w:szCs w:val="28"/>
        </w:rPr>
        <w:t>3.1 项目地址</w:t>
      </w:r>
      <w:bookmarkEnd w:id="37"/>
      <w:bookmarkEnd w:id="38"/>
    </w:p>
    <w:p w14:paraId="76D66312">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本项目地址位于新乡市获嘉县</w:t>
      </w:r>
      <w:r>
        <w:rPr>
          <w:rFonts w:ascii="宋体" w:hAnsi="宋体" w:eastAsia="宋体" w:cs="宋体"/>
          <w:i w:val="0"/>
          <w:strike w:val="0"/>
          <w:spacing w:val="0"/>
          <w:sz w:val="28"/>
          <w:u w:val="none"/>
        </w:rPr>
        <w:t>先进制造业开发区梧桐路与安王公路交叉口东南角</w:t>
      </w:r>
      <w:r>
        <w:rPr>
          <w:rFonts w:hint="eastAsia" w:ascii="宋体" w:hAnsi="宋体" w:eastAsia="宋体" w:cs="宋体"/>
          <w:snapToGrid/>
          <w:color w:val="auto"/>
          <w:spacing w:val="0"/>
          <w:w w:val="100"/>
          <w:kern w:val="2"/>
          <w:position w:val="0"/>
          <w:sz w:val="28"/>
          <w:szCs w:val="28"/>
          <w:lang w:val="en-US" w:eastAsia="zh-CN" w:bidi="zh-CN"/>
        </w:rPr>
        <w:t>。项目周边规划有完善的给排水、供电、通讯等配套基础设施，能够满足项目建设及运营期的需要。项目区处于产业园内，且产业园内基本实现了“水、电、路、通讯”四通一平，土地价值升值潜力大。项目区域远离光污染地带、周边500m范围内无强辐射，更无污水处理厂垃圾处理等恶臭场所，项目区地势平坦、阳光充足、自然条件良好，适宜本项目的开发建设。</w:t>
      </w:r>
    </w:p>
    <w:p w14:paraId="383CC63B">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39" w:name="_Toc7467"/>
      <w:bookmarkStart w:id="40" w:name="_Toc25200"/>
      <w:r>
        <w:rPr>
          <w:rFonts w:hint="eastAsia" w:ascii="宋体" w:hAnsi="宋体" w:eastAsia="宋体" w:cs="宋体"/>
          <w:b/>
          <w:bCs/>
          <w:sz w:val="28"/>
          <w:szCs w:val="28"/>
        </w:rPr>
        <w:t>3.2 项目建设条件</w:t>
      </w:r>
      <w:bookmarkEnd w:id="39"/>
      <w:bookmarkEnd w:id="40"/>
    </w:p>
    <w:p w14:paraId="4DF353A0">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3.2.1 拟建项目所在区域的自然条件</w:t>
      </w:r>
    </w:p>
    <w:p w14:paraId="0A4420E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1、地理位置</w:t>
      </w:r>
    </w:p>
    <w:p w14:paraId="1487ECA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新乡市地处中原腹地，河南省北部，地理坐标为东经113°23′～115°01′，北纬34°53′～35°50′，中心位于北纬35°18′，东经113°54′，南临黄河，与郑州市、开封市隔河相望；北依太行，与鹤壁市、安阳市毗邻；西连太极故里焦作市，与晋东南接壤；东接油城濮阳市与鲁西相连，总面积8249平方公里。</w:t>
      </w:r>
    </w:p>
    <w:p w14:paraId="67E3C768">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获嘉县位于河南省新乡市西部，东连新乡县，南接原阳县，西邻武陟县、修武县，北与辉县市隔大沙河相望。获嘉县总面积为473.15平方公里，人口约40万。</w:t>
      </w:r>
    </w:p>
    <w:p w14:paraId="795A0CA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2、地形、地貌</w:t>
      </w:r>
    </w:p>
    <w:p w14:paraId="5C089E99">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位于河南省北部，新乡市西部，北依太行山，南临黄河，地理位置优越，交通便利。县域面积为473平方公里，地势平坦，南北环山，内居平川，海拔在1356米，平均海拔357米左右，农业区平均海拔58790米左右。获嘉县的地形主要是平原，拥有丰富的农业资源，土壤肥沃，气候适宜，是重要的产粮区，同时也是国家优质粮产业化开发示范县。</w:t>
      </w:r>
    </w:p>
    <w:p w14:paraId="7EDB3370">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根据《建筑抗震设计规范》（GB50011-2010，2016年版），本工程所在地抗震设防基本烈度为小于6度区，场地抗震设防烈度为6度，设计基本加速度值为0.05g，设计地震分组为第一组。</w:t>
      </w:r>
    </w:p>
    <w:p w14:paraId="1A51855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4、水文</w:t>
      </w:r>
    </w:p>
    <w:p w14:paraId="10EA9AF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位于河南省北部，属于暖温带大陆性季风气候，其年均无霜期为221.2天，年均降雨量为557.2毫米。该县地处黄河、海河两大流域，境内有多条河流，包括大狮涝河、共产主义渠、大沙河、西孟姜女河、人民胜利渠和武嘉干渠，均由西南向东北流经获嘉县。此外，“南水北调”中线工程紧邻县境，引黄工程完善，因此水资源相对充沛，获嘉县的地下水埋藏较浅，主要由降水入渗和黄河侧渗补充，当前的埋深一般为4—5米。潜水以蒸发为主要排泄方式，水质优良，矿化度小于1克/升，水化学类型是HCO3—Na9K型。水源主要来自地下水、天然渠、文岩渠及地表径流等。</w:t>
      </w:r>
    </w:p>
    <w:p w14:paraId="68CE487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5、气象</w:t>
      </w:r>
    </w:p>
    <w:p w14:paraId="491F555F">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位于河南省新乡市西部，属于暖温带大陆性季风气候，四季分明，冬寒夏热，秋凉春早，历年平均气温14.6℃，年均无霜期约为221.2天，年均降雨量为557.2毫米，年均降雪日为14.1天，年均日照时数为2058.4小时。7月最热，平均27.3°C；1月最冷，平均0.2°C。从气候条件来看，获嘉县的气候条件有利于农业种植，同时也为居民提供了舒适的生活环境。</w:t>
      </w:r>
    </w:p>
    <w:p w14:paraId="411CED5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6、地震</w:t>
      </w:r>
    </w:p>
    <w:p w14:paraId="6320B91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根据《建筑抗震设施规范》(GB50011-2001)划分，该区域为8度地震烈度区，设计基本地震加速度值为0.2g。</w:t>
      </w:r>
    </w:p>
    <w:p w14:paraId="4EBCFFD4">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7、工程地质评价及建议</w:t>
      </w:r>
    </w:p>
    <w:p w14:paraId="2F0BFAF5">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拟建项目区未发现诸如岩溶、滑坡、崩塌、塌陷、采空区、地面沉降、地裂等不良地质作用；也未发现影响地基稳定性的古河道、沟浜、孤石及其他人工地下设施等对工程有不利影响的埋藏物。拟建项目区域地层分布连续稳定，承载力高，工程地质条件较好，能够满足项目建设要求。</w:t>
      </w:r>
    </w:p>
    <w:p w14:paraId="0DCAA06A">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3.2.2 交通运输条件</w:t>
      </w:r>
    </w:p>
    <w:p w14:paraId="736D9132">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位于河南省新乡市西部，地理位置优越，交通便利。境内有京广铁路、新焦铁路、菏宝高速贯通，是晋煤外运、南太行旅游的重要通道。南距郑州国际机场80公里、东距京港澳高速20公里，京广铁路、新焦铁路、菏宝高速贯通全境。</w:t>
      </w:r>
    </w:p>
    <w:p w14:paraId="2110EB70">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3.2.3 公用工程条件</w:t>
      </w:r>
    </w:p>
    <w:p w14:paraId="40DD949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1、给水</w:t>
      </w:r>
    </w:p>
    <w:p w14:paraId="7E1B87F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本项目水源为市政自来水，项目区规划周边敷设有市政自来水管网，水量充足，能满足项目用水需要。</w:t>
      </w:r>
    </w:p>
    <w:p w14:paraId="2377C1A8">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2、排水</w:t>
      </w:r>
    </w:p>
    <w:p w14:paraId="0669B71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本项目采用雨、污水分流排放。项目区规划周边敷设有市政雨、污水管网，污水经收集后排入化粪池，之后排入市政污水管网。</w:t>
      </w:r>
    </w:p>
    <w:p w14:paraId="40A8B14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3、供电</w:t>
      </w:r>
    </w:p>
    <w:p w14:paraId="10CD5D6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区用电涉及二级负荷，为满足二级负荷供电要求，计划从市政的高压站引入二路10KV电源，具体接入点应有上级电力主管部门确定。由建设单位进一步落实，园区内基础设施已布置完成，周边可满足项目的高压电源引入。</w:t>
      </w:r>
    </w:p>
    <w:p w14:paraId="535E5D6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4、燃气</w:t>
      </w:r>
    </w:p>
    <w:p w14:paraId="4E1E7B70">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本项目所需燃气引自市政燃气管网。</w:t>
      </w:r>
    </w:p>
    <w:p w14:paraId="16608210">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5、通信</w:t>
      </w:r>
    </w:p>
    <w:p w14:paraId="703B44A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城市通讯电缆由周边现有市政道路引入。</w:t>
      </w:r>
    </w:p>
    <w:p w14:paraId="6C49B852">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3.2.4 施工条件及公共服务条件</w:t>
      </w:r>
    </w:p>
    <w:p w14:paraId="3516D27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1、建筑材料、设备与劳动力供应条件</w:t>
      </w:r>
    </w:p>
    <w:p w14:paraId="7F4FC16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工程的建设需要大量的建筑材料，例如钢材、水泥、沥青、碎石、砂、石灰以及各类市政管道等。这些材料在获嘉县供应非常丰富，通过正常的市场采购很容易得到满足。工程施工相关的机械设备均为通用设备，各专业工程均有成熟的施工工艺，相关劳动力的市场供应也非常充足。因此工程实施的物资供应条件比较充分。</w:t>
      </w:r>
    </w:p>
    <w:p w14:paraId="7230AD9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2、燃料和动力供应条件</w:t>
      </w:r>
    </w:p>
    <w:p w14:paraId="235D244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项目施工主要机械燃料分为汽油、柴油、以及新能源电力，本项目施工地点在县区周边，施工机械所需燃料在市区附近就能够得到补充。燃料及动力供应条件充足。</w:t>
      </w:r>
    </w:p>
    <w:p w14:paraId="3477F210">
      <w:pPr>
        <w:pStyle w:val="3"/>
        <w:keepNext w:val="0"/>
        <w:keepLines w:val="0"/>
        <w:pageBreakBefore w:val="0"/>
        <w:widowControl w:val="0"/>
        <w:kinsoku/>
        <w:wordWrap/>
        <w:overflowPunct/>
        <w:topLinePunct/>
        <w:autoSpaceDE w:val="0"/>
        <w:autoSpaceDN/>
        <w:bidi w:val="0"/>
        <w:adjustRightInd/>
        <w:snapToGrid/>
        <w:spacing w:before="157" w:beforeLines="50" w:after="157" w:afterLines="50" w:line="360" w:lineRule="auto"/>
        <w:ind w:left="0" w:right="0"/>
        <w:jc w:val="both"/>
        <w:textAlignment w:val="baseline"/>
      </w:pPr>
      <w:bookmarkStart w:id="41" w:name="_Toc25559"/>
      <w:bookmarkStart w:id="42" w:name="_Toc28200"/>
      <w:r>
        <w:rPr>
          <w:rFonts w:ascii="宋体" w:hAnsi="宋体" w:eastAsia="宋体" w:cs="宋体"/>
          <w:b/>
          <w:i w:val="0"/>
          <w:strike w:val="0"/>
          <w:color w:val="000000"/>
          <w:spacing w:val="0"/>
          <w:sz w:val="28"/>
          <w:u w:val="none"/>
          <w:vertAlign w:val="baseline"/>
        </w:rPr>
        <w:t>3.3 要素保障分析</w:t>
      </w:r>
      <w:bookmarkEnd w:id="41"/>
      <w:bookmarkEnd w:id="42"/>
    </w:p>
    <w:p w14:paraId="13A23E21">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3.3.1 土地要素保障和规划审批</w:t>
      </w:r>
    </w:p>
    <w:p w14:paraId="6D8CAA4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ascii="宋体" w:hAnsi="宋体" w:eastAsia="宋体" w:cs="宋体"/>
          <w:i w:val="0"/>
          <w:strike w:val="0"/>
          <w:spacing w:val="0"/>
          <w:sz w:val="28"/>
          <w:u w:val="none"/>
        </w:rPr>
        <w:t>本项目将光伏及储能设备安装于已建设的土地上，充分利用现有土地资源，无需额外占用新土地，因此，在土地要素保障方面无需进行额外的审批流程</w:t>
      </w:r>
      <w:r>
        <w:rPr>
          <w:rFonts w:hint="eastAsia" w:ascii="宋体" w:hAnsi="宋体" w:eastAsia="宋体" w:cs="宋体"/>
          <w:snapToGrid/>
          <w:color w:val="auto"/>
          <w:spacing w:val="0"/>
          <w:w w:val="100"/>
          <w:kern w:val="2"/>
          <w:position w:val="0"/>
          <w:sz w:val="28"/>
          <w:szCs w:val="28"/>
          <w:lang w:val="en-US" w:eastAsia="zh-CN" w:bidi="zh-CN"/>
        </w:rPr>
        <w:t>。</w:t>
      </w:r>
    </w:p>
    <w:p w14:paraId="0060351E">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3.3.2 资源环境要素保障</w:t>
      </w:r>
    </w:p>
    <w:p w14:paraId="0054383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1、该项目所在地处于县区周边，市政生活用水保障充足。项目运营后所需水资源能够得到保障。</w:t>
      </w:r>
    </w:p>
    <w:p w14:paraId="7787997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2、该项目建设涉及少量的施工粉尘，经过施工保护措施，可以基本消除对大气环境的影响。</w:t>
      </w:r>
    </w:p>
    <w:p w14:paraId="5B5F7A5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3、该项目施工全部在既有建筑土地上进行，不涉及森林、草皮等植被破坏，生态承载能力及其保障条件充分。</w:t>
      </w:r>
    </w:p>
    <w:p w14:paraId="5B77E339">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4、该项目运营后由自身光伏供电及国网供电，当地电网供电充足，涉及碳排放强度和污染减排指标控制要求。</w:t>
      </w:r>
    </w:p>
    <w:p w14:paraId="45B6EA58">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3.3.3 保障指标分析</w:t>
      </w:r>
    </w:p>
    <w:p w14:paraId="4277E66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位于河南省新乡市获嘉县，项目所处区位交通良好，自然条件优越，区域内的供水、供电、通讯、原材料、人力等各项基础设施完善，为该项目的建设提供了充分保障，项目建于此有很大优势，便于项目的推广和运营。</w:t>
      </w:r>
    </w:p>
    <w:p w14:paraId="0EADF16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故综上所述，该项目的建设条件是可行的。</w:t>
      </w:r>
    </w:p>
    <w:p w14:paraId="6A27B0F8">
      <w:pPr>
        <w:keepNext w:val="0"/>
        <w:keepLines w:val="0"/>
        <w:pageBreakBefore w:val="0"/>
        <w:widowControl w:val="0"/>
        <w:numPr>
          <w:ilvl w:val="0"/>
          <w:numId w:val="0"/>
        </w:numPr>
        <w:kinsoku/>
        <w:wordWrap/>
        <w:overflowPunct/>
        <w:topLinePunct/>
        <w:autoSpaceDE w:val="0"/>
        <w:autoSpaceDN/>
        <w:bidi w:val="0"/>
        <w:adjustRightInd/>
        <w:snapToGrid/>
        <w:spacing w:before="161" w:beforeLines="50" w:after="161" w:afterLines="50" w:line="360" w:lineRule="auto"/>
        <w:ind w:firstLine="560" w:firstLineChars="200"/>
        <w:jc w:val="both"/>
        <w:textAlignment w:val="baseline"/>
        <w:outlineLvl w:val="9"/>
        <w:rPr>
          <w:rFonts w:hint="eastAsia" w:ascii="宋体" w:hAnsi="宋体" w:eastAsia="宋体" w:cs="宋体"/>
          <w:color w:val="auto"/>
          <w:spacing w:val="0"/>
          <w:w w:val="100"/>
          <w:kern w:val="2"/>
          <w:position w:val="0"/>
          <w:sz w:val="28"/>
          <w:szCs w:val="28"/>
          <w:lang w:val="en-US" w:eastAsia="zh-CN" w:bidi="ar-SA"/>
        </w:rPr>
      </w:pPr>
    </w:p>
    <w:p w14:paraId="76DAD7E7">
      <w:pPr>
        <w:keepNext w:val="0"/>
        <w:keepLines w:val="0"/>
        <w:pageBreakBefore w:val="0"/>
        <w:widowControl w:val="0"/>
        <w:numPr>
          <w:ilvl w:val="0"/>
          <w:numId w:val="0"/>
        </w:numPr>
        <w:kinsoku/>
        <w:wordWrap/>
        <w:overflowPunct/>
        <w:topLinePunct/>
        <w:autoSpaceDE w:val="0"/>
        <w:autoSpaceDN/>
        <w:bidi w:val="0"/>
        <w:adjustRightInd/>
        <w:snapToGrid/>
        <w:spacing w:before="161" w:beforeLines="50" w:after="161" w:afterLines="50" w:line="360" w:lineRule="auto"/>
        <w:ind w:firstLine="560" w:firstLineChars="200"/>
        <w:jc w:val="both"/>
        <w:textAlignment w:val="baseline"/>
        <w:outlineLvl w:val="9"/>
        <w:rPr>
          <w:rFonts w:hint="eastAsia" w:ascii="宋体" w:hAnsi="宋体" w:eastAsia="宋体" w:cs="宋体"/>
          <w:color w:val="auto"/>
          <w:spacing w:val="0"/>
          <w:w w:val="100"/>
          <w:kern w:val="2"/>
          <w:position w:val="0"/>
          <w:sz w:val="28"/>
          <w:szCs w:val="28"/>
          <w:lang w:val="en-US" w:eastAsia="zh-CN" w:bidi="ar-SA"/>
        </w:rPr>
      </w:pPr>
      <w:r>
        <w:rPr>
          <w:rFonts w:hint="eastAsia" w:ascii="宋体" w:hAnsi="宋体" w:eastAsia="宋体" w:cs="宋体"/>
          <w:color w:val="auto"/>
          <w:spacing w:val="0"/>
          <w:w w:val="100"/>
          <w:kern w:val="2"/>
          <w:position w:val="0"/>
          <w:sz w:val="28"/>
          <w:szCs w:val="28"/>
          <w:lang w:val="en-US" w:eastAsia="zh-CN" w:bidi="ar-SA"/>
        </w:rPr>
        <w:br w:type="page"/>
      </w:r>
    </w:p>
    <w:p w14:paraId="3DC933CE">
      <w:pPr>
        <w:keepNext w:val="0"/>
        <w:keepLines w:val="0"/>
        <w:pageBreakBefore w:val="0"/>
        <w:widowControl/>
        <w:kinsoku w:val="0"/>
        <w:wordWrap/>
        <w:overflowPunct/>
        <w:topLinePunct w:val="0"/>
        <w:autoSpaceDE w:val="0"/>
        <w:autoSpaceDN w:val="0"/>
        <w:bidi w:val="0"/>
        <w:adjustRightInd/>
        <w:snapToGrid/>
        <w:spacing w:before="0" w:beforeLines="100" w:after="0" w:afterLines="100" w:line="360" w:lineRule="auto"/>
        <w:jc w:val="center"/>
        <w:textAlignment w:val="baseline"/>
        <w:outlineLvl w:val="0"/>
        <w:rPr>
          <w:rFonts w:hint="eastAsia" w:ascii="宋体" w:hAnsi="宋体" w:eastAsia="宋体" w:cs="宋体"/>
          <w:b/>
          <w:bCs/>
          <w:color w:val="000000"/>
          <w:sz w:val="36"/>
          <w:szCs w:val="36"/>
          <w:lang w:val="en-US" w:eastAsia="zh-CN"/>
        </w:rPr>
      </w:pPr>
      <w:bookmarkStart w:id="43" w:name="_Toc4346"/>
      <w:bookmarkStart w:id="44" w:name="_Toc3039"/>
      <w:r>
        <w:rPr>
          <w:rFonts w:hint="eastAsia" w:ascii="宋体" w:hAnsi="宋体" w:eastAsia="宋体" w:cs="宋体"/>
          <w:b/>
          <w:bCs/>
          <w:color w:val="000000"/>
          <w:sz w:val="36"/>
          <w:szCs w:val="36"/>
          <w:lang w:val="en-US" w:eastAsia="zh-CN"/>
        </w:rPr>
        <w:t>第四章 项目建设方案</w:t>
      </w:r>
      <w:bookmarkEnd w:id="43"/>
      <w:bookmarkEnd w:id="44"/>
    </w:p>
    <w:p w14:paraId="02179359">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45" w:name="_Toc2467"/>
      <w:bookmarkStart w:id="46" w:name="_Toc9208"/>
      <w:r>
        <w:rPr>
          <w:rFonts w:hint="eastAsia" w:ascii="宋体" w:hAnsi="宋体" w:eastAsia="宋体" w:cs="宋体"/>
          <w:b/>
          <w:bCs/>
          <w:sz w:val="28"/>
          <w:szCs w:val="28"/>
        </w:rPr>
        <w:t>4.1 技术方案</w:t>
      </w:r>
      <w:bookmarkEnd w:id="45"/>
      <w:bookmarkEnd w:id="46"/>
    </w:p>
    <w:p w14:paraId="1536282C">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after="157" w:afterLines="50" w:line="360" w:lineRule="auto"/>
        <w:ind w:left="0" w:right="0" w:firstLine="560" w:firstLineChars="200"/>
        <w:jc w:val="both"/>
        <w:textAlignment w:val="baseline"/>
        <w:rPr>
          <w:rFonts w:ascii="宋体" w:hAnsi="宋体" w:eastAsia="宋体" w:cs="宋体"/>
          <w:i w:val="0"/>
          <w:strike w:val="0"/>
          <w:color w:val="000000"/>
          <w:spacing w:val="0"/>
          <w:sz w:val="28"/>
          <w:u w:val="none"/>
          <w:vertAlign w:val="baseline"/>
        </w:rPr>
      </w:pPr>
      <w:r>
        <w:rPr>
          <w:rFonts w:ascii="宋体" w:hAnsi="宋体" w:eastAsia="宋体" w:cs="宋体"/>
          <w:i w:val="0"/>
          <w:strike w:val="0"/>
          <w:color w:val="000000"/>
          <w:spacing w:val="0"/>
          <w:sz w:val="28"/>
          <w:u w:val="none"/>
          <w:vertAlign w:val="baseline"/>
        </w:rPr>
        <w:t>本项目主要建设内容分布式</w:t>
      </w:r>
      <w:r>
        <w:rPr>
          <w:rFonts w:hint="eastAsia" w:ascii="宋体" w:hAnsi="宋体" w:eastAsia="宋体" w:cs="宋体"/>
          <w:i w:val="0"/>
          <w:strike w:val="0"/>
          <w:color w:val="000000"/>
          <w:spacing w:val="0"/>
          <w:sz w:val="28"/>
          <w:u w:val="none"/>
          <w:vertAlign w:val="baseline"/>
          <w:lang w:val="en-US" w:eastAsia="zh-CN"/>
        </w:rPr>
        <w:t>光伏发电设备及储能设备</w:t>
      </w:r>
      <w:r>
        <w:rPr>
          <w:rFonts w:ascii="宋体" w:hAnsi="宋体" w:eastAsia="宋体" w:cs="宋体"/>
          <w:i w:val="0"/>
          <w:strike w:val="0"/>
          <w:color w:val="000000"/>
          <w:spacing w:val="0"/>
          <w:sz w:val="28"/>
          <w:u w:val="none"/>
          <w:vertAlign w:val="baseline"/>
        </w:rPr>
        <w:t>，项目不涉及生产方法、生产工艺技术。在建设方面，河南省具有实力的且经验丰富的设计单位和施工单位众多，项目建设方面成熟的生产工艺，工艺成熟、可靠性强。</w:t>
      </w:r>
    </w:p>
    <w:p w14:paraId="56CA982B">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4.1.1 技术方案的选用原则</w:t>
      </w:r>
    </w:p>
    <w:p w14:paraId="5AAAFC2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在充分考虑经济条件和管理水平以及生产过程中人流、物流、信息流的合理顺畅，优先选用安全可靠、技术先进、工艺成熟、投资省、占地少、运行费用低、操作管理方便的工艺。</w:t>
      </w:r>
    </w:p>
    <w:p w14:paraId="3B086984">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1、立足企业技术资源优势和企业整体优势。</w:t>
      </w:r>
    </w:p>
    <w:p w14:paraId="18819C9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2、综合考虑企业的整体发展规划。</w:t>
      </w:r>
    </w:p>
    <w:p w14:paraId="31E68430">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3、突出产品及技术优势，以安全环保为核心进行设计。</w:t>
      </w:r>
    </w:p>
    <w:p w14:paraId="466E5D9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4、优先选择清洁工艺，注重节能节水环保。</w:t>
      </w:r>
    </w:p>
    <w:p w14:paraId="23169E1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5、符合国家的有关资源、产业政策。</w:t>
      </w:r>
    </w:p>
    <w:p w14:paraId="65B177C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6、先进技术与合理投资相结合，工艺的先进性与实际应用的可行性相结合。</w:t>
      </w:r>
    </w:p>
    <w:p w14:paraId="67E6681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7、对于项目生产技术方案的选用，遵循“技术上先进可行，经济上合理有利，综合利用资源”的进步原则，采用先进的集散型控制系统，由计算机统一控制整个生产线的各工艺参数，使产品质量稳定在高水平上，同时可降低物料的消耗。严格按行业规范要求组织生产经营活动，有效控制产品质量，为广大顾客提供优质的产品和良好的服务。</w:t>
      </w:r>
    </w:p>
    <w:p w14:paraId="4488414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8、在工艺设备的配置上，依据节能的原则，选用新型节能型设备，根据有利于环境保护的原则，优先选用环境保护型设备，满足该项目所制定的产品方案的要求。</w:t>
      </w:r>
    </w:p>
    <w:p w14:paraId="39D932C5">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9、根据该项目的产品方案，所选用的工艺流程能够满足该项目产品的要求，同时，加强员工技术培训，严格质量管理，严格按照工艺流程技术要求进行操作，提高产品合格率。</w:t>
      </w:r>
    </w:p>
    <w:p w14:paraId="3F949D3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10、遵循“高起点、优质量、专业化、经济规模”的建设原则。积极采用新技术、新工艺和高效率专用设备，使用高质量的原辅材料，稳定和提高产品质量，制造高附加值的产品，不断提高企业的市场竞争力。</w:t>
      </w:r>
    </w:p>
    <w:p w14:paraId="0A28775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11、项目建设贯彻“三同时”的原则，注重环境保护、职业安全卫生、消防及节能等各项措施的落实。</w:t>
      </w:r>
    </w:p>
    <w:p w14:paraId="1CAF3E1F">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47" w:name="_Toc20607"/>
      <w:bookmarkStart w:id="48" w:name="_Toc12497"/>
      <w:r>
        <w:rPr>
          <w:rFonts w:hint="eastAsia" w:ascii="宋体" w:hAnsi="宋体" w:eastAsia="宋体" w:cs="宋体"/>
          <w:b/>
          <w:bCs/>
          <w:sz w:val="28"/>
          <w:szCs w:val="28"/>
        </w:rPr>
        <w:t>4.2 设备方案</w:t>
      </w:r>
      <w:bookmarkEnd w:id="47"/>
      <w:bookmarkEnd w:id="48"/>
    </w:p>
    <w:p w14:paraId="1CB0C57A">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4.2.1 设备配置原则</w:t>
      </w:r>
    </w:p>
    <w:p w14:paraId="551DFED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设备方案选择依据使用功能确定，应该满足以下基本要求：主要设备方案与拟定建设规模相适应，以最大限度满足项目投产后生产要求；主要设备之间、主要设备与辅助设备之间的能力相互配套；设备质量、性能成熟，以保证生产的稳定性和产品质量；设备选择在保证性能前提下，力求经济合理；选用设备应符合国家和有关部门颁布的相关技术标准要求。</w:t>
      </w:r>
    </w:p>
    <w:p w14:paraId="62B2D7C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为适应该项目生产需要，确保产品的质量，增强生产的可操作手段，必须完整配置各种技术装备，该项目设备应选择国内外现有的先进、成熟、可靠的设备，因此，在主设备选型上应遵循以下原则：</w:t>
      </w:r>
    </w:p>
    <w:p w14:paraId="704F71D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1、主要设备选型的原则应与选择的项目建设规模、产品方案相适应，满足项目的要求，可获得最大效益。</w:t>
      </w:r>
    </w:p>
    <w:p w14:paraId="7E88A90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3、提高连续化、大型化程序，降低劳动强度，提高劳动生产率。</w:t>
      </w:r>
    </w:p>
    <w:p w14:paraId="473A0134">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4、降低原材料、水、电单耗，满足环境保护要求。</w:t>
      </w:r>
    </w:p>
    <w:p w14:paraId="6E722AE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5、强调设备的可靠性、成熟性，保证生产和质量稳定。不允许将不成熟或未经生产考验的设备用于建设方案设计。</w:t>
      </w:r>
    </w:p>
    <w:p w14:paraId="1B5C8F3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6、符合政府或专门机构发布的技术标准要求。</w:t>
      </w:r>
    </w:p>
    <w:p w14:paraId="55F3B7F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7、在满足机械功能和生产过程的条件下，力求经济合理（含用料、制造、操作和维护保养），尽可能立足于国内市场。</w:t>
      </w:r>
    </w:p>
    <w:p w14:paraId="78E6AC6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8、主要设备及辅助设备之间应相互配套。</w:t>
      </w:r>
    </w:p>
    <w:p w14:paraId="44B25589">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4.2.2 设计方案与主要设备（含软件）的规格、数量和性能参数等</w:t>
      </w:r>
    </w:p>
    <w:p w14:paraId="50794BA4">
      <w:pPr>
        <w:keepNext w:val="0"/>
        <w:keepLines w:val="0"/>
        <w:pageBreakBefore w:val="0"/>
        <w:widowControl w:val="0"/>
        <w:kinsoku/>
        <w:wordWrap/>
        <w:overflowPunct/>
        <w:topLinePunct w:val="0"/>
        <w:autoSpaceDE/>
        <w:autoSpaceDN/>
        <w:bidi w:val="0"/>
        <w:adjustRightInd/>
        <w:snapToGrid/>
        <w:spacing w:before="157" w:beforeLines="50" w:after="157" w:afterLines="50"/>
        <w:ind w:firstLine="55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1、光伏组件</w:t>
      </w:r>
    </w:p>
    <w:p w14:paraId="0215A08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光伏组件选型原则光伏组件是可以将光能转化为电能的设备，是光伏系统中的核心组成部分，它的优劣将直接影响到整套光伏系统的效率和运转，本项目使用的光伏组件均采用国内一线品牌A级组件。</w:t>
      </w:r>
    </w:p>
    <w:p w14:paraId="5AF5912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采用隆基高效单晶N型640W组件；组件采用应用密排电池技术，组件效率提升至23.7%。应用多主栅（MBB）技术，能够缩短细栅上50%以上的电流传导距离，降低电池的内阻损失。主栅变细变窄减少遮光，有效受光面积更大。圆形焊带折射更多的光照，光学利用率更高。叠加使用切半电池技术，半片电池独特的电路设计可帮助电阻损耗降至全片组件的1/4，输出功率提升2%以上。切半设计降低组件发热量，更低的工作温度能够提升单瓦发电量。同时，切半组件特殊的并串结构，可减少组件纵向排布引发阴影遮挡导致的发电量损失。同时，MBB多主栅技术在高辐照地区具备更高的发电能力。</w:t>
      </w:r>
    </w:p>
    <w:p w14:paraId="2F40E09E">
      <w:pPr>
        <w:ind w:firstLine="0" w:firstLineChars="0"/>
      </w:pPr>
      <w:r>
        <w:drawing>
          <wp:inline distT="0" distB="0" distL="0" distR="0">
            <wp:extent cx="5274310" cy="3992880"/>
            <wp:effectExtent l="0" t="0" r="0" b="0"/>
            <wp:docPr id="14" name="picture" descr="descript"/>
            <wp:cNvGraphicFramePr/>
            <a:graphic xmlns:a="http://schemas.openxmlformats.org/drawingml/2006/main">
              <a:graphicData uri="http://schemas.openxmlformats.org/drawingml/2006/picture">
                <pic:pic xmlns:pic="http://schemas.openxmlformats.org/drawingml/2006/picture">
                  <pic:nvPicPr>
                    <pic:cNvPr id="14" name="picture" descr="descript"/>
                    <pic:cNvPicPr/>
                  </pic:nvPicPr>
                  <pic:blipFill>
                    <a:blip r:embed="rId11"/>
                    <a:stretch>
                      <a:fillRect/>
                    </a:stretch>
                  </pic:blipFill>
                  <pic:spPr>
                    <a:xfrm>
                      <a:off x="0" y="0"/>
                      <a:ext cx="5274310" cy="3993514"/>
                    </a:xfrm>
                    <a:prstGeom prst="rect">
                      <a:avLst/>
                    </a:prstGeom>
                  </pic:spPr>
                </pic:pic>
              </a:graphicData>
            </a:graphic>
          </wp:inline>
        </w:drawing>
      </w:r>
    </w:p>
    <w:p w14:paraId="5055B226">
      <w:pPr>
        <w:ind w:firstLine="0" w:firstLineChars="0"/>
      </w:pPr>
    </w:p>
    <w:p w14:paraId="7A6179A4">
      <w:pPr>
        <w:ind w:firstLine="0" w:firstLineChars="0"/>
      </w:pPr>
      <w:r>
        <w:drawing>
          <wp:inline distT="0" distB="0" distL="0" distR="0">
            <wp:extent cx="5274310" cy="2757170"/>
            <wp:effectExtent l="0" t="0" r="0" b="0"/>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2"/>
                    <a:stretch>
                      <a:fillRect/>
                    </a:stretch>
                  </pic:blipFill>
                  <pic:spPr>
                    <a:xfrm>
                      <a:off x="0" y="0"/>
                      <a:ext cx="5274310" cy="2757539"/>
                    </a:xfrm>
                    <a:prstGeom prst="rect">
                      <a:avLst/>
                    </a:prstGeom>
                  </pic:spPr>
                </pic:pic>
              </a:graphicData>
            </a:graphic>
          </wp:inline>
        </w:drawing>
      </w:r>
    </w:p>
    <w:p w14:paraId="3D3133D7">
      <w:pPr>
        <w:ind w:firstLine="0" w:firstLineChars="0"/>
      </w:pPr>
    </w:p>
    <w:p w14:paraId="5B6D5EF0">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jc w:val="center"/>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图4-1光伏组件参数</w:t>
      </w:r>
    </w:p>
    <w:p w14:paraId="6145473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2、逆变器</w:t>
      </w:r>
    </w:p>
    <w:p w14:paraId="6F209D30">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光伏并网逆变器是将光伏组件输出的直流电转换为交流电，是光伏发电系统中的关键设备，对于提高光伏系统的效率和可靠性具有举足轻重的作用。光伏并网逆变器的选型主要应考虑以下几个问题：</w:t>
      </w:r>
    </w:p>
    <w:p w14:paraId="51AB983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性能可靠，效率高：光伏发电系统目前的发电成本较高，如果在发电过程中逆变器自身消耗能量过多或逆变失效，必然导致总发电量的损失和系统经济性下降，因此要求逆变器可靠、效率高，并能根据光伏组件当前的运行状况输出最大功率（MPPT）。</w:t>
      </w:r>
    </w:p>
    <w:p w14:paraId="7D06A2F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（2）要求直流输入电压有较宽的适应范围：由于太阳电池的端电压随负载和日照强度而变化，这就要求逆变电源必须在较大的直流输入电压范围内保证正常工作，并保证交流输出电压稳定。</w:t>
      </w:r>
    </w:p>
    <w:p w14:paraId="6FA0DA5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（3）具有保护功能：并网逆变器还应具有交流过压、欠压保护，超频、欠频保护，高温保护，交流及直流的过流保护，直流过压保护，防孤岛保护等保护功能。</w:t>
      </w:r>
    </w:p>
    <w:p w14:paraId="002A129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波形畸变小，功率因数高：当大型光伏发电系统并网运行时，为避免对公共电网的电力污染，要求逆变电源输出正弦波，电流波形必须与外电网一致，波形畸变小于5%，高次谐波含量小于3%，功率因数接近于1。</w:t>
      </w:r>
    </w:p>
    <w:p w14:paraId="0714226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（5）监控和数据采集：逆变器应有多种通讯接口进行数据采集并发送到远控室，其控制器还应有模拟输入端口与外部传感器相连，以测量日照和温度等数据，便于整个电站数据处理分析。</w:t>
      </w:r>
    </w:p>
    <w:p w14:paraId="17AF8EE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14:paraId="1522FF7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14:paraId="43ADC4E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3、户用换电储能系统设备</w:t>
      </w:r>
    </w:p>
    <w:p w14:paraId="12EB94B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采用可插拔换电模组的YSY-96户用储能系统，具有储能电站和换电设施两种业态，将单一的储能场景由光储充转变为光储充换，提升储能的价值空间，利用换电给商业用户提高效率，创造出更多的利益价值构建出储能换电新业态。</w:t>
      </w:r>
    </w:p>
    <w:p w14:paraId="59BE9F3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14:paraId="3D06B71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420" w:firstLineChars="200"/>
        <w:jc w:val="center"/>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drawing>
          <wp:inline distT="0" distB="0" distL="114300" distR="114300">
            <wp:extent cx="2667635" cy="3917315"/>
            <wp:effectExtent l="0" t="0" r="18415" b="698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3"/>
                    <a:srcRect/>
                    <a:stretch>
                      <a:fillRect/>
                    </a:stretch>
                  </pic:blipFill>
                  <pic:spPr>
                    <a:xfrm>
                      <a:off x="0" y="0"/>
                      <a:ext cx="2667635" cy="3917315"/>
                    </a:xfrm>
                    <a:prstGeom prst="rect">
                      <a:avLst/>
                    </a:prstGeom>
                    <a:noFill/>
                    <a:ln>
                      <a:noFill/>
                    </a:ln>
                  </pic:spPr>
                </pic:pic>
              </a:graphicData>
            </a:graphic>
          </wp:inline>
        </w:drawing>
      </w:r>
    </w:p>
    <w:p w14:paraId="0CDE1F3F">
      <w:pPr>
        <w:keepNext w:val="0"/>
        <w:keepLines w:val="0"/>
        <w:pageBreakBefore w:val="0"/>
        <w:widowControl w:val="0"/>
        <w:kinsoku/>
        <w:wordWrap/>
        <w:overflowPunct/>
        <w:topLinePunct/>
        <w:autoSpaceDE w:val="0"/>
        <w:autoSpaceDN/>
        <w:bidi w:val="0"/>
        <w:adjustRightInd/>
        <w:snapToGrid/>
        <w:spacing w:before="0" w:beforeLines="50" w:after="0" w:afterLines="50" w:line="360" w:lineRule="auto"/>
        <w:jc w:val="center"/>
        <w:textAlignment w:val="baseline"/>
        <w:outlineLvl w:val="9"/>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YSY-96户用储能系统参数表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4069"/>
      </w:tblGrid>
      <w:tr w14:paraId="4258A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blHeader/>
          <w:jc w:val="center"/>
        </w:trPr>
        <w:tc>
          <w:tcPr>
            <w:tcW w:w="2490" w:type="dxa"/>
            <w:tcBorders>
              <w:top w:val="single" w:color="000000" w:sz="1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14:paraId="748EDFF5">
            <w:pPr>
              <w:keepNext w:val="0"/>
              <w:keepLines w:val="0"/>
              <w:widowControl/>
              <w:suppressLineNumbers w:val="0"/>
              <w:jc w:val="center"/>
              <w:textAlignment w:val="center"/>
              <w:rPr>
                <w:rFonts w:hint="eastAsia" w:ascii="宋体" w:hAnsi="宋体" w:eastAsia="宋体" w:cs="宋体"/>
                <w:b/>
                <w:bCs/>
                <w:sz w:val="21"/>
                <w:szCs w:val="21"/>
              </w:rPr>
            </w:pPr>
            <w:r>
              <w:rPr>
                <w:rFonts w:hint="eastAsia" w:ascii="宋体" w:hAnsi="宋体" w:eastAsia="宋体" w:cs="宋体"/>
                <w:b/>
                <w:bCs/>
                <w:i w:val="0"/>
                <w:iCs w:val="0"/>
                <w:snapToGrid w:val="0"/>
                <w:color w:val="000000"/>
                <w:kern w:val="0"/>
                <w:sz w:val="21"/>
                <w:szCs w:val="21"/>
                <w:u w:val="none"/>
                <w:lang w:val="en-US" w:eastAsia="zh-CN" w:bidi="ar"/>
              </w:rPr>
              <w:t>参数类别</w:t>
            </w:r>
          </w:p>
        </w:tc>
        <w:tc>
          <w:tcPr>
            <w:tcW w:w="4069" w:type="dxa"/>
            <w:tcBorders>
              <w:top w:val="single" w:color="000000" w:sz="1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14:paraId="3641EC89">
            <w:pPr>
              <w:keepNext w:val="0"/>
              <w:keepLines w:val="0"/>
              <w:widowControl/>
              <w:suppressLineNumbers w:val="0"/>
              <w:jc w:val="center"/>
              <w:textAlignment w:val="center"/>
              <w:rPr>
                <w:rFonts w:hint="eastAsia" w:ascii="宋体" w:hAnsi="宋体" w:eastAsia="宋体" w:cs="宋体"/>
                <w:b/>
                <w:bCs/>
                <w:sz w:val="21"/>
                <w:szCs w:val="21"/>
              </w:rPr>
            </w:pPr>
            <w:r>
              <w:rPr>
                <w:rFonts w:hint="eastAsia" w:ascii="宋体" w:hAnsi="宋体" w:eastAsia="宋体" w:cs="宋体"/>
                <w:b/>
                <w:bCs/>
                <w:i w:val="0"/>
                <w:iCs w:val="0"/>
                <w:snapToGrid w:val="0"/>
                <w:color w:val="000000"/>
                <w:kern w:val="0"/>
                <w:sz w:val="21"/>
                <w:szCs w:val="21"/>
                <w:u w:val="none"/>
                <w:lang w:val="en-US" w:eastAsia="zh-CN" w:bidi="ar"/>
              </w:rPr>
              <w:t>参数值</w:t>
            </w:r>
          </w:p>
        </w:tc>
      </w:tr>
      <w:tr w14:paraId="2CFBA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14:paraId="5D25ACFC">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输入功率</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14:paraId="7A042C80">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3.6kw\220ac</w:t>
            </w:r>
          </w:p>
        </w:tc>
      </w:tr>
      <w:tr w14:paraId="3761C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14:paraId="2A3DCC9F">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输出功率</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14:paraId="0DD31D20">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3.3kw\230ac</w:t>
            </w:r>
          </w:p>
        </w:tc>
      </w:tr>
      <w:tr w14:paraId="0BC03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14:paraId="06DA8773">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系统总容量</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14:paraId="4A3008AD">
            <w:pPr>
              <w:keepNext w:val="0"/>
              <w:keepLines w:val="0"/>
              <w:widowControl/>
              <w:suppressLineNumbers w:val="0"/>
              <w:jc w:val="center"/>
              <w:textAlignment w:val="center"/>
              <w:rPr>
                <w:rFonts w:hint="eastAsia" w:ascii="宋体" w:hAnsi="宋体" w:eastAsia="宋体" w:cs="宋体"/>
                <w:sz w:val="21"/>
                <w:szCs w:val="21"/>
                <w:lang w:val="en-US"/>
              </w:rPr>
            </w:pPr>
            <w:r>
              <w:rPr>
                <w:rFonts w:hint="eastAsia" w:ascii="宋体" w:hAnsi="宋体" w:eastAsia="宋体" w:cs="宋体"/>
                <w:i w:val="0"/>
                <w:iCs w:val="0"/>
                <w:snapToGrid w:val="0"/>
                <w:color w:val="000000"/>
                <w:kern w:val="0"/>
                <w:sz w:val="21"/>
                <w:szCs w:val="21"/>
                <w:u w:val="none"/>
                <w:lang w:val="en-US" w:eastAsia="zh-CN" w:bidi="ar"/>
              </w:rPr>
              <w:t>15kwh</w:t>
            </w:r>
          </w:p>
        </w:tc>
      </w:tr>
      <w:tr w14:paraId="3EBEA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14:paraId="65838655">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可拔插电池</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14:paraId="3D404568">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bidi="ar"/>
              </w:rPr>
              <w:t>15pcs</w:t>
            </w:r>
          </w:p>
        </w:tc>
      </w:tr>
      <w:tr w14:paraId="63C43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14:paraId="66E3A07A">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产品尺寸(W×D×H)</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14:paraId="3C273239">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600*600*1600mm</w:t>
            </w:r>
          </w:p>
        </w:tc>
      </w:tr>
      <w:tr w14:paraId="7628A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14:paraId="221FF97F">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安装方式</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14:paraId="64224DB0">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落地式</w:t>
            </w:r>
          </w:p>
        </w:tc>
      </w:tr>
      <w:tr w14:paraId="3FE3A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14:paraId="762D56DB">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冷却方式</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14:paraId="3087F926">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风冷</w:t>
            </w:r>
          </w:p>
        </w:tc>
      </w:tr>
      <w:tr w14:paraId="7B99A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14:paraId="1F0586E3">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电池模块</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14:paraId="07024010">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标准电池模块可热插拔</w:t>
            </w:r>
          </w:p>
        </w:tc>
      </w:tr>
      <w:tr w14:paraId="181DB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14:paraId="3FF0E8EA">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通讯方式</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14:paraId="0A762724">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系统离网或并网可选，有线宽带\WIFI\BLE</w:t>
            </w:r>
          </w:p>
        </w:tc>
      </w:tr>
      <w:tr w14:paraId="58AE8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14:paraId="0EBB93F3">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重量</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14:paraId="0A986DC4">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258kg</w:t>
            </w:r>
          </w:p>
        </w:tc>
      </w:tr>
    </w:tbl>
    <w:p w14:paraId="22F012E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14:paraId="6484D5E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420" w:firstLineChars="200"/>
        <w:jc w:val="center"/>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drawing>
          <wp:inline distT="0" distB="0" distL="114300" distR="114300">
            <wp:extent cx="2635885" cy="2318385"/>
            <wp:effectExtent l="0" t="0" r="12065" b="571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4"/>
                    <a:srcRect/>
                    <a:stretch>
                      <a:fillRect/>
                    </a:stretch>
                  </pic:blipFill>
                  <pic:spPr>
                    <a:xfrm>
                      <a:off x="0" y="0"/>
                      <a:ext cx="2635885" cy="2318385"/>
                    </a:xfrm>
                    <a:prstGeom prst="rect">
                      <a:avLst/>
                    </a:prstGeom>
                    <a:noFill/>
                    <a:ln>
                      <a:noFill/>
                    </a:ln>
                  </pic:spPr>
                </pic:pic>
              </a:graphicData>
            </a:graphic>
          </wp:inline>
        </w:drawing>
      </w:r>
    </w:p>
    <w:p w14:paraId="06D04D1E">
      <w:pPr>
        <w:keepNext w:val="0"/>
        <w:keepLines w:val="0"/>
        <w:pageBreakBefore w:val="0"/>
        <w:widowControl w:val="0"/>
        <w:kinsoku/>
        <w:wordWrap/>
        <w:overflowPunct/>
        <w:topLinePunct/>
        <w:autoSpaceDE w:val="0"/>
        <w:autoSpaceDN/>
        <w:bidi w:val="0"/>
        <w:adjustRightInd/>
        <w:snapToGrid/>
        <w:spacing w:before="0" w:beforeLines="50" w:after="0" w:afterLines="50" w:line="360" w:lineRule="auto"/>
        <w:jc w:val="center"/>
        <w:textAlignment w:val="baseline"/>
        <w:outlineLvl w:val="9"/>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标准锂电池模块参数表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4069"/>
      </w:tblGrid>
      <w:tr w14:paraId="52C1E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blHeader/>
          <w:jc w:val="center"/>
        </w:trPr>
        <w:tc>
          <w:tcPr>
            <w:tcW w:w="2490" w:type="dxa"/>
            <w:tcBorders>
              <w:top w:val="single" w:color="000000" w:sz="1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14:paraId="2D3B0963">
            <w:pPr>
              <w:keepNext w:val="0"/>
              <w:keepLines w:val="0"/>
              <w:widowControl/>
              <w:suppressLineNumbers w:val="0"/>
              <w:jc w:val="center"/>
              <w:textAlignment w:val="center"/>
              <w:rPr>
                <w:rFonts w:hint="eastAsia" w:ascii="宋体" w:hAnsi="宋体" w:eastAsia="宋体" w:cs="宋体"/>
                <w:b/>
                <w:bCs/>
                <w:sz w:val="21"/>
                <w:szCs w:val="21"/>
              </w:rPr>
            </w:pPr>
            <w:r>
              <w:rPr>
                <w:rFonts w:hint="eastAsia" w:ascii="宋体" w:hAnsi="宋体" w:eastAsia="宋体" w:cs="宋体"/>
                <w:b/>
                <w:bCs/>
                <w:i w:val="0"/>
                <w:iCs w:val="0"/>
                <w:snapToGrid w:val="0"/>
                <w:color w:val="000000"/>
                <w:kern w:val="0"/>
                <w:sz w:val="21"/>
                <w:szCs w:val="21"/>
                <w:u w:val="none"/>
                <w:lang w:val="en-US" w:eastAsia="zh-CN" w:bidi="ar"/>
              </w:rPr>
              <w:t>参数类别</w:t>
            </w:r>
          </w:p>
        </w:tc>
        <w:tc>
          <w:tcPr>
            <w:tcW w:w="4069" w:type="dxa"/>
            <w:tcBorders>
              <w:top w:val="single" w:color="000000" w:sz="1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14:paraId="03E79728">
            <w:pPr>
              <w:keepNext w:val="0"/>
              <w:keepLines w:val="0"/>
              <w:widowControl/>
              <w:suppressLineNumbers w:val="0"/>
              <w:jc w:val="center"/>
              <w:textAlignment w:val="center"/>
              <w:rPr>
                <w:rFonts w:hint="eastAsia" w:ascii="宋体" w:hAnsi="宋体" w:eastAsia="宋体" w:cs="宋体"/>
                <w:b/>
                <w:bCs/>
                <w:sz w:val="21"/>
                <w:szCs w:val="21"/>
              </w:rPr>
            </w:pPr>
            <w:r>
              <w:rPr>
                <w:rFonts w:hint="eastAsia" w:ascii="宋体" w:hAnsi="宋体" w:eastAsia="宋体" w:cs="宋体"/>
                <w:b/>
                <w:bCs/>
                <w:i w:val="0"/>
                <w:iCs w:val="0"/>
                <w:snapToGrid w:val="0"/>
                <w:color w:val="000000"/>
                <w:kern w:val="0"/>
                <w:sz w:val="21"/>
                <w:szCs w:val="21"/>
                <w:u w:val="none"/>
                <w:lang w:val="en-US" w:eastAsia="zh-CN" w:bidi="ar"/>
              </w:rPr>
              <w:t>参数值</w:t>
            </w:r>
          </w:p>
        </w:tc>
      </w:tr>
      <w:tr w14:paraId="3D47F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14:paraId="48CBF7C7">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sz w:val="21"/>
                <w:szCs w:val="21"/>
              </w:rPr>
              <w:t>额定电压</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14:paraId="6A93D875">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sz w:val="21"/>
                <w:szCs w:val="21"/>
              </w:rPr>
              <w:t>48 Vdc</w:t>
            </w:r>
          </w:p>
        </w:tc>
      </w:tr>
      <w:tr w14:paraId="02FE0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14:paraId="29E8E951">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sz w:val="21"/>
                <w:szCs w:val="21"/>
              </w:rPr>
              <w:t>额定容量</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14:paraId="64BEEA5B">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sz w:val="21"/>
                <w:szCs w:val="21"/>
              </w:rPr>
              <w:t>24 AH</w:t>
            </w:r>
          </w:p>
        </w:tc>
      </w:tr>
      <w:tr w14:paraId="47998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14:paraId="455B19CA">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额定功率</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14:paraId="02250CE2">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1kw</w:t>
            </w:r>
          </w:p>
        </w:tc>
      </w:tr>
      <w:tr w14:paraId="2CF61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14:paraId="08BC475B">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sz w:val="21"/>
                <w:szCs w:val="21"/>
              </w:rPr>
              <w:t>输出电压范围</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14:paraId="262D98A0">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58.1－39.2Vdc</w:t>
            </w:r>
          </w:p>
        </w:tc>
      </w:tr>
      <w:tr w14:paraId="39BC6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14:paraId="2140384E">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sz w:val="21"/>
                <w:szCs w:val="21"/>
              </w:rPr>
              <w:t>最大放电电流</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14:paraId="60437DAE">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sz w:val="21"/>
                <w:szCs w:val="21"/>
              </w:rPr>
              <w:t>50A</w:t>
            </w:r>
          </w:p>
        </w:tc>
      </w:tr>
      <w:tr w14:paraId="76CD4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14:paraId="6405344A">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通讯方式</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14:paraId="13E94798">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BLE</w:t>
            </w:r>
          </w:p>
        </w:tc>
      </w:tr>
      <w:tr w14:paraId="2A11D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14:paraId="369A404C">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sz w:val="21"/>
                <w:szCs w:val="21"/>
              </w:rPr>
              <w:t>结构尺寸</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14:paraId="68B7DD43">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290*165*140 mm</w:t>
            </w:r>
          </w:p>
        </w:tc>
      </w:tr>
      <w:tr w14:paraId="740BE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14:paraId="5DB2E06B">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重量</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14:paraId="492F6712">
            <w:pPr>
              <w:keepNext w:val="0"/>
              <w:keepLines w:val="0"/>
              <w:widowControl/>
              <w:suppressLineNumbers w:val="0"/>
              <w:jc w:val="center"/>
              <w:textAlignment w:val="center"/>
              <w:rPr>
                <w:rFonts w:hint="eastAsia" w:ascii="宋体" w:hAnsi="宋体" w:eastAsia="宋体" w:cs="宋体"/>
                <w:sz w:val="21"/>
                <w:szCs w:val="21"/>
                <w:lang w:val="en-US"/>
              </w:rPr>
            </w:pPr>
            <w:r>
              <w:rPr>
                <w:rFonts w:hint="eastAsia" w:ascii="宋体" w:hAnsi="宋体" w:eastAsia="宋体" w:cs="宋体"/>
                <w:i w:val="0"/>
                <w:iCs w:val="0"/>
                <w:snapToGrid w:val="0"/>
                <w:color w:val="000000"/>
                <w:kern w:val="0"/>
                <w:sz w:val="21"/>
                <w:szCs w:val="21"/>
                <w:u w:val="none"/>
                <w:lang w:val="en-US" w:eastAsia="zh-CN" w:bidi="ar"/>
              </w:rPr>
              <w:t>8.5kg</w:t>
            </w:r>
          </w:p>
        </w:tc>
      </w:tr>
    </w:tbl>
    <w:p w14:paraId="2CD4B5A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14:paraId="16A0F0A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4、充电桩选型</w:t>
      </w:r>
    </w:p>
    <w:p w14:paraId="4E93121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Chars="0"/>
        <w:jc w:val="center"/>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drawing>
          <wp:inline distT="0" distB="0" distL="114300" distR="114300">
            <wp:extent cx="3295650" cy="3209925"/>
            <wp:effectExtent l="0" t="0" r="0" b="9525"/>
            <wp:docPr id="26" name="图片 12" descr="174927212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descr="1749272124640"/>
                    <pic:cNvPicPr>
                      <a:picLocks noChangeAspect="1"/>
                    </pic:cNvPicPr>
                  </pic:nvPicPr>
                  <pic:blipFill>
                    <a:blip r:embed="rId15"/>
                    <a:srcRect/>
                    <a:stretch>
                      <a:fillRect/>
                    </a:stretch>
                  </pic:blipFill>
                  <pic:spPr>
                    <a:xfrm>
                      <a:off x="0" y="0"/>
                      <a:ext cx="3295650" cy="3209925"/>
                    </a:xfrm>
                    <a:prstGeom prst="rect">
                      <a:avLst/>
                    </a:prstGeom>
                  </pic:spPr>
                </pic:pic>
              </a:graphicData>
            </a:graphic>
          </wp:inline>
        </w:drawing>
      </w:r>
    </w:p>
    <w:p w14:paraId="6F367B6E">
      <w:pPr>
        <w:keepNext w:val="0"/>
        <w:keepLines w:val="0"/>
        <w:pageBreakBefore w:val="0"/>
        <w:widowControl w:val="0"/>
        <w:kinsoku/>
        <w:wordWrap/>
        <w:overflowPunct/>
        <w:topLinePunct/>
        <w:autoSpaceDE w:val="0"/>
        <w:autoSpaceDN/>
        <w:bidi w:val="0"/>
        <w:adjustRightInd/>
        <w:snapToGrid/>
        <w:spacing w:before="0" w:beforeLines="50" w:after="0" w:afterLines="50" w:line="360" w:lineRule="auto"/>
        <w:jc w:val="center"/>
        <w:textAlignment w:val="baseline"/>
        <w:outlineLvl w:val="9"/>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600kw充电桩样式图</w:t>
      </w:r>
    </w:p>
    <w:p w14:paraId="5A195120">
      <w:pPr>
        <w:keepNext w:val="0"/>
        <w:keepLines w:val="0"/>
        <w:pageBreakBefore w:val="0"/>
        <w:widowControl w:val="0"/>
        <w:kinsoku/>
        <w:wordWrap/>
        <w:overflowPunct/>
        <w:topLinePunct/>
        <w:autoSpaceDE w:val="0"/>
        <w:autoSpaceDN/>
        <w:bidi w:val="0"/>
        <w:adjustRightInd/>
        <w:snapToGrid/>
        <w:spacing w:before="0" w:beforeLines="50" w:after="0" w:afterLines="50" w:line="360" w:lineRule="auto"/>
        <w:jc w:val="center"/>
        <w:textAlignment w:val="baseline"/>
        <w:outlineLvl w:val="9"/>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600kw超充桩参数表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8"/>
        <w:gridCol w:w="3511"/>
      </w:tblGrid>
      <w:tr w14:paraId="09ED9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blHeader/>
          <w:jc w:val="center"/>
        </w:trPr>
        <w:tc>
          <w:tcPr>
            <w:tcW w:w="3048" w:type="dxa"/>
            <w:tcBorders>
              <w:top w:val="single" w:color="000000" w:sz="1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14:paraId="39B9E847">
            <w:pPr>
              <w:keepNext w:val="0"/>
              <w:keepLines w:val="0"/>
              <w:widowControl/>
              <w:suppressLineNumbers w:val="0"/>
              <w:jc w:val="center"/>
              <w:textAlignment w:val="center"/>
              <w:rPr>
                <w:rFonts w:hint="eastAsia" w:ascii="宋体" w:hAnsi="宋体" w:eastAsia="宋体" w:cs="宋体"/>
                <w:b/>
                <w:bCs/>
                <w:sz w:val="21"/>
                <w:szCs w:val="21"/>
              </w:rPr>
            </w:pPr>
            <w:r>
              <w:rPr>
                <w:rFonts w:hint="eastAsia" w:ascii="宋体" w:hAnsi="宋体" w:eastAsia="宋体" w:cs="宋体"/>
                <w:b/>
                <w:bCs/>
                <w:i w:val="0"/>
                <w:iCs w:val="0"/>
                <w:snapToGrid w:val="0"/>
                <w:color w:val="000000"/>
                <w:kern w:val="0"/>
                <w:sz w:val="21"/>
                <w:szCs w:val="21"/>
                <w:u w:val="none"/>
                <w:lang w:val="en-US" w:eastAsia="zh-CN" w:bidi="ar"/>
              </w:rPr>
              <w:t>参数类别</w:t>
            </w:r>
          </w:p>
        </w:tc>
        <w:tc>
          <w:tcPr>
            <w:tcW w:w="3511" w:type="dxa"/>
            <w:tcBorders>
              <w:top w:val="single" w:color="000000" w:sz="1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14:paraId="4A4B9DFE">
            <w:pPr>
              <w:keepNext w:val="0"/>
              <w:keepLines w:val="0"/>
              <w:widowControl/>
              <w:suppressLineNumbers w:val="0"/>
              <w:jc w:val="center"/>
              <w:textAlignment w:val="center"/>
              <w:rPr>
                <w:rFonts w:hint="eastAsia" w:ascii="宋体" w:hAnsi="宋体" w:eastAsia="宋体" w:cs="宋体"/>
                <w:b/>
                <w:bCs/>
                <w:sz w:val="21"/>
                <w:szCs w:val="21"/>
              </w:rPr>
            </w:pPr>
            <w:r>
              <w:rPr>
                <w:rFonts w:hint="eastAsia" w:ascii="宋体" w:hAnsi="宋体" w:eastAsia="宋体" w:cs="宋体"/>
                <w:b/>
                <w:bCs/>
                <w:i w:val="0"/>
                <w:iCs w:val="0"/>
                <w:snapToGrid w:val="0"/>
                <w:color w:val="000000"/>
                <w:kern w:val="0"/>
                <w:sz w:val="21"/>
                <w:szCs w:val="21"/>
                <w:u w:val="none"/>
                <w:lang w:val="en-US" w:eastAsia="zh-CN" w:bidi="ar"/>
              </w:rPr>
              <w:t>参数值</w:t>
            </w:r>
          </w:p>
        </w:tc>
      </w:tr>
      <w:tr w14:paraId="58BF1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14:paraId="7AAD6B9B">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充电单元</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14:paraId="2EF3FA1A">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超充终端</w:t>
            </w:r>
          </w:p>
        </w:tc>
      </w:tr>
      <w:tr w14:paraId="1687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14:paraId="1870F1E7">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单枪最大功率（需车辆支持）</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14:paraId="514C0A01">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600kW</w:t>
            </w:r>
          </w:p>
        </w:tc>
      </w:tr>
      <w:tr w14:paraId="64FEA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14:paraId="4F507CA8">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充电枪数量</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14:paraId="3291BB92">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1</w:t>
            </w:r>
          </w:p>
        </w:tc>
      </w:tr>
      <w:tr w14:paraId="3904A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14:paraId="12CDB05D">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枪线长度</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14:paraId="0C3BE831">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3.5m</w:t>
            </w:r>
          </w:p>
        </w:tc>
      </w:tr>
      <w:tr w14:paraId="2E134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14:paraId="5C195047">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产品尺寸(W×D×H)</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14:paraId="5475A8B5">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500mm×280mm×1444mm</w:t>
            </w:r>
          </w:p>
        </w:tc>
      </w:tr>
      <w:tr w14:paraId="0FAF7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14:paraId="48473BA2">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安装方式</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14:paraId="7FB98536">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落地式</w:t>
            </w:r>
          </w:p>
        </w:tc>
      </w:tr>
      <w:tr w14:paraId="63D78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14:paraId="52CE54F5">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冷却方式</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14:paraId="01B96CEB">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液冷</w:t>
            </w:r>
          </w:p>
        </w:tc>
      </w:tr>
      <w:tr w14:paraId="5B53F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14:paraId="6BB2D3C5">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输出电压</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14:paraId="4C9BD29E">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200~1000V DC</w:t>
            </w:r>
          </w:p>
        </w:tc>
      </w:tr>
      <w:tr w14:paraId="25FDF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14:paraId="329B7C32">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单枪最大电流</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14:paraId="37137197">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600A</w:t>
            </w:r>
          </w:p>
        </w:tc>
      </w:tr>
      <w:tr w14:paraId="32B4D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14:paraId="620E51EC">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工作温度</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14:paraId="3A5A24D2">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-30~+55℃(55℃以上限功率输出)</w:t>
            </w:r>
          </w:p>
        </w:tc>
      </w:tr>
      <w:tr w14:paraId="5BBAF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14:paraId="5EE81C30">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存储温度</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14:paraId="1BA9F268">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-40~+75℃</w:t>
            </w:r>
          </w:p>
        </w:tc>
      </w:tr>
      <w:tr w14:paraId="3908A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14:paraId="11194B41">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最高海拔高度</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14:paraId="1CE63CEA">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≤2000m</w:t>
            </w:r>
          </w:p>
        </w:tc>
      </w:tr>
      <w:tr w14:paraId="42E32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14:paraId="085E1F13">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相对湿度</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14:paraId="03CE236A">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5~95%RH,无冷凝</w:t>
            </w:r>
          </w:p>
        </w:tc>
      </w:tr>
      <w:tr w14:paraId="5BC16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14:paraId="526B90D7">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噪音</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14:paraId="08CD0359">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≤60dB</w:t>
            </w:r>
          </w:p>
        </w:tc>
      </w:tr>
      <w:tr w14:paraId="4F295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14:paraId="57CD012F">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防护等级</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14:paraId="4F786047">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IP54</w:t>
            </w:r>
          </w:p>
        </w:tc>
      </w:tr>
      <w:tr w14:paraId="3EF7F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14:paraId="6F3127FC">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认证和报告</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14:paraId="625BAB78">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CNAS,CMA</w:t>
            </w:r>
          </w:p>
        </w:tc>
      </w:tr>
      <w:tr w14:paraId="65D10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14:paraId="09EFC4CD">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设计标准</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14:paraId="0D6F7746">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GB/T18487.1-2015、NB/T33001-2018、NB/T33008.1-2018、GB/T27930-2015、JJG1149-2022</w:t>
            </w:r>
          </w:p>
        </w:tc>
      </w:tr>
      <w:tr w14:paraId="0BD56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14:paraId="10315412">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安全防护</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14:paraId="14C71CEB">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过压保护、短路保护、保护接地连续性检测、过温保护、急停保护、漏电保护、绝缘检测、开门保护、停电保护、接触器粘连保护、低液位告警</w:t>
            </w:r>
          </w:p>
        </w:tc>
      </w:tr>
      <w:tr w14:paraId="17926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14:paraId="7270BCC1">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启动方式</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14:paraId="71EAEFCF">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扫码/刷卡/VIN（可选）</w:t>
            </w:r>
          </w:p>
        </w:tc>
      </w:tr>
      <w:tr w14:paraId="70658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14:paraId="6F7CCABA">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显示方式</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14:paraId="01AAF8CF">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4.3寸触摸屏（可选）</w:t>
            </w:r>
          </w:p>
        </w:tc>
      </w:tr>
      <w:tr w14:paraId="33A19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14:paraId="541EFFD6">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网络连接</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14:paraId="38EE18E6">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以太网/4G/Wi-Fi</w:t>
            </w:r>
          </w:p>
        </w:tc>
      </w:tr>
      <w:tr w14:paraId="2AE2B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14:paraId="57D1DFB0">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终端/整流柜通讯协议</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14:paraId="00DE947F">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CAN总线</w:t>
            </w:r>
          </w:p>
        </w:tc>
      </w:tr>
      <w:tr w14:paraId="7F7AD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14:paraId="33BAC3B6">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终端/平台通讯协议</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14:paraId="035F2262">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snapToGrid w:val="0"/>
                <w:color w:val="000000"/>
                <w:kern w:val="0"/>
                <w:sz w:val="21"/>
                <w:szCs w:val="21"/>
                <w:u w:val="none"/>
                <w:lang w:val="en-US" w:eastAsia="zh-CN" w:bidi="ar"/>
              </w:rPr>
              <w:t>OCPP 1.6/OCPP 2.0.1</w:t>
            </w:r>
          </w:p>
        </w:tc>
      </w:tr>
    </w:tbl>
    <w:p w14:paraId="3C06942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超高功率输出：支持双枪同充与并充功能，双枪模式下最大输出功率可600KW，单枪最大输出电流达600A，满足大容量电池快速充电需求。</w:t>
      </w:r>
    </w:p>
    <w:p w14:paraId="44D7282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快速补电：针对工程机械、重卡等大容量电池，可在30分钟内实现快速补电，显著提升运营效率。</w:t>
      </w:r>
    </w:p>
    <w:p w14:paraId="4D4ED64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智能兼容：支持VIN码充电、预约充电，兼容云快充、蔚景云、特来电、小桔等主流运营平台，确保充电服务广泛覆盖。</w:t>
      </w:r>
    </w:p>
    <w:p w14:paraId="66B45010">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柔性功率调配：可根据实际需求灵活调配功率，支持向下不同功率段定制，满足多样化充电场景。</w:t>
      </w:r>
    </w:p>
    <w:p w14:paraId="5115ADD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液冷技术：配备7.5米液冷枪线，高效散热，确保设备在高功率下稳定运行。</w:t>
      </w:r>
    </w:p>
    <w:p w14:paraId="79FCEBB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严苛环境适应：通过国内型式试验及海外CE标准测试，支持-30℃至50℃宽温范围运行，极寒地区可适配加热单元，确保设备稳定使用。</w:t>
      </w:r>
    </w:p>
    <w:p w14:paraId="6E0A1F0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多接口定制：支持国标、美标、欧标等多种充电接口定制，适配智能机器手自动插拔枪，实现无人自动充电。</w:t>
      </w:r>
    </w:p>
    <w:p w14:paraId="0905996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高可靠性：经过严格的高低温冲击测试，确保设备在极端环境下稳定运行，满足全球市场需求</w:t>
      </w:r>
    </w:p>
    <w:p w14:paraId="7E41EC36">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4.2.3 光伏发电系统接入技术方案</w:t>
      </w:r>
    </w:p>
    <w:p w14:paraId="53DE960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在建筑屋顶 采用光伏组件平铺安装形式。拟采用640Wp单晶N型光伏组件，尺 寸2382*1134mm，共计可安装光伏组件约11168块，直流侧装机容 量7.14752MWp，暂按容配比不超过1.2考虑，交流侧容量约5.956MW。</w:t>
      </w:r>
    </w:p>
    <w:p w14:paraId="7641EB2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由于项目交流侧容量小于6MW，故按采用1个10kV接入点进 行考虑，逆变器经升压箱变升压至10kV后，就近接入10kV电网， 接入点距离项目地约2km。最终以电力公司审定的接入系统报告为准。 接入电缆拟采用地埋方式。对于电缆型集电线路采用直埋敷设， 暂采用铝合金三芯铠装电缆，主要原则是沿着道路敷设，便于敷设检 修维护</w:t>
      </w:r>
    </w:p>
    <w:p w14:paraId="315D9BD1">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4.2.4 系统防雷接地</w:t>
      </w:r>
    </w:p>
    <w:p w14:paraId="2A991834">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（1）太阳能光伏组件与金属屋面及建筑物主体避雷系统做可靠连接，能够有效的将入侵雷电导入大地。</w:t>
      </w:r>
    </w:p>
    <w:p w14:paraId="396BD60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（2）所有布置的线槽金属外壳与建筑物主体接地系作可靠接地连接，起到有效防雷和削减雷电影响。</w:t>
      </w:r>
    </w:p>
    <w:p w14:paraId="01DBEF2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（3）太阳能电池直流侧均采用防雷电涌保护器，起到防雷击保护作用。针对沿直流输入线侵入的感应雷在太阳电池方阵的汇线盒内进行一级防雷保护，安装防雷过电压浪涌保护器，起到保护光伏系统作用。</w:t>
      </w:r>
    </w:p>
    <w:p w14:paraId="62095F3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（4）逆变器交流输出侧逆变器有防雷、过压、欠压、漏电等各种保护功能，起到防雷击保护作用；同时逆变器交流输出与外部公共电网并接，外部公共电网的防雷系统起到有效地保护。</w:t>
      </w:r>
    </w:p>
    <w:p w14:paraId="12F3A012">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4.2.5 光伏发电系统配置清单</w:t>
      </w:r>
    </w:p>
    <w:p w14:paraId="39A3DAA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规划光伏装机容量5956KW，光伏系统具体配置清单如下：</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4747"/>
        <w:gridCol w:w="1473"/>
        <w:gridCol w:w="1492"/>
      </w:tblGrid>
      <w:tr w14:paraId="3F5DA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blHeader/>
          <w:jc w:val="center"/>
        </w:trPr>
        <w:tc>
          <w:tcPr>
            <w:tcW w:w="793" w:type="dxa"/>
            <w:tcBorders>
              <w:top w:val="single" w:color="000000" w:sz="10" w:space="0"/>
              <w:left w:val="single" w:color="000000" w:sz="10" w:space="0"/>
              <w:bottom w:val="single" w:color="000000" w:sz="0" w:space="0"/>
              <w:right w:val="single" w:color="000000" w:sz="10" w:space="0"/>
            </w:tcBorders>
            <w:tcMar>
              <w:top w:w="0" w:type="dxa"/>
              <w:left w:w="0" w:type="dxa"/>
              <w:bottom w:w="0" w:type="dxa"/>
              <w:right w:w="0" w:type="dxa"/>
            </w:tcMar>
            <w:vAlign w:val="center"/>
          </w:tcPr>
          <w:p w14:paraId="23DCCCE7">
            <w:pPr>
              <w:widowControl w:val="0"/>
              <w:jc w:val="center"/>
              <w:rPr>
                <w:rFonts w:hint="eastAsia" w:ascii="宋体" w:hAnsi="宋体" w:eastAsia="宋体" w:cs="宋体"/>
                <w:b/>
                <w:bCs/>
                <w:sz w:val="18"/>
                <w:szCs w:val="18"/>
              </w:rPr>
            </w:pPr>
            <w:r>
              <w:rPr>
                <w:rFonts w:hint="eastAsia" w:ascii="宋体" w:hAnsi="宋体" w:eastAsia="宋体" w:cs="宋体"/>
                <w:b/>
                <w:bCs/>
                <w:sz w:val="18"/>
                <w:szCs w:val="18"/>
              </w:rPr>
              <w:t>编号</w:t>
            </w:r>
          </w:p>
        </w:tc>
        <w:tc>
          <w:tcPr>
            <w:tcW w:w="4747" w:type="dxa"/>
            <w:tcBorders>
              <w:top w:val="single" w:color="000000" w:sz="10" w:space="0"/>
              <w:left w:val="single" w:color="000000" w:sz="10" w:space="0"/>
              <w:bottom w:val="single" w:color="000000" w:sz="0" w:space="0"/>
              <w:right w:val="single" w:color="000000" w:sz="10" w:space="0"/>
            </w:tcBorders>
            <w:tcMar>
              <w:top w:w="0" w:type="dxa"/>
              <w:left w:w="0" w:type="dxa"/>
              <w:bottom w:w="0" w:type="dxa"/>
              <w:right w:w="0" w:type="dxa"/>
            </w:tcMar>
            <w:vAlign w:val="center"/>
          </w:tcPr>
          <w:p w14:paraId="13B64923">
            <w:pPr>
              <w:widowControl w:val="0"/>
              <w:jc w:val="center"/>
              <w:rPr>
                <w:rFonts w:hint="eastAsia" w:ascii="宋体" w:hAnsi="宋体" w:eastAsia="宋体" w:cs="宋体"/>
                <w:b/>
                <w:bCs/>
                <w:sz w:val="18"/>
                <w:szCs w:val="18"/>
              </w:rPr>
            </w:pPr>
            <w:r>
              <w:rPr>
                <w:rFonts w:hint="eastAsia" w:ascii="宋体" w:hAnsi="宋体" w:eastAsia="宋体" w:cs="宋体"/>
                <w:b/>
                <w:bCs/>
                <w:sz w:val="18"/>
                <w:szCs w:val="18"/>
              </w:rPr>
              <w:t>工程或名称</w:t>
            </w:r>
          </w:p>
        </w:tc>
        <w:tc>
          <w:tcPr>
            <w:tcW w:w="1473" w:type="dxa"/>
            <w:tcBorders>
              <w:top w:val="single" w:color="000000" w:sz="10" w:space="0"/>
              <w:left w:val="single" w:color="000000" w:sz="10" w:space="0"/>
              <w:bottom w:val="single" w:color="000000" w:sz="0" w:space="0"/>
              <w:right w:val="single" w:color="000000" w:sz="10" w:space="0"/>
            </w:tcBorders>
            <w:tcMar>
              <w:top w:w="0" w:type="dxa"/>
              <w:left w:w="0" w:type="dxa"/>
              <w:bottom w:w="0" w:type="dxa"/>
              <w:right w:w="0" w:type="dxa"/>
            </w:tcMar>
            <w:vAlign w:val="center"/>
          </w:tcPr>
          <w:p w14:paraId="6B0220C3">
            <w:pPr>
              <w:widowControl w:val="0"/>
              <w:jc w:val="center"/>
              <w:rPr>
                <w:rFonts w:hint="eastAsia" w:ascii="宋体" w:hAnsi="宋体" w:eastAsia="宋体" w:cs="宋体"/>
                <w:b/>
                <w:bCs/>
                <w:sz w:val="18"/>
                <w:szCs w:val="18"/>
              </w:rPr>
            </w:pPr>
            <w:r>
              <w:rPr>
                <w:rFonts w:hint="eastAsia" w:ascii="宋体" w:hAnsi="宋体" w:eastAsia="宋体" w:cs="宋体"/>
                <w:b/>
                <w:bCs/>
                <w:sz w:val="18"/>
                <w:szCs w:val="18"/>
              </w:rPr>
              <w:t>单位</w:t>
            </w:r>
          </w:p>
        </w:tc>
        <w:tc>
          <w:tcPr>
            <w:tcW w:w="1492" w:type="dxa"/>
            <w:tcBorders>
              <w:top w:val="single" w:color="000000" w:sz="10" w:space="0"/>
              <w:left w:val="single" w:color="000000" w:sz="10" w:space="0"/>
              <w:bottom w:val="single" w:color="000000" w:sz="0" w:space="0"/>
              <w:right w:val="single" w:color="000000" w:sz="10" w:space="0"/>
            </w:tcBorders>
            <w:tcMar>
              <w:top w:w="0" w:type="dxa"/>
              <w:left w:w="0" w:type="dxa"/>
              <w:bottom w:w="0" w:type="dxa"/>
              <w:right w:w="0" w:type="dxa"/>
            </w:tcMar>
            <w:vAlign w:val="center"/>
          </w:tcPr>
          <w:p w14:paraId="72DDFED4">
            <w:pPr>
              <w:widowControl w:val="0"/>
              <w:jc w:val="center"/>
              <w:rPr>
                <w:rFonts w:hint="eastAsia" w:ascii="宋体" w:hAnsi="宋体" w:eastAsia="宋体" w:cs="宋体"/>
                <w:b/>
                <w:bCs/>
                <w:sz w:val="18"/>
                <w:szCs w:val="18"/>
              </w:rPr>
            </w:pPr>
            <w:r>
              <w:rPr>
                <w:rFonts w:hint="eastAsia" w:ascii="宋体" w:hAnsi="宋体" w:eastAsia="宋体" w:cs="宋体"/>
                <w:b/>
                <w:bCs/>
                <w:sz w:val="18"/>
                <w:szCs w:val="18"/>
              </w:rPr>
              <w:t>数量</w:t>
            </w:r>
          </w:p>
        </w:tc>
      </w:tr>
      <w:tr w14:paraId="0481F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93" w:type="dxa"/>
            <w:tcBorders>
              <w:top w:val="single" w:color="000000" w:sz="10" w:space="0"/>
              <w:left w:val="single" w:color="000000" w:sz="10" w:space="0"/>
              <w:bottom w:val="single" w:color="000000" w:sz="0" w:space="0"/>
              <w:right w:val="single" w:color="000000" w:sz="10" w:space="0"/>
            </w:tcBorders>
            <w:tcMar>
              <w:top w:w="0" w:type="dxa"/>
              <w:left w:w="0" w:type="dxa"/>
              <w:bottom w:w="0" w:type="dxa"/>
              <w:right w:w="0" w:type="dxa"/>
            </w:tcMar>
            <w:vAlign w:val="center"/>
          </w:tcPr>
          <w:p w14:paraId="6498261F">
            <w:pPr>
              <w:widowControl w:val="0"/>
              <w:jc w:val="center"/>
              <w:rPr>
                <w:rFonts w:hint="eastAsia" w:ascii="宋体" w:hAnsi="宋体" w:eastAsia="宋体" w:cs="宋体"/>
                <w:sz w:val="18"/>
                <w:szCs w:val="18"/>
              </w:rPr>
            </w:pPr>
          </w:p>
        </w:tc>
        <w:tc>
          <w:tcPr>
            <w:tcW w:w="4747" w:type="dxa"/>
            <w:tcBorders>
              <w:top w:val="single" w:color="000000" w:sz="10" w:space="0"/>
              <w:left w:val="single" w:color="000000" w:sz="10" w:space="0"/>
              <w:bottom w:val="single" w:color="000000" w:sz="0" w:space="0"/>
              <w:right w:val="single" w:color="000000" w:sz="10" w:space="0"/>
            </w:tcBorders>
            <w:tcMar>
              <w:top w:w="0" w:type="dxa"/>
              <w:left w:w="0" w:type="dxa"/>
              <w:bottom w:w="0" w:type="dxa"/>
              <w:right w:w="0" w:type="dxa"/>
            </w:tcMar>
            <w:vAlign w:val="center"/>
          </w:tcPr>
          <w:p w14:paraId="296FFA81">
            <w:pPr>
              <w:widowControl w:val="0"/>
              <w:jc w:val="center"/>
              <w:rPr>
                <w:rFonts w:hint="eastAsia" w:ascii="宋体" w:hAnsi="宋体" w:eastAsia="宋体" w:cs="宋体"/>
                <w:sz w:val="18"/>
                <w:szCs w:val="18"/>
              </w:rPr>
            </w:pPr>
            <w:r>
              <w:rPr>
                <w:rFonts w:hint="eastAsia" w:ascii="宋体" w:hAnsi="宋体" w:eastAsia="宋体" w:cs="宋体"/>
                <w:sz w:val="18"/>
                <w:szCs w:val="18"/>
              </w:rPr>
              <w:t>设备及安装工程</w:t>
            </w:r>
          </w:p>
        </w:tc>
        <w:tc>
          <w:tcPr>
            <w:tcW w:w="1473" w:type="dxa"/>
            <w:tcBorders>
              <w:top w:val="single" w:color="000000" w:sz="10" w:space="0"/>
              <w:left w:val="single" w:color="000000" w:sz="10" w:space="0"/>
              <w:bottom w:val="single" w:color="000000" w:sz="0" w:space="0"/>
              <w:right w:val="single" w:color="000000" w:sz="10" w:space="0"/>
            </w:tcBorders>
            <w:tcMar>
              <w:top w:w="0" w:type="dxa"/>
              <w:left w:w="0" w:type="dxa"/>
              <w:bottom w:w="0" w:type="dxa"/>
              <w:right w:w="0" w:type="dxa"/>
            </w:tcMar>
            <w:vAlign w:val="center"/>
          </w:tcPr>
          <w:p w14:paraId="5785F91C">
            <w:pPr>
              <w:widowControl w:val="0"/>
              <w:jc w:val="center"/>
              <w:rPr>
                <w:rFonts w:hint="eastAsia" w:ascii="宋体" w:hAnsi="宋体" w:eastAsia="宋体" w:cs="宋体"/>
                <w:sz w:val="18"/>
                <w:szCs w:val="18"/>
              </w:rPr>
            </w:pPr>
          </w:p>
        </w:tc>
        <w:tc>
          <w:tcPr>
            <w:tcW w:w="1492" w:type="dxa"/>
            <w:tcBorders>
              <w:top w:val="single" w:color="000000" w:sz="10" w:space="0"/>
              <w:left w:val="single" w:color="000000" w:sz="10" w:space="0"/>
              <w:bottom w:val="single" w:color="000000" w:sz="0" w:space="0"/>
              <w:right w:val="single" w:color="000000" w:sz="10" w:space="0"/>
            </w:tcBorders>
            <w:tcMar>
              <w:top w:w="0" w:type="dxa"/>
              <w:left w:w="0" w:type="dxa"/>
              <w:bottom w:w="0" w:type="dxa"/>
              <w:right w:w="0" w:type="dxa"/>
            </w:tcMar>
            <w:vAlign w:val="center"/>
          </w:tcPr>
          <w:p w14:paraId="18E4B61D">
            <w:pPr>
              <w:widowControl w:val="0"/>
              <w:jc w:val="center"/>
              <w:rPr>
                <w:rFonts w:hint="eastAsia" w:ascii="宋体" w:hAnsi="宋体" w:eastAsia="宋体" w:cs="宋体"/>
                <w:sz w:val="18"/>
                <w:szCs w:val="18"/>
              </w:rPr>
            </w:pPr>
          </w:p>
        </w:tc>
      </w:tr>
      <w:tr w14:paraId="1490B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7A66E40F">
            <w:pPr>
              <w:widowControl w:val="0"/>
              <w:jc w:val="center"/>
              <w:rPr>
                <w:rFonts w:hint="eastAsia" w:ascii="宋体" w:hAnsi="宋体" w:eastAsia="宋体" w:cs="宋体"/>
                <w:sz w:val="18"/>
                <w:szCs w:val="18"/>
              </w:rPr>
            </w:pPr>
            <w:r>
              <w:rPr>
                <w:rFonts w:hint="eastAsia" w:ascii="宋体" w:hAnsi="宋体" w:eastAsia="宋体" w:cs="宋体"/>
                <w:sz w:val="18"/>
                <w:szCs w:val="18"/>
              </w:rPr>
              <w:t>（一）</w:t>
            </w: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5AD80DFD">
            <w:pPr>
              <w:widowControl w:val="0"/>
              <w:jc w:val="center"/>
              <w:rPr>
                <w:rFonts w:hint="eastAsia" w:ascii="宋体" w:hAnsi="宋体" w:eastAsia="宋体" w:cs="宋体"/>
                <w:sz w:val="18"/>
                <w:szCs w:val="18"/>
              </w:rPr>
            </w:pPr>
            <w:r>
              <w:rPr>
                <w:rFonts w:hint="eastAsia" w:ascii="宋体" w:hAnsi="宋体" w:eastAsia="宋体" w:cs="宋体"/>
                <w:sz w:val="18"/>
                <w:szCs w:val="18"/>
              </w:rPr>
              <w:t>发电厂设备及安装工程</w:t>
            </w:r>
          </w:p>
        </w:tc>
        <w:tc>
          <w:tcPr>
            <w:tcW w:w="1473" w:type="dxa"/>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0C9B3035">
            <w:pPr>
              <w:widowControl w:val="0"/>
              <w:jc w:val="center"/>
              <w:rPr>
                <w:rFonts w:hint="eastAsia" w:ascii="宋体" w:hAnsi="宋体" w:eastAsia="宋体" w:cs="宋体"/>
                <w:sz w:val="18"/>
                <w:szCs w:val="18"/>
              </w:rPr>
            </w:pPr>
          </w:p>
        </w:tc>
        <w:tc>
          <w:tcPr>
            <w:tcW w:w="1492" w:type="dxa"/>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76ED4A39">
            <w:pPr>
              <w:widowControl w:val="0"/>
              <w:jc w:val="center"/>
              <w:rPr>
                <w:rFonts w:hint="eastAsia" w:ascii="宋体" w:hAnsi="宋体" w:eastAsia="宋体" w:cs="宋体"/>
                <w:sz w:val="18"/>
                <w:szCs w:val="18"/>
              </w:rPr>
            </w:pPr>
          </w:p>
        </w:tc>
      </w:tr>
      <w:tr w14:paraId="60342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20E1EDAB">
            <w:pPr>
              <w:widowControl w:val="0"/>
              <w:jc w:val="center"/>
              <w:rPr>
                <w:rFonts w:hint="eastAsia" w:ascii="宋体" w:hAnsi="宋体" w:eastAsia="宋体" w:cs="宋体"/>
                <w:sz w:val="18"/>
                <w:szCs w:val="18"/>
              </w:rPr>
            </w:pPr>
            <w:r>
              <w:rPr>
                <w:rFonts w:hint="eastAsia" w:ascii="宋体" w:hAnsi="宋体" w:eastAsia="宋体" w:cs="宋体"/>
                <w:sz w:val="18"/>
                <w:szCs w:val="18"/>
              </w:rPr>
              <w:t>一</w:t>
            </w: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54AD4AC1">
            <w:pPr>
              <w:widowControl w:val="0"/>
              <w:jc w:val="center"/>
              <w:rPr>
                <w:rFonts w:hint="eastAsia" w:ascii="宋体" w:hAnsi="宋体" w:eastAsia="宋体" w:cs="宋体"/>
                <w:sz w:val="18"/>
                <w:szCs w:val="18"/>
              </w:rPr>
            </w:pPr>
            <w:r>
              <w:rPr>
                <w:rFonts w:hint="eastAsia" w:ascii="宋体" w:hAnsi="宋体" w:eastAsia="宋体" w:cs="宋体"/>
                <w:sz w:val="18"/>
                <w:szCs w:val="18"/>
              </w:rPr>
              <w:t>光伏组件</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2B547C9F">
            <w:pPr>
              <w:widowControl w:val="0"/>
              <w:jc w:val="center"/>
              <w:rPr>
                <w:rFonts w:hint="eastAsia" w:ascii="宋体" w:hAnsi="宋体" w:eastAsia="宋体" w:cs="宋体"/>
                <w:sz w:val="18"/>
                <w:szCs w:val="18"/>
              </w:rPr>
            </w:pP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2C6F62DC">
            <w:pPr>
              <w:widowControl w:val="0"/>
              <w:jc w:val="center"/>
              <w:rPr>
                <w:rFonts w:hint="eastAsia" w:ascii="宋体" w:hAnsi="宋体" w:eastAsia="宋体" w:cs="宋体"/>
                <w:sz w:val="18"/>
                <w:szCs w:val="18"/>
              </w:rPr>
            </w:pPr>
          </w:p>
        </w:tc>
      </w:tr>
      <w:tr w14:paraId="6A771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07A179D2">
            <w:pPr>
              <w:widowControl w:val="0"/>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3893AFA9">
            <w:pPr>
              <w:widowControl w:val="0"/>
              <w:jc w:val="center"/>
              <w:rPr>
                <w:rFonts w:hint="eastAsia" w:ascii="宋体" w:hAnsi="宋体" w:eastAsia="宋体" w:cs="宋体"/>
                <w:sz w:val="18"/>
                <w:szCs w:val="18"/>
              </w:rPr>
            </w:pPr>
            <w:r>
              <w:rPr>
                <w:rFonts w:hint="eastAsia" w:ascii="宋体" w:hAnsi="宋体" w:eastAsia="宋体" w:cs="宋体"/>
                <w:sz w:val="18"/>
                <w:szCs w:val="18"/>
              </w:rPr>
              <w:t>单晶N型640Wp单晶N型双玻</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090D63B3">
            <w:pPr>
              <w:widowControl w:val="0"/>
              <w:jc w:val="center"/>
              <w:rPr>
                <w:rFonts w:hint="eastAsia" w:ascii="宋体" w:hAnsi="宋体" w:eastAsia="宋体" w:cs="宋体"/>
                <w:sz w:val="18"/>
                <w:szCs w:val="18"/>
              </w:rPr>
            </w:pPr>
            <w:r>
              <w:rPr>
                <w:rFonts w:hint="eastAsia" w:ascii="宋体" w:hAnsi="宋体" w:eastAsia="宋体" w:cs="宋体"/>
                <w:sz w:val="18"/>
                <w:szCs w:val="18"/>
              </w:rPr>
              <w:t>块</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70F3FFEC">
            <w:pPr>
              <w:widowControl w:val="0"/>
              <w:jc w:val="center"/>
              <w:rPr>
                <w:rFonts w:hint="eastAsia" w:ascii="宋体" w:hAnsi="宋体" w:eastAsia="宋体" w:cs="宋体"/>
                <w:sz w:val="18"/>
                <w:szCs w:val="18"/>
              </w:rPr>
            </w:pPr>
            <w:r>
              <w:rPr>
                <w:rFonts w:hint="eastAsia" w:ascii="宋体" w:hAnsi="宋体" w:eastAsia="宋体" w:cs="宋体"/>
                <w:sz w:val="18"/>
                <w:szCs w:val="18"/>
              </w:rPr>
              <w:t>11168</w:t>
            </w:r>
          </w:p>
        </w:tc>
      </w:tr>
      <w:tr w14:paraId="6ABEE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2EE6CE56">
            <w:pPr>
              <w:widowControl w:val="0"/>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5A5D3AC8">
            <w:pPr>
              <w:widowControl w:val="0"/>
              <w:jc w:val="center"/>
              <w:rPr>
                <w:rFonts w:hint="eastAsia" w:ascii="宋体" w:hAnsi="宋体" w:eastAsia="宋体" w:cs="宋体"/>
                <w:sz w:val="18"/>
                <w:szCs w:val="18"/>
              </w:rPr>
            </w:pPr>
            <w:r>
              <w:rPr>
                <w:rFonts w:hint="eastAsia" w:ascii="宋体" w:hAnsi="宋体" w:eastAsia="宋体" w:cs="宋体"/>
                <w:sz w:val="18"/>
                <w:szCs w:val="18"/>
              </w:rPr>
              <w:t>MC4连接器</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649899F2">
            <w:pPr>
              <w:widowControl w:val="0"/>
              <w:jc w:val="center"/>
              <w:rPr>
                <w:rFonts w:hint="eastAsia" w:ascii="宋体" w:hAnsi="宋体" w:eastAsia="宋体" w:cs="宋体"/>
                <w:sz w:val="18"/>
                <w:szCs w:val="18"/>
              </w:rPr>
            </w:pPr>
            <w:r>
              <w:rPr>
                <w:rFonts w:hint="eastAsia" w:ascii="宋体" w:hAnsi="宋体" w:eastAsia="宋体" w:cs="宋体"/>
                <w:sz w:val="18"/>
                <w:szCs w:val="18"/>
              </w:rPr>
              <w:t>套</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7A8778E9">
            <w:pPr>
              <w:widowControl w:val="0"/>
              <w:jc w:val="center"/>
              <w:rPr>
                <w:rFonts w:hint="eastAsia" w:ascii="宋体" w:hAnsi="宋体" w:eastAsia="宋体" w:cs="宋体"/>
                <w:sz w:val="18"/>
                <w:szCs w:val="18"/>
              </w:rPr>
            </w:pPr>
            <w:r>
              <w:rPr>
                <w:rFonts w:hint="eastAsia" w:ascii="宋体" w:hAnsi="宋体" w:eastAsia="宋体" w:cs="宋体"/>
                <w:sz w:val="18"/>
                <w:szCs w:val="18"/>
              </w:rPr>
              <w:t>610</w:t>
            </w:r>
          </w:p>
        </w:tc>
      </w:tr>
      <w:tr w14:paraId="03995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03875968">
            <w:pPr>
              <w:widowControl w:val="0"/>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526BFC62">
            <w:pPr>
              <w:widowControl w:val="0"/>
              <w:jc w:val="center"/>
              <w:rPr>
                <w:rFonts w:hint="eastAsia" w:ascii="宋体" w:hAnsi="宋体" w:eastAsia="宋体" w:cs="宋体"/>
                <w:sz w:val="18"/>
                <w:szCs w:val="18"/>
              </w:rPr>
            </w:pPr>
            <w:r>
              <w:rPr>
                <w:rFonts w:hint="eastAsia" w:ascii="宋体" w:hAnsi="宋体" w:eastAsia="宋体" w:cs="宋体"/>
                <w:sz w:val="18"/>
                <w:szCs w:val="18"/>
              </w:rPr>
              <w:t>组串式逆变器100kW，1100V</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20B5F66B">
            <w:pPr>
              <w:widowControl w:val="0"/>
              <w:jc w:val="center"/>
              <w:rPr>
                <w:rFonts w:hint="eastAsia" w:ascii="宋体" w:hAnsi="宋体" w:eastAsia="宋体" w:cs="宋体"/>
                <w:sz w:val="18"/>
                <w:szCs w:val="18"/>
              </w:rPr>
            </w:pPr>
            <w:r>
              <w:rPr>
                <w:rFonts w:hint="eastAsia" w:ascii="宋体" w:hAnsi="宋体" w:eastAsia="宋体" w:cs="宋体"/>
                <w:sz w:val="18"/>
                <w:szCs w:val="18"/>
              </w:rPr>
              <w:t>台</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3114F321">
            <w:pPr>
              <w:widowControl w:val="0"/>
              <w:jc w:val="center"/>
              <w:rPr>
                <w:rFonts w:hint="eastAsia" w:ascii="宋体" w:hAnsi="宋体" w:eastAsia="宋体" w:cs="宋体"/>
                <w:sz w:val="18"/>
                <w:szCs w:val="18"/>
              </w:rPr>
            </w:pPr>
            <w:r>
              <w:rPr>
                <w:rFonts w:hint="eastAsia" w:ascii="宋体" w:hAnsi="宋体" w:eastAsia="宋体" w:cs="宋体"/>
                <w:sz w:val="18"/>
                <w:szCs w:val="18"/>
              </w:rPr>
              <w:t>30</w:t>
            </w:r>
          </w:p>
        </w:tc>
      </w:tr>
      <w:tr w14:paraId="512F8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6A3FACD0">
            <w:pPr>
              <w:widowControl w:val="0"/>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65694EC6">
            <w:pPr>
              <w:widowControl w:val="0"/>
              <w:jc w:val="center"/>
              <w:rPr>
                <w:rFonts w:hint="eastAsia" w:ascii="宋体" w:hAnsi="宋体" w:eastAsia="宋体" w:cs="宋体"/>
                <w:sz w:val="18"/>
                <w:szCs w:val="18"/>
              </w:rPr>
            </w:pPr>
            <w:r>
              <w:rPr>
                <w:rFonts w:hint="eastAsia" w:ascii="宋体" w:hAnsi="宋体" w:eastAsia="宋体" w:cs="宋体"/>
                <w:sz w:val="18"/>
                <w:szCs w:val="18"/>
              </w:rPr>
              <w:t>组串式逆变器110kW，1100V</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5BC37EB2">
            <w:pPr>
              <w:widowControl w:val="0"/>
              <w:jc w:val="center"/>
              <w:rPr>
                <w:rFonts w:hint="eastAsia" w:ascii="宋体" w:hAnsi="宋体" w:eastAsia="宋体" w:cs="宋体"/>
                <w:sz w:val="18"/>
                <w:szCs w:val="18"/>
              </w:rPr>
            </w:pPr>
            <w:r>
              <w:rPr>
                <w:rFonts w:hint="eastAsia" w:ascii="宋体" w:hAnsi="宋体" w:eastAsia="宋体" w:cs="宋体"/>
                <w:sz w:val="18"/>
                <w:szCs w:val="18"/>
              </w:rPr>
              <w:t>台</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425CC397">
            <w:pPr>
              <w:widowControl w:val="0"/>
              <w:jc w:val="center"/>
              <w:rPr>
                <w:rFonts w:hint="eastAsia" w:ascii="宋体" w:hAnsi="宋体" w:eastAsia="宋体" w:cs="宋体"/>
                <w:sz w:val="18"/>
                <w:szCs w:val="18"/>
              </w:rPr>
            </w:pPr>
            <w:r>
              <w:rPr>
                <w:rFonts w:hint="eastAsia" w:ascii="宋体" w:hAnsi="宋体" w:eastAsia="宋体" w:cs="宋体"/>
                <w:sz w:val="18"/>
                <w:szCs w:val="18"/>
              </w:rPr>
              <w:t>27</w:t>
            </w:r>
          </w:p>
        </w:tc>
      </w:tr>
      <w:tr w14:paraId="38473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5AF4C9B5">
            <w:pPr>
              <w:widowControl w:val="0"/>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47F3EAA6">
            <w:pPr>
              <w:widowControl w:val="0"/>
              <w:jc w:val="center"/>
              <w:rPr>
                <w:rFonts w:hint="eastAsia" w:ascii="宋体" w:hAnsi="宋体" w:eastAsia="宋体" w:cs="宋体"/>
                <w:sz w:val="18"/>
                <w:szCs w:val="18"/>
              </w:rPr>
            </w:pPr>
            <w:r>
              <w:rPr>
                <w:rFonts w:hint="eastAsia" w:ascii="宋体" w:hAnsi="宋体" w:eastAsia="宋体" w:cs="宋体"/>
                <w:sz w:val="18"/>
                <w:szCs w:val="18"/>
              </w:rPr>
              <w:t>逆变器安装支架</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609392D9">
            <w:pPr>
              <w:widowControl w:val="0"/>
              <w:jc w:val="center"/>
              <w:rPr>
                <w:rFonts w:hint="eastAsia" w:ascii="宋体" w:hAnsi="宋体" w:eastAsia="宋体" w:cs="宋体"/>
                <w:sz w:val="18"/>
                <w:szCs w:val="18"/>
              </w:rPr>
            </w:pPr>
            <w:r>
              <w:rPr>
                <w:rFonts w:hint="eastAsia" w:ascii="宋体" w:hAnsi="宋体" w:eastAsia="宋体" w:cs="宋体"/>
                <w:sz w:val="18"/>
                <w:szCs w:val="18"/>
              </w:rPr>
              <w:t>套</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73B10561">
            <w:pPr>
              <w:widowControl w:val="0"/>
              <w:jc w:val="center"/>
              <w:rPr>
                <w:rFonts w:hint="eastAsia" w:ascii="宋体" w:hAnsi="宋体" w:eastAsia="宋体" w:cs="宋体"/>
                <w:sz w:val="18"/>
                <w:szCs w:val="18"/>
              </w:rPr>
            </w:pPr>
            <w:r>
              <w:rPr>
                <w:rFonts w:hint="eastAsia" w:ascii="宋体" w:hAnsi="宋体" w:eastAsia="宋体" w:cs="宋体"/>
                <w:sz w:val="18"/>
                <w:szCs w:val="18"/>
              </w:rPr>
              <w:t>57</w:t>
            </w:r>
          </w:p>
        </w:tc>
      </w:tr>
      <w:tr w14:paraId="15B18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4C4438F7">
            <w:pPr>
              <w:widowControl w:val="0"/>
              <w:jc w:val="center"/>
              <w:rPr>
                <w:rFonts w:hint="eastAsia" w:ascii="宋体" w:hAnsi="宋体" w:eastAsia="宋体" w:cs="宋体"/>
                <w:sz w:val="18"/>
                <w:szCs w:val="18"/>
              </w:rPr>
            </w:pPr>
            <w:r>
              <w:rPr>
                <w:rFonts w:hint="eastAsia" w:ascii="宋体" w:hAnsi="宋体" w:eastAsia="宋体" w:cs="宋体"/>
                <w:sz w:val="18"/>
                <w:szCs w:val="18"/>
              </w:rPr>
              <w:t>二</w:t>
            </w: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190A53F1">
            <w:pPr>
              <w:widowControl w:val="0"/>
              <w:jc w:val="center"/>
              <w:rPr>
                <w:rFonts w:hint="eastAsia" w:ascii="宋体" w:hAnsi="宋体" w:eastAsia="宋体" w:cs="宋体"/>
                <w:sz w:val="18"/>
                <w:szCs w:val="18"/>
              </w:rPr>
            </w:pPr>
            <w:r>
              <w:rPr>
                <w:rFonts w:hint="eastAsia" w:ascii="宋体" w:hAnsi="宋体" w:eastAsia="宋体" w:cs="宋体"/>
                <w:sz w:val="18"/>
                <w:szCs w:val="18"/>
              </w:rPr>
              <w:t>接入部分</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51F66EC7">
            <w:pPr>
              <w:widowControl w:val="0"/>
              <w:jc w:val="center"/>
              <w:rPr>
                <w:rFonts w:hint="eastAsia" w:ascii="宋体" w:hAnsi="宋体" w:eastAsia="宋体" w:cs="宋体"/>
                <w:sz w:val="18"/>
                <w:szCs w:val="18"/>
              </w:rPr>
            </w:pP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15BBEE2D">
            <w:pPr>
              <w:widowControl w:val="0"/>
              <w:jc w:val="center"/>
              <w:rPr>
                <w:rFonts w:hint="eastAsia" w:ascii="宋体" w:hAnsi="宋体" w:eastAsia="宋体" w:cs="宋体"/>
                <w:sz w:val="18"/>
                <w:szCs w:val="18"/>
              </w:rPr>
            </w:pPr>
          </w:p>
        </w:tc>
      </w:tr>
      <w:tr w14:paraId="31252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78B6CE02">
            <w:pPr>
              <w:widowControl w:val="0"/>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08A76226">
            <w:pPr>
              <w:widowControl w:val="0"/>
              <w:jc w:val="center"/>
              <w:rPr>
                <w:rFonts w:hint="eastAsia" w:ascii="宋体" w:hAnsi="宋体" w:eastAsia="宋体" w:cs="宋体"/>
                <w:sz w:val="18"/>
                <w:szCs w:val="18"/>
              </w:rPr>
            </w:pPr>
            <w:r>
              <w:rPr>
                <w:rFonts w:hint="eastAsia" w:ascii="宋体" w:hAnsi="宋体" w:eastAsia="宋体" w:cs="宋体"/>
                <w:sz w:val="18"/>
                <w:szCs w:val="18"/>
              </w:rPr>
              <w:t>10kV并网柜KYN28A-12</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367E9720">
            <w:pPr>
              <w:widowControl w:val="0"/>
              <w:jc w:val="center"/>
              <w:rPr>
                <w:rFonts w:hint="eastAsia" w:ascii="宋体" w:hAnsi="宋体" w:eastAsia="宋体" w:cs="宋体"/>
                <w:sz w:val="18"/>
                <w:szCs w:val="18"/>
              </w:rPr>
            </w:pPr>
            <w:r>
              <w:rPr>
                <w:rFonts w:hint="eastAsia" w:ascii="宋体" w:hAnsi="宋体" w:eastAsia="宋体" w:cs="宋体"/>
                <w:sz w:val="18"/>
                <w:szCs w:val="18"/>
              </w:rPr>
              <w:t>面</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546487E8">
            <w:pPr>
              <w:widowControl w:val="0"/>
              <w:jc w:val="center"/>
              <w:rPr>
                <w:rFonts w:hint="eastAsia" w:ascii="宋体" w:hAnsi="宋体" w:eastAsia="宋体" w:cs="宋体"/>
                <w:sz w:val="18"/>
                <w:szCs w:val="18"/>
              </w:rPr>
            </w:pPr>
            <w:r>
              <w:rPr>
                <w:rFonts w:hint="eastAsia" w:ascii="宋体" w:hAnsi="宋体" w:eastAsia="宋体" w:cs="宋体"/>
                <w:sz w:val="18"/>
                <w:szCs w:val="18"/>
              </w:rPr>
              <w:t>1</w:t>
            </w:r>
          </w:p>
        </w:tc>
      </w:tr>
      <w:tr w14:paraId="515F4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721D1296">
            <w:pPr>
              <w:widowControl w:val="0"/>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4CB02A3F">
            <w:pPr>
              <w:widowControl w:val="0"/>
              <w:jc w:val="center"/>
              <w:rPr>
                <w:rFonts w:hint="eastAsia" w:ascii="宋体" w:hAnsi="宋体" w:eastAsia="宋体" w:cs="宋体"/>
                <w:sz w:val="18"/>
                <w:szCs w:val="18"/>
              </w:rPr>
            </w:pPr>
            <w:r>
              <w:rPr>
                <w:rFonts w:hint="eastAsia" w:ascii="宋体" w:hAnsi="宋体" w:eastAsia="宋体" w:cs="宋体"/>
                <w:sz w:val="18"/>
                <w:szCs w:val="18"/>
              </w:rPr>
              <w:t>开关站一次舱出线、计量、PT、进线、SVG、站用变</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258DDDE8">
            <w:pPr>
              <w:widowControl w:val="0"/>
              <w:jc w:val="center"/>
              <w:rPr>
                <w:rFonts w:hint="eastAsia" w:ascii="宋体" w:hAnsi="宋体" w:eastAsia="宋体" w:cs="宋体"/>
                <w:sz w:val="18"/>
                <w:szCs w:val="18"/>
              </w:rPr>
            </w:pPr>
            <w:r>
              <w:rPr>
                <w:rFonts w:hint="eastAsia" w:ascii="宋体" w:hAnsi="宋体" w:eastAsia="宋体" w:cs="宋体"/>
                <w:sz w:val="18"/>
                <w:szCs w:val="18"/>
              </w:rPr>
              <w:t>座</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52710535">
            <w:pPr>
              <w:widowControl w:val="0"/>
              <w:jc w:val="center"/>
              <w:rPr>
                <w:rFonts w:hint="eastAsia" w:ascii="宋体" w:hAnsi="宋体" w:eastAsia="宋体" w:cs="宋体"/>
                <w:sz w:val="18"/>
                <w:szCs w:val="18"/>
              </w:rPr>
            </w:pPr>
            <w:r>
              <w:rPr>
                <w:rFonts w:hint="eastAsia" w:ascii="宋体" w:hAnsi="宋体" w:eastAsia="宋体" w:cs="宋体"/>
                <w:sz w:val="18"/>
                <w:szCs w:val="18"/>
              </w:rPr>
              <w:t>1</w:t>
            </w:r>
          </w:p>
        </w:tc>
      </w:tr>
      <w:tr w14:paraId="65317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17CB3FAE">
            <w:pPr>
              <w:widowControl w:val="0"/>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109C9ED1">
            <w:pPr>
              <w:widowControl w:val="0"/>
              <w:jc w:val="center"/>
              <w:rPr>
                <w:rFonts w:hint="eastAsia" w:ascii="宋体" w:hAnsi="宋体" w:eastAsia="宋体" w:cs="宋体"/>
                <w:sz w:val="18"/>
                <w:szCs w:val="18"/>
              </w:rPr>
            </w:pPr>
            <w:r>
              <w:rPr>
                <w:rFonts w:hint="eastAsia" w:ascii="宋体" w:hAnsi="宋体" w:eastAsia="宋体" w:cs="宋体"/>
                <w:sz w:val="18"/>
                <w:szCs w:val="18"/>
              </w:rPr>
              <w:t>开关站二次舱</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40BEC97E">
            <w:pPr>
              <w:widowControl w:val="0"/>
              <w:jc w:val="center"/>
              <w:rPr>
                <w:rFonts w:hint="eastAsia" w:ascii="宋体" w:hAnsi="宋体" w:eastAsia="宋体" w:cs="宋体"/>
                <w:sz w:val="18"/>
                <w:szCs w:val="18"/>
              </w:rPr>
            </w:pPr>
            <w:r>
              <w:rPr>
                <w:rFonts w:hint="eastAsia" w:ascii="宋体" w:hAnsi="宋体" w:eastAsia="宋体" w:cs="宋体"/>
                <w:sz w:val="18"/>
                <w:szCs w:val="18"/>
              </w:rPr>
              <w:t>座</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6213BAF5">
            <w:pPr>
              <w:widowControl w:val="0"/>
              <w:jc w:val="center"/>
              <w:rPr>
                <w:rFonts w:hint="eastAsia" w:ascii="宋体" w:hAnsi="宋体" w:eastAsia="宋体" w:cs="宋体"/>
                <w:sz w:val="18"/>
                <w:szCs w:val="18"/>
              </w:rPr>
            </w:pPr>
            <w:r>
              <w:rPr>
                <w:rFonts w:hint="eastAsia" w:ascii="宋体" w:hAnsi="宋体" w:eastAsia="宋体" w:cs="宋体"/>
                <w:sz w:val="18"/>
                <w:szCs w:val="18"/>
              </w:rPr>
              <w:t>1</w:t>
            </w:r>
          </w:p>
        </w:tc>
      </w:tr>
      <w:tr w14:paraId="290B4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256440FF">
            <w:pPr>
              <w:widowControl w:val="0"/>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0F3E22F2">
            <w:pPr>
              <w:widowControl w:val="0"/>
              <w:jc w:val="center"/>
              <w:rPr>
                <w:rFonts w:hint="eastAsia" w:ascii="宋体" w:hAnsi="宋体" w:eastAsia="宋体" w:cs="宋体"/>
                <w:sz w:val="18"/>
                <w:szCs w:val="18"/>
              </w:rPr>
            </w:pPr>
            <w:r>
              <w:rPr>
                <w:rFonts w:hint="eastAsia" w:ascii="宋体" w:hAnsi="宋体" w:eastAsia="宋体" w:cs="宋体"/>
                <w:sz w:val="18"/>
                <w:szCs w:val="18"/>
              </w:rPr>
              <w:t>SVG成套设备</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212FA9C8">
            <w:pPr>
              <w:widowControl w:val="0"/>
              <w:jc w:val="center"/>
              <w:rPr>
                <w:rFonts w:hint="eastAsia" w:ascii="宋体" w:hAnsi="宋体" w:eastAsia="宋体" w:cs="宋体"/>
                <w:sz w:val="18"/>
                <w:szCs w:val="18"/>
              </w:rPr>
            </w:pPr>
            <w:r>
              <w:rPr>
                <w:rFonts w:hint="eastAsia" w:ascii="宋体" w:hAnsi="宋体" w:eastAsia="宋体" w:cs="宋体"/>
                <w:sz w:val="18"/>
                <w:szCs w:val="18"/>
              </w:rPr>
              <w:t>套</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7D74B16C">
            <w:pPr>
              <w:widowControl w:val="0"/>
              <w:jc w:val="center"/>
              <w:rPr>
                <w:rFonts w:hint="eastAsia" w:ascii="宋体" w:hAnsi="宋体" w:eastAsia="宋体" w:cs="宋体"/>
                <w:sz w:val="18"/>
                <w:szCs w:val="18"/>
              </w:rPr>
            </w:pPr>
            <w:r>
              <w:rPr>
                <w:rFonts w:hint="eastAsia" w:ascii="宋体" w:hAnsi="宋体" w:eastAsia="宋体" w:cs="宋体"/>
                <w:sz w:val="18"/>
                <w:szCs w:val="18"/>
              </w:rPr>
              <w:t>1</w:t>
            </w:r>
          </w:p>
        </w:tc>
      </w:tr>
      <w:tr w14:paraId="7A998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005AE808">
            <w:pPr>
              <w:widowControl w:val="0"/>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24CDE475">
            <w:pPr>
              <w:widowControl w:val="0"/>
              <w:jc w:val="center"/>
              <w:rPr>
                <w:rFonts w:hint="eastAsia" w:ascii="宋体" w:hAnsi="宋体" w:eastAsia="宋体" w:cs="宋体"/>
                <w:sz w:val="18"/>
                <w:szCs w:val="18"/>
              </w:rPr>
            </w:pPr>
            <w:r>
              <w:rPr>
                <w:rFonts w:hint="eastAsia" w:ascii="宋体" w:hAnsi="宋体" w:eastAsia="宋体" w:cs="宋体"/>
                <w:sz w:val="18"/>
                <w:szCs w:val="18"/>
              </w:rPr>
              <w:t>接入系统报告</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161D9CB0">
            <w:pPr>
              <w:widowControl w:val="0"/>
              <w:jc w:val="center"/>
              <w:rPr>
                <w:rFonts w:hint="eastAsia" w:ascii="宋体" w:hAnsi="宋体" w:eastAsia="宋体" w:cs="宋体"/>
                <w:sz w:val="18"/>
                <w:szCs w:val="18"/>
              </w:rPr>
            </w:pPr>
            <w:r>
              <w:rPr>
                <w:rFonts w:hint="eastAsia" w:ascii="宋体" w:hAnsi="宋体" w:eastAsia="宋体" w:cs="宋体"/>
                <w:sz w:val="18"/>
                <w:szCs w:val="18"/>
              </w:rPr>
              <w:t>项</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358F5143">
            <w:pPr>
              <w:widowControl w:val="0"/>
              <w:jc w:val="center"/>
              <w:rPr>
                <w:rFonts w:hint="eastAsia" w:ascii="宋体" w:hAnsi="宋体" w:eastAsia="宋体" w:cs="宋体"/>
                <w:sz w:val="18"/>
                <w:szCs w:val="18"/>
              </w:rPr>
            </w:pPr>
            <w:r>
              <w:rPr>
                <w:rFonts w:hint="eastAsia" w:ascii="宋体" w:hAnsi="宋体" w:eastAsia="宋体" w:cs="宋体"/>
                <w:sz w:val="18"/>
                <w:szCs w:val="18"/>
              </w:rPr>
              <w:t>1</w:t>
            </w:r>
          </w:p>
        </w:tc>
      </w:tr>
      <w:tr w14:paraId="0E530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515A3C34">
            <w:pPr>
              <w:widowControl w:val="0"/>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00F7A9ED">
            <w:pPr>
              <w:widowControl w:val="0"/>
              <w:jc w:val="center"/>
              <w:rPr>
                <w:rFonts w:hint="eastAsia" w:ascii="宋体" w:hAnsi="宋体" w:eastAsia="宋体" w:cs="宋体"/>
                <w:sz w:val="18"/>
                <w:szCs w:val="18"/>
              </w:rPr>
            </w:pPr>
            <w:r>
              <w:rPr>
                <w:rFonts w:hint="eastAsia" w:ascii="宋体" w:hAnsi="宋体" w:eastAsia="宋体" w:cs="宋体"/>
                <w:sz w:val="18"/>
                <w:szCs w:val="18"/>
              </w:rPr>
              <w:t>直埋线缆</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3FF48072">
            <w:pPr>
              <w:widowControl w:val="0"/>
              <w:jc w:val="center"/>
              <w:rPr>
                <w:rFonts w:hint="eastAsia" w:ascii="宋体" w:hAnsi="宋体" w:eastAsia="宋体" w:cs="宋体"/>
                <w:sz w:val="18"/>
                <w:szCs w:val="18"/>
              </w:rPr>
            </w:pPr>
            <w:r>
              <w:rPr>
                <w:rFonts w:hint="eastAsia" w:ascii="宋体" w:hAnsi="宋体" w:eastAsia="宋体" w:cs="宋体"/>
                <w:sz w:val="18"/>
                <w:szCs w:val="18"/>
              </w:rPr>
              <w:t>km</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082E153D">
            <w:pPr>
              <w:widowControl w:val="0"/>
              <w:jc w:val="center"/>
              <w:rPr>
                <w:rFonts w:hint="eastAsia" w:ascii="宋体" w:hAnsi="宋体" w:eastAsia="宋体" w:cs="宋体"/>
                <w:sz w:val="18"/>
                <w:szCs w:val="18"/>
              </w:rPr>
            </w:pPr>
            <w:r>
              <w:rPr>
                <w:rFonts w:hint="eastAsia" w:ascii="宋体" w:hAnsi="宋体" w:eastAsia="宋体" w:cs="宋体"/>
                <w:sz w:val="18"/>
                <w:szCs w:val="18"/>
              </w:rPr>
              <w:t>2</w:t>
            </w:r>
          </w:p>
        </w:tc>
      </w:tr>
      <w:tr w14:paraId="676B6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1F056999">
            <w:pPr>
              <w:widowControl w:val="0"/>
              <w:jc w:val="center"/>
              <w:rPr>
                <w:rFonts w:hint="eastAsia" w:ascii="宋体" w:hAnsi="宋体" w:eastAsia="宋体" w:cs="宋体"/>
                <w:sz w:val="18"/>
                <w:szCs w:val="18"/>
              </w:rPr>
            </w:pPr>
            <w:r>
              <w:rPr>
                <w:rFonts w:hint="eastAsia" w:ascii="宋体" w:hAnsi="宋体" w:eastAsia="宋体" w:cs="宋体"/>
                <w:sz w:val="18"/>
                <w:szCs w:val="18"/>
              </w:rPr>
              <w:t>三</w:t>
            </w: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61890770">
            <w:pPr>
              <w:widowControl w:val="0"/>
              <w:jc w:val="center"/>
              <w:rPr>
                <w:rFonts w:hint="eastAsia" w:ascii="宋体" w:hAnsi="宋体" w:eastAsia="宋体" w:cs="宋体"/>
                <w:sz w:val="18"/>
                <w:szCs w:val="18"/>
              </w:rPr>
            </w:pPr>
            <w:r>
              <w:rPr>
                <w:rFonts w:hint="eastAsia" w:ascii="宋体" w:hAnsi="宋体" w:eastAsia="宋体" w:cs="宋体"/>
                <w:sz w:val="18"/>
                <w:szCs w:val="18"/>
              </w:rPr>
              <w:t>光伏专用升压</w:t>
            </w:r>
          </w:p>
          <w:p w14:paraId="377D1537">
            <w:pPr>
              <w:widowControl w:val="0"/>
              <w:jc w:val="center"/>
              <w:rPr>
                <w:rFonts w:hint="eastAsia" w:ascii="宋体" w:hAnsi="宋体" w:eastAsia="宋体" w:cs="宋体"/>
                <w:sz w:val="18"/>
                <w:szCs w:val="18"/>
              </w:rPr>
            </w:pPr>
            <w:r>
              <w:rPr>
                <w:rFonts w:hint="eastAsia" w:ascii="宋体" w:hAnsi="宋体" w:eastAsia="宋体" w:cs="宋体"/>
                <w:sz w:val="18"/>
                <w:szCs w:val="18"/>
              </w:rPr>
              <w:t>变</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7C414ABB">
            <w:pPr>
              <w:widowControl w:val="0"/>
              <w:jc w:val="center"/>
              <w:rPr>
                <w:rFonts w:hint="eastAsia" w:ascii="宋体" w:hAnsi="宋体" w:eastAsia="宋体" w:cs="宋体"/>
                <w:sz w:val="18"/>
                <w:szCs w:val="18"/>
              </w:rPr>
            </w:pP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27FF6FDF">
            <w:pPr>
              <w:widowControl w:val="0"/>
              <w:jc w:val="center"/>
              <w:rPr>
                <w:rFonts w:hint="eastAsia" w:ascii="宋体" w:hAnsi="宋体" w:eastAsia="宋体" w:cs="宋体"/>
                <w:sz w:val="18"/>
                <w:szCs w:val="18"/>
              </w:rPr>
            </w:pPr>
          </w:p>
        </w:tc>
      </w:tr>
      <w:tr w14:paraId="42B2C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13B25AD4">
            <w:pPr>
              <w:widowControl w:val="0"/>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3C2C7A64">
            <w:pPr>
              <w:widowControl w:val="0"/>
              <w:jc w:val="center"/>
              <w:rPr>
                <w:rFonts w:hint="eastAsia" w:ascii="宋体" w:hAnsi="宋体" w:eastAsia="宋体" w:cs="宋体"/>
                <w:sz w:val="18"/>
                <w:szCs w:val="18"/>
              </w:rPr>
            </w:pPr>
            <w:r>
              <w:rPr>
                <w:rFonts w:hint="eastAsia" w:ascii="宋体" w:hAnsi="宋体" w:eastAsia="宋体" w:cs="宋体"/>
                <w:sz w:val="18"/>
                <w:szCs w:val="18"/>
              </w:rPr>
              <w:t>箱式变电站SCB14-1600kVA,Dy11，Uk=6%，10±2x2.5%/0.4kV,高压柜、低压柜、站用电源柜、不间断电源柜</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073870F3">
            <w:pPr>
              <w:widowControl w:val="0"/>
              <w:jc w:val="center"/>
              <w:rPr>
                <w:rFonts w:hint="eastAsia" w:ascii="宋体" w:hAnsi="宋体" w:eastAsia="宋体" w:cs="宋体"/>
                <w:sz w:val="18"/>
                <w:szCs w:val="18"/>
              </w:rPr>
            </w:pPr>
            <w:r>
              <w:rPr>
                <w:rFonts w:hint="eastAsia" w:ascii="宋体" w:hAnsi="宋体" w:eastAsia="宋体" w:cs="宋体"/>
                <w:sz w:val="18"/>
                <w:szCs w:val="18"/>
              </w:rPr>
              <w:t>台</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3A25C66E">
            <w:pPr>
              <w:widowControl w:val="0"/>
              <w:jc w:val="center"/>
              <w:rPr>
                <w:rFonts w:hint="eastAsia" w:ascii="宋体" w:hAnsi="宋体" w:eastAsia="宋体" w:cs="宋体"/>
                <w:sz w:val="18"/>
                <w:szCs w:val="18"/>
              </w:rPr>
            </w:pPr>
            <w:r>
              <w:rPr>
                <w:rFonts w:hint="eastAsia" w:ascii="宋体" w:hAnsi="宋体" w:eastAsia="宋体" w:cs="宋体"/>
                <w:sz w:val="18"/>
                <w:szCs w:val="18"/>
              </w:rPr>
              <w:t>3</w:t>
            </w:r>
          </w:p>
        </w:tc>
      </w:tr>
      <w:tr w14:paraId="57958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03646C33">
            <w:pPr>
              <w:widowControl w:val="0"/>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66B61172">
            <w:pPr>
              <w:widowControl w:val="0"/>
              <w:jc w:val="center"/>
              <w:rPr>
                <w:rFonts w:hint="eastAsia" w:ascii="宋体" w:hAnsi="宋体" w:eastAsia="宋体" w:cs="宋体"/>
                <w:sz w:val="18"/>
                <w:szCs w:val="18"/>
              </w:rPr>
            </w:pPr>
            <w:r>
              <w:rPr>
                <w:rFonts w:hint="eastAsia" w:ascii="宋体" w:hAnsi="宋体" w:eastAsia="宋体" w:cs="宋体"/>
                <w:sz w:val="18"/>
                <w:szCs w:val="18"/>
              </w:rPr>
              <w:t>箱式变电站SCB14-1250kVA,Dy11，Uk=6%，10±2x2.5%/0.4kV,高压柜、低压柜、站用电源柜、不间断电源柜</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3E8110CE">
            <w:pPr>
              <w:widowControl w:val="0"/>
              <w:jc w:val="center"/>
              <w:rPr>
                <w:rFonts w:hint="eastAsia" w:ascii="宋体" w:hAnsi="宋体" w:eastAsia="宋体" w:cs="宋体"/>
                <w:sz w:val="18"/>
                <w:szCs w:val="18"/>
              </w:rPr>
            </w:pPr>
            <w:r>
              <w:rPr>
                <w:rFonts w:hint="eastAsia" w:ascii="宋体" w:hAnsi="宋体" w:eastAsia="宋体" w:cs="宋体"/>
                <w:sz w:val="18"/>
                <w:szCs w:val="18"/>
              </w:rPr>
              <w:t>台</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559D6C53">
            <w:pPr>
              <w:widowControl w:val="0"/>
              <w:jc w:val="center"/>
              <w:rPr>
                <w:rFonts w:hint="eastAsia" w:ascii="宋体" w:hAnsi="宋体" w:eastAsia="宋体" w:cs="宋体"/>
                <w:sz w:val="18"/>
                <w:szCs w:val="18"/>
              </w:rPr>
            </w:pPr>
            <w:r>
              <w:rPr>
                <w:rFonts w:hint="eastAsia" w:ascii="宋体" w:hAnsi="宋体" w:eastAsia="宋体" w:cs="宋体"/>
                <w:sz w:val="18"/>
                <w:szCs w:val="18"/>
              </w:rPr>
              <w:t>1</w:t>
            </w:r>
          </w:p>
        </w:tc>
      </w:tr>
      <w:tr w14:paraId="7A15D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1C708B86">
            <w:pPr>
              <w:widowControl w:val="0"/>
              <w:jc w:val="center"/>
              <w:rPr>
                <w:rFonts w:hint="eastAsia" w:ascii="宋体" w:hAnsi="宋体" w:eastAsia="宋体" w:cs="宋体"/>
                <w:sz w:val="18"/>
                <w:szCs w:val="18"/>
              </w:rPr>
            </w:pPr>
            <w:r>
              <w:rPr>
                <w:rFonts w:hint="eastAsia" w:ascii="宋体" w:hAnsi="宋体" w:eastAsia="宋体" w:cs="宋体"/>
                <w:sz w:val="18"/>
                <w:szCs w:val="18"/>
              </w:rPr>
              <w:t>四</w:t>
            </w: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1D9C6EF1">
            <w:pPr>
              <w:widowControl w:val="0"/>
              <w:jc w:val="center"/>
              <w:rPr>
                <w:rFonts w:hint="eastAsia" w:ascii="宋体" w:hAnsi="宋体" w:eastAsia="宋体" w:cs="宋体"/>
                <w:sz w:val="18"/>
                <w:szCs w:val="18"/>
              </w:rPr>
            </w:pPr>
            <w:r>
              <w:rPr>
                <w:rFonts w:hint="eastAsia" w:ascii="宋体" w:hAnsi="宋体" w:eastAsia="宋体" w:cs="宋体"/>
                <w:sz w:val="18"/>
                <w:szCs w:val="18"/>
              </w:rPr>
              <w:t>电缆、桥架及保护管</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7EDE8E96">
            <w:pPr>
              <w:widowControl w:val="0"/>
              <w:jc w:val="center"/>
              <w:rPr>
                <w:rFonts w:hint="eastAsia" w:ascii="宋体" w:hAnsi="宋体" w:eastAsia="宋体" w:cs="宋体"/>
                <w:sz w:val="18"/>
                <w:szCs w:val="18"/>
              </w:rPr>
            </w:pP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09738D8F">
            <w:pPr>
              <w:widowControl w:val="0"/>
              <w:jc w:val="center"/>
              <w:rPr>
                <w:rFonts w:hint="eastAsia" w:ascii="宋体" w:hAnsi="宋体" w:eastAsia="宋体" w:cs="宋体"/>
                <w:sz w:val="18"/>
                <w:szCs w:val="18"/>
              </w:rPr>
            </w:pPr>
          </w:p>
        </w:tc>
      </w:tr>
      <w:tr w14:paraId="31ED3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73AABF35">
            <w:pPr>
              <w:widowControl w:val="0"/>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099D6B69">
            <w:pPr>
              <w:widowControl w:val="0"/>
              <w:jc w:val="center"/>
              <w:rPr>
                <w:rFonts w:hint="eastAsia" w:ascii="宋体" w:hAnsi="宋体" w:eastAsia="宋体" w:cs="宋体"/>
                <w:sz w:val="18"/>
                <w:szCs w:val="18"/>
              </w:rPr>
            </w:pPr>
            <w:r>
              <w:rPr>
                <w:rFonts w:hint="eastAsia" w:ascii="宋体" w:hAnsi="宋体" w:eastAsia="宋体" w:cs="宋体"/>
                <w:sz w:val="18"/>
                <w:szCs w:val="18"/>
              </w:rPr>
              <w:t>光伏专用电缆PV1-F-1x4</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04DC1E3B">
            <w:pPr>
              <w:widowControl w:val="0"/>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3D16E4E7">
            <w:pPr>
              <w:widowControl w:val="0"/>
              <w:jc w:val="center"/>
              <w:rPr>
                <w:rFonts w:hint="eastAsia" w:ascii="宋体" w:hAnsi="宋体" w:eastAsia="宋体" w:cs="宋体"/>
                <w:sz w:val="18"/>
                <w:szCs w:val="18"/>
              </w:rPr>
            </w:pPr>
            <w:r>
              <w:rPr>
                <w:rFonts w:hint="eastAsia" w:ascii="宋体" w:hAnsi="宋体" w:eastAsia="宋体" w:cs="宋体"/>
                <w:sz w:val="18"/>
                <w:szCs w:val="18"/>
              </w:rPr>
              <w:t>66850</w:t>
            </w:r>
          </w:p>
        </w:tc>
      </w:tr>
      <w:tr w14:paraId="3DB2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45AB6A09">
            <w:pPr>
              <w:widowControl w:val="0"/>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57A17210">
            <w:pPr>
              <w:widowControl w:val="0"/>
              <w:jc w:val="center"/>
              <w:rPr>
                <w:rFonts w:hint="eastAsia" w:ascii="宋体" w:hAnsi="宋体" w:eastAsia="宋体" w:cs="宋体"/>
                <w:sz w:val="18"/>
                <w:szCs w:val="18"/>
              </w:rPr>
            </w:pPr>
            <w:r>
              <w:rPr>
                <w:rFonts w:hint="eastAsia" w:ascii="宋体" w:hAnsi="宋体" w:eastAsia="宋体" w:cs="宋体"/>
                <w:sz w:val="18"/>
                <w:szCs w:val="18"/>
              </w:rPr>
              <w:t>0.4kV交流电力电缆</w:t>
            </w:r>
          </w:p>
          <w:p w14:paraId="65C00887">
            <w:pPr>
              <w:widowControl w:val="0"/>
              <w:jc w:val="center"/>
              <w:rPr>
                <w:rFonts w:hint="eastAsia" w:ascii="宋体" w:hAnsi="宋体" w:eastAsia="宋体" w:cs="宋体"/>
                <w:sz w:val="18"/>
                <w:szCs w:val="18"/>
              </w:rPr>
            </w:pPr>
            <w:r>
              <w:rPr>
                <w:rFonts w:hint="eastAsia" w:ascii="宋体" w:hAnsi="宋体" w:eastAsia="宋体" w:cs="宋体"/>
                <w:sz w:val="18"/>
                <w:szCs w:val="18"/>
              </w:rPr>
              <w:t>ZC-YJV22-0.6/1kV-3x120+1x70</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78723152">
            <w:pPr>
              <w:widowControl w:val="0"/>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1611F498">
            <w:pPr>
              <w:widowControl w:val="0"/>
              <w:jc w:val="center"/>
              <w:rPr>
                <w:rFonts w:hint="eastAsia" w:ascii="宋体" w:hAnsi="宋体" w:eastAsia="宋体" w:cs="宋体"/>
                <w:sz w:val="18"/>
                <w:szCs w:val="18"/>
              </w:rPr>
            </w:pPr>
            <w:r>
              <w:rPr>
                <w:rFonts w:hint="eastAsia" w:ascii="宋体" w:hAnsi="宋体" w:eastAsia="宋体" w:cs="宋体"/>
                <w:sz w:val="18"/>
                <w:szCs w:val="18"/>
              </w:rPr>
              <w:t>8950</w:t>
            </w:r>
          </w:p>
        </w:tc>
      </w:tr>
      <w:tr w14:paraId="0B680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0BD224FB">
            <w:pPr>
              <w:widowControl w:val="0"/>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7F2C981A">
            <w:pPr>
              <w:widowControl w:val="0"/>
              <w:jc w:val="center"/>
              <w:rPr>
                <w:rFonts w:hint="eastAsia" w:ascii="宋体" w:hAnsi="宋体" w:eastAsia="宋体" w:cs="宋体"/>
                <w:sz w:val="18"/>
                <w:szCs w:val="18"/>
              </w:rPr>
            </w:pPr>
            <w:r>
              <w:rPr>
                <w:rFonts w:hint="eastAsia" w:ascii="宋体" w:hAnsi="宋体" w:eastAsia="宋体" w:cs="宋体"/>
                <w:sz w:val="18"/>
                <w:szCs w:val="18"/>
              </w:rPr>
              <w:t>10kV交流电力电缆</w:t>
            </w:r>
          </w:p>
          <w:p w14:paraId="5F044B50">
            <w:pPr>
              <w:widowControl w:val="0"/>
              <w:jc w:val="center"/>
              <w:rPr>
                <w:rFonts w:hint="eastAsia" w:ascii="宋体" w:hAnsi="宋体" w:eastAsia="宋体" w:cs="宋体"/>
                <w:sz w:val="18"/>
                <w:szCs w:val="18"/>
              </w:rPr>
            </w:pPr>
            <w:r>
              <w:rPr>
                <w:rFonts w:hint="eastAsia" w:ascii="宋体" w:hAnsi="宋体" w:eastAsia="宋体" w:cs="宋体"/>
                <w:sz w:val="18"/>
                <w:szCs w:val="18"/>
              </w:rPr>
              <w:t>ZC-YJLV22-8.7/15kV-3x240</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78A4C756">
            <w:pPr>
              <w:widowControl w:val="0"/>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43B96B06">
            <w:pPr>
              <w:widowControl w:val="0"/>
              <w:jc w:val="center"/>
              <w:rPr>
                <w:rFonts w:hint="eastAsia" w:ascii="宋体" w:hAnsi="宋体" w:eastAsia="宋体" w:cs="宋体"/>
                <w:sz w:val="18"/>
                <w:szCs w:val="18"/>
              </w:rPr>
            </w:pPr>
            <w:r>
              <w:rPr>
                <w:rFonts w:hint="eastAsia" w:ascii="宋体" w:hAnsi="宋体" w:eastAsia="宋体" w:cs="宋体"/>
                <w:sz w:val="18"/>
                <w:szCs w:val="18"/>
              </w:rPr>
              <w:t>2500</w:t>
            </w:r>
          </w:p>
        </w:tc>
      </w:tr>
      <w:tr w14:paraId="044A1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375DF38D">
            <w:pPr>
              <w:widowControl w:val="0"/>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2B0CF430">
            <w:pPr>
              <w:widowControl w:val="0"/>
              <w:jc w:val="center"/>
              <w:rPr>
                <w:rFonts w:hint="eastAsia" w:ascii="宋体" w:hAnsi="宋体" w:eastAsia="宋体" w:cs="宋体"/>
                <w:sz w:val="18"/>
                <w:szCs w:val="18"/>
              </w:rPr>
            </w:pPr>
            <w:r>
              <w:rPr>
                <w:rFonts w:hint="eastAsia" w:ascii="宋体" w:hAnsi="宋体" w:eastAsia="宋体" w:cs="宋体"/>
                <w:sz w:val="18"/>
                <w:szCs w:val="18"/>
              </w:rPr>
              <w:t>0.4kV交流电缆终端头户内</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3B695567">
            <w:pPr>
              <w:widowControl w:val="0"/>
              <w:jc w:val="center"/>
              <w:rPr>
                <w:rFonts w:hint="eastAsia" w:ascii="宋体" w:hAnsi="宋体" w:eastAsia="宋体" w:cs="宋体"/>
                <w:sz w:val="18"/>
                <w:szCs w:val="18"/>
              </w:rPr>
            </w:pPr>
            <w:r>
              <w:rPr>
                <w:rFonts w:hint="eastAsia" w:ascii="宋体" w:hAnsi="宋体" w:eastAsia="宋体" w:cs="宋体"/>
                <w:sz w:val="18"/>
                <w:szCs w:val="18"/>
              </w:rPr>
              <w:t>套</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18A42B15">
            <w:pPr>
              <w:widowControl w:val="0"/>
              <w:jc w:val="center"/>
              <w:rPr>
                <w:rFonts w:hint="eastAsia" w:ascii="宋体" w:hAnsi="宋体" w:eastAsia="宋体" w:cs="宋体"/>
                <w:sz w:val="18"/>
                <w:szCs w:val="18"/>
              </w:rPr>
            </w:pPr>
            <w:r>
              <w:rPr>
                <w:rFonts w:hint="eastAsia" w:ascii="宋体" w:hAnsi="宋体" w:eastAsia="宋体" w:cs="宋体"/>
                <w:sz w:val="18"/>
                <w:szCs w:val="18"/>
              </w:rPr>
              <w:t>104</w:t>
            </w:r>
          </w:p>
        </w:tc>
      </w:tr>
      <w:tr w14:paraId="6AFFD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6B52B695">
            <w:pPr>
              <w:widowControl w:val="0"/>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5A79EC9F">
            <w:pPr>
              <w:widowControl w:val="0"/>
              <w:jc w:val="center"/>
              <w:rPr>
                <w:rFonts w:hint="eastAsia" w:ascii="宋体" w:hAnsi="宋体" w:eastAsia="宋体" w:cs="宋体"/>
                <w:sz w:val="18"/>
                <w:szCs w:val="18"/>
              </w:rPr>
            </w:pPr>
            <w:r>
              <w:rPr>
                <w:rFonts w:hint="eastAsia" w:ascii="宋体" w:hAnsi="宋体" w:eastAsia="宋体" w:cs="宋体"/>
                <w:sz w:val="18"/>
                <w:szCs w:val="18"/>
              </w:rPr>
              <w:t>10kV交流电缆终端头户内，</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297F0EA2">
            <w:pPr>
              <w:widowControl w:val="0"/>
              <w:jc w:val="center"/>
              <w:rPr>
                <w:rFonts w:hint="eastAsia" w:ascii="宋体" w:hAnsi="宋体" w:eastAsia="宋体" w:cs="宋体"/>
                <w:sz w:val="18"/>
                <w:szCs w:val="18"/>
              </w:rPr>
            </w:pPr>
            <w:r>
              <w:rPr>
                <w:rFonts w:hint="eastAsia" w:ascii="宋体" w:hAnsi="宋体" w:eastAsia="宋体" w:cs="宋体"/>
                <w:sz w:val="18"/>
                <w:szCs w:val="18"/>
              </w:rPr>
              <w:t>套</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3BDE5C96">
            <w:pPr>
              <w:widowControl w:val="0"/>
              <w:jc w:val="center"/>
              <w:rPr>
                <w:rFonts w:hint="eastAsia" w:ascii="宋体" w:hAnsi="宋体" w:eastAsia="宋体" w:cs="宋体"/>
                <w:sz w:val="18"/>
                <w:szCs w:val="18"/>
              </w:rPr>
            </w:pPr>
            <w:r>
              <w:rPr>
                <w:rFonts w:hint="eastAsia" w:ascii="宋体" w:hAnsi="宋体" w:eastAsia="宋体" w:cs="宋体"/>
                <w:sz w:val="18"/>
                <w:szCs w:val="18"/>
              </w:rPr>
              <w:t>4</w:t>
            </w:r>
          </w:p>
        </w:tc>
      </w:tr>
      <w:tr w14:paraId="66CD6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75C03789">
            <w:pPr>
              <w:widowControl w:val="0"/>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50288FDE">
            <w:pPr>
              <w:widowControl w:val="0"/>
              <w:jc w:val="center"/>
              <w:rPr>
                <w:rFonts w:hint="eastAsia" w:ascii="宋体" w:hAnsi="宋体" w:eastAsia="宋体" w:cs="宋体"/>
                <w:sz w:val="18"/>
                <w:szCs w:val="18"/>
              </w:rPr>
            </w:pPr>
            <w:r>
              <w:rPr>
                <w:rFonts w:hint="eastAsia" w:ascii="宋体" w:hAnsi="宋体" w:eastAsia="宋体" w:cs="宋体"/>
                <w:sz w:val="18"/>
                <w:szCs w:val="18"/>
              </w:rPr>
              <w:t>室外桥架400×200</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03A4B335">
            <w:pPr>
              <w:widowControl w:val="0"/>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27E49BD9">
            <w:pPr>
              <w:widowControl w:val="0"/>
              <w:jc w:val="center"/>
              <w:rPr>
                <w:rFonts w:hint="eastAsia" w:ascii="宋体" w:hAnsi="宋体" w:eastAsia="宋体" w:cs="宋体"/>
                <w:sz w:val="18"/>
                <w:szCs w:val="18"/>
              </w:rPr>
            </w:pPr>
            <w:r>
              <w:rPr>
                <w:rFonts w:hint="eastAsia" w:ascii="宋体" w:hAnsi="宋体" w:eastAsia="宋体" w:cs="宋体"/>
                <w:sz w:val="18"/>
                <w:szCs w:val="18"/>
              </w:rPr>
              <w:t>350</w:t>
            </w:r>
          </w:p>
        </w:tc>
      </w:tr>
      <w:tr w14:paraId="7BD3B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7DB03A8C">
            <w:pPr>
              <w:widowControl w:val="0"/>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3F08DBFE">
            <w:pPr>
              <w:widowControl w:val="0"/>
              <w:jc w:val="center"/>
              <w:rPr>
                <w:rFonts w:hint="eastAsia" w:ascii="宋体" w:hAnsi="宋体" w:eastAsia="宋体" w:cs="宋体"/>
                <w:sz w:val="18"/>
                <w:szCs w:val="18"/>
              </w:rPr>
            </w:pPr>
            <w:r>
              <w:rPr>
                <w:rFonts w:hint="eastAsia" w:ascii="宋体" w:hAnsi="宋体" w:eastAsia="宋体" w:cs="宋体"/>
                <w:sz w:val="18"/>
                <w:szCs w:val="18"/>
              </w:rPr>
              <w:t>室外桥架200×200</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532FCFDE">
            <w:pPr>
              <w:widowControl w:val="0"/>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14DFB77F">
            <w:pPr>
              <w:widowControl w:val="0"/>
              <w:jc w:val="center"/>
              <w:rPr>
                <w:rFonts w:hint="eastAsia" w:ascii="宋体" w:hAnsi="宋体" w:eastAsia="宋体" w:cs="宋体"/>
                <w:sz w:val="18"/>
                <w:szCs w:val="18"/>
              </w:rPr>
            </w:pPr>
            <w:r>
              <w:rPr>
                <w:rFonts w:hint="eastAsia" w:ascii="宋体" w:hAnsi="宋体" w:eastAsia="宋体" w:cs="宋体"/>
                <w:sz w:val="18"/>
                <w:szCs w:val="18"/>
              </w:rPr>
              <w:t>600</w:t>
            </w:r>
          </w:p>
        </w:tc>
      </w:tr>
      <w:tr w14:paraId="4EFE9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21B80731">
            <w:pPr>
              <w:widowControl w:val="0"/>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5FAEA8DB">
            <w:pPr>
              <w:widowControl w:val="0"/>
              <w:jc w:val="center"/>
              <w:rPr>
                <w:rFonts w:hint="eastAsia" w:ascii="宋体" w:hAnsi="宋体" w:eastAsia="宋体" w:cs="宋体"/>
                <w:sz w:val="18"/>
                <w:szCs w:val="18"/>
              </w:rPr>
            </w:pPr>
            <w:r>
              <w:rPr>
                <w:rFonts w:hint="eastAsia" w:ascii="宋体" w:hAnsi="宋体" w:eastAsia="宋体" w:cs="宋体"/>
                <w:sz w:val="18"/>
                <w:szCs w:val="18"/>
              </w:rPr>
              <w:t>室外桥架100×100</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1E733F8F">
            <w:pPr>
              <w:widowControl w:val="0"/>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1B1C2D57">
            <w:pPr>
              <w:widowControl w:val="0"/>
              <w:jc w:val="center"/>
              <w:rPr>
                <w:rFonts w:hint="eastAsia" w:ascii="宋体" w:hAnsi="宋体" w:eastAsia="宋体" w:cs="宋体"/>
                <w:sz w:val="18"/>
                <w:szCs w:val="18"/>
              </w:rPr>
            </w:pPr>
            <w:r>
              <w:rPr>
                <w:rFonts w:hint="eastAsia" w:ascii="宋体" w:hAnsi="宋体" w:eastAsia="宋体" w:cs="宋体"/>
                <w:sz w:val="18"/>
                <w:szCs w:val="18"/>
              </w:rPr>
              <w:t>2500</w:t>
            </w:r>
          </w:p>
        </w:tc>
      </w:tr>
      <w:tr w14:paraId="363A3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12BB278A">
            <w:pPr>
              <w:widowControl w:val="0"/>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3540AC49">
            <w:pPr>
              <w:widowControl w:val="0"/>
              <w:jc w:val="center"/>
              <w:rPr>
                <w:rFonts w:hint="eastAsia" w:ascii="宋体" w:hAnsi="宋体" w:eastAsia="宋体" w:cs="宋体"/>
                <w:sz w:val="18"/>
                <w:szCs w:val="18"/>
              </w:rPr>
            </w:pPr>
            <w:r>
              <w:rPr>
                <w:rFonts w:hint="eastAsia" w:ascii="宋体" w:hAnsi="宋体" w:eastAsia="宋体" w:cs="宋体"/>
                <w:sz w:val="18"/>
                <w:szCs w:val="18"/>
              </w:rPr>
              <w:t>金属软管DN25</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1BCBD060">
            <w:pPr>
              <w:widowControl w:val="0"/>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6C93E80D">
            <w:pPr>
              <w:widowControl w:val="0"/>
              <w:jc w:val="center"/>
              <w:rPr>
                <w:rFonts w:hint="eastAsia" w:ascii="宋体" w:hAnsi="宋体" w:eastAsia="宋体" w:cs="宋体"/>
                <w:sz w:val="18"/>
                <w:szCs w:val="18"/>
              </w:rPr>
            </w:pPr>
            <w:r>
              <w:rPr>
                <w:rFonts w:hint="eastAsia" w:ascii="宋体" w:hAnsi="宋体" w:eastAsia="宋体" w:cs="宋体"/>
                <w:sz w:val="18"/>
                <w:szCs w:val="18"/>
              </w:rPr>
              <w:t>750</w:t>
            </w:r>
          </w:p>
        </w:tc>
      </w:tr>
      <w:tr w14:paraId="03755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1E008BF0">
            <w:pPr>
              <w:widowControl w:val="0"/>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4C03CB49">
            <w:pPr>
              <w:widowControl w:val="0"/>
              <w:jc w:val="center"/>
              <w:rPr>
                <w:rFonts w:hint="eastAsia" w:ascii="宋体" w:hAnsi="宋体" w:eastAsia="宋体" w:cs="宋体"/>
                <w:sz w:val="18"/>
                <w:szCs w:val="18"/>
              </w:rPr>
            </w:pPr>
            <w:r>
              <w:rPr>
                <w:rFonts w:hint="eastAsia" w:ascii="宋体" w:hAnsi="宋体" w:eastAsia="宋体" w:cs="宋体"/>
                <w:sz w:val="18"/>
                <w:szCs w:val="18"/>
              </w:rPr>
              <w:t>金塑软管DN80</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3C4D4655">
            <w:pPr>
              <w:widowControl w:val="0"/>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48D6411C">
            <w:pPr>
              <w:widowControl w:val="0"/>
              <w:jc w:val="center"/>
              <w:rPr>
                <w:rFonts w:hint="eastAsia" w:ascii="宋体" w:hAnsi="宋体" w:eastAsia="宋体" w:cs="宋体"/>
                <w:sz w:val="18"/>
                <w:szCs w:val="18"/>
              </w:rPr>
            </w:pPr>
            <w:r>
              <w:rPr>
                <w:rFonts w:hint="eastAsia" w:ascii="宋体" w:hAnsi="宋体" w:eastAsia="宋体" w:cs="宋体"/>
                <w:sz w:val="18"/>
                <w:szCs w:val="18"/>
              </w:rPr>
              <w:t>1050</w:t>
            </w:r>
          </w:p>
        </w:tc>
      </w:tr>
      <w:tr w14:paraId="73387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3BBF268C">
            <w:pPr>
              <w:widowControl w:val="0"/>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00394F78">
            <w:pPr>
              <w:widowControl w:val="0"/>
              <w:jc w:val="center"/>
              <w:rPr>
                <w:rFonts w:hint="eastAsia" w:ascii="宋体" w:hAnsi="宋体" w:eastAsia="宋体" w:cs="宋体"/>
                <w:sz w:val="18"/>
                <w:szCs w:val="18"/>
              </w:rPr>
            </w:pPr>
            <w:r>
              <w:rPr>
                <w:rFonts w:hint="eastAsia" w:ascii="宋体" w:hAnsi="宋体" w:eastAsia="宋体" w:cs="宋体"/>
                <w:sz w:val="18"/>
                <w:szCs w:val="18"/>
              </w:rPr>
              <w:t>热镀锌钢管SC150</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07123470">
            <w:pPr>
              <w:widowControl w:val="0"/>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0E121735">
            <w:pPr>
              <w:widowControl w:val="0"/>
              <w:jc w:val="center"/>
              <w:rPr>
                <w:rFonts w:hint="eastAsia" w:ascii="宋体" w:hAnsi="宋体" w:eastAsia="宋体" w:cs="宋体"/>
                <w:sz w:val="18"/>
                <w:szCs w:val="18"/>
              </w:rPr>
            </w:pPr>
            <w:r>
              <w:rPr>
                <w:rFonts w:hint="eastAsia" w:ascii="宋体" w:hAnsi="宋体" w:eastAsia="宋体" w:cs="宋体"/>
                <w:sz w:val="18"/>
                <w:szCs w:val="18"/>
              </w:rPr>
              <w:t>800</w:t>
            </w:r>
          </w:p>
        </w:tc>
      </w:tr>
      <w:tr w14:paraId="5ECB2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2718BE3B">
            <w:pPr>
              <w:widowControl w:val="0"/>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33C7BB2C">
            <w:pPr>
              <w:widowControl w:val="0"/>
              <w:jc w:val="center"/>
              <w:rPr>
                <w:rFonts w:hint="eastAsia" w:ascii="宋体" w:hAnsi="宋体" w:eastAsia="宋体" w:cs="宋体"/>
                <w:sz w:val="18"/>
                <w:szCs w:val="18"/>
              </w:rPr>
            </w:pPr>
            <w:r>
              <w:rPr>
                <w:rFonts w:hint="eastAsia" w:ascii="宋体" w:hAnsi="宋体" w:eastAsia="宋体" w:cs="宋体"/>
                <w:sz w:val="18"/>
                <w:szCs w:val="18"/>
              </w:rPr>
              <w:t>热镀锌钢管SC100</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04EED161">
            <w:pPr>
              <w:widowControl w:val="0"/>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64519540">
            <w:pPr>
              <w:widowControl w:val="0"/>
              <w:jc w:val="center"/>
              <w:rPr>
                <w:rFonts w:hint="eastAsia" w:ascii="宋体" w:hAnsi="宋体" w:eastAsia="宋体" w:cs="宋体"/>
                <w:sz w:val="18"/>
                <w:szCs w:val="18"/>
              </w:rPr>
            </w:pPr>
            <w:r>
              <w:rPr>
                <w:rFonts w:hint="eastAsia" w:ascii="宋体" w:hAnsi="宋体" w:eastAsia="宋体" w:cs="宋体"/>
                <w:sz w:val="18"/>
                <w:szCs w:val="18"/>
              </w:rPr>
              <w:t>500</w:t>
            </w:r>
          </w:p>
        </w:tc>
      </w:tr>
      <w:tr w14:paraId="3CB8E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39066926">
            <w:pPr>
              <w:widowControl w:val="0"/>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005494FE">
            <w:pPr>
              <w:widowControl w:val="0"/>
              <w:jc w:val="center"/>
              <w:rPr>
                <w:rFonts w:hint="eastAsia" w:ascii="宋体" w:hAnsi="宋体" w:eastAsia="宋体" w:cs="宋体"/>
                <w:sz w:val="18"/>
                <w:szCs w:val="18"/>
              </w:rPr>
            </w:pPr>
            <w:r>
              <w:rPr>
                <w:rFonts w:hint="eastAsia" w:ascii="宋体" w:hAnsi="宋体" w:eastAsia="宋体" w:cs="宋体"/>
                <w:sz w:val="18"/>
                <w:szCs w:val="18"/>
              </w:rPr>
              <w:t>热镀锌钢管SC80</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3D5B3F22">
            <w:pPr>
              <w:widowControl w:val="0"/>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4B56707F">
            <w:pPr>
              <w:widowControl w:val="0"/>
              <w:jc w:val="center"/>
              <w:rPr>
                <w:rFonts w:hint="eastAsia" w:ascii="宋体" w:hAnsi="宋体" w:eastAsia="宋体" w:cs="宋体"/>
                <w:sz w:val="18"/>
                <w:szCs w:val="18"/>
              </w:rPr>
            </w:pPr>
            <w:r>
              <w:rPr>
                <w:rFonts w:hint="eastAsia" w:ascii="宋体" w:hAnsi="宋体" w:eastAsia="宋体" w:cs="宋体"/>
                <w:sz w:val="18"/>
                <w:szCs w:val="18"/>
              </w:rPr>
              <w:t>400</w:t>
            </w:r>
          </w:p>
        </w:tc>
      </w:tr>
      <w:tr w14:paraId="6D92E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5A0DFA78">
            <w:pPr>
              <w:widowControl w:val="0"/>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3E8DC3C8">
            <w:pPr>
              <w:widowControl w:val="0"/>
              <w:jc w:val="center"/>
              <w:rPr>
                <w:rFonts w:hint="eastAsia" w:ascii="宋体" w:hAnsi="宋体" w:eastAsia="宋体" w:cs="宋体"/>
                <w:sz w:val="18"/>
                <w:szCs w:val="18"/>
              </w:rPr>
            </w:pPr>
            <w:r>
              <w:rPr>
                <w:rFonts w:hint="eastAsia" w:ascii="宋体" w:hAnsi="宋体" w:eastAsia="宋体" w:cs="宋体"/>
                <w:sz w:val="18"/>
                <w:szCs w:val="18"/>
              </w:rPr>
              <w:t>电缆井</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66F0EE4A">
            <w:pPr>
              <w:widowControl w:val="0"/>
              <w:jc w:val="center"/>
              <w:rPr>
                <w:rFonts w:hint="eastAsia" w:ascii="宋体" w:hAnsi="宋体" w:eastAsia="宋体" w:cs="宋体"/>
                <w:sz w:val="18"/>
                <w:szCs w:val="18"/>
              </w:rPr>
            </w:pPr>
            <w:r>
              <w:rPr>
                <w:rFonts w:hint="eastAsia" w:ascii="宋体" w:hAnsi="宋体" w:eastAsia="宋体" w:cs="宋体"/>
                <w:sz w:val="18"/>
                <w:szCs w:val="18"/>
              </w:rPr>
              <w:t>个</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1F022D63">
            <w:pPr>
              <w:widowControl w:val="0"/>
              <w:jc w:val="center"/>
              <w:rPr>
                <w:rFonts w:hint="eastAsia" w:ascii="宋体" w:hAnsi="宋体" w:eastAsia="宋体" w:cs="宋体"/>
                <w:sz w:val="18"/>
                <w:szCs w:val="18"/>
              </w:rPr>
            </w:pPr>
            <w:r>
              <w:rPr>
                <w:rFonts w:hint="eastAsia" w:ascii="宋体" w:hAnsi="宋体" w:eastAsia="宋体" w:cs="宋体"/>
                <w:sz w:val="18"/>
                <w:szCs w:val="18"/>
              </w:rPr>
              <w:t>10</w:t>
            </w:r>
          </w:p>
        </w:tc>
      </w:tr>
      <w:tr w14:paraId="6C163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4758FCFD">
            <w:pPr>
              <w:widowControl w:val="0"/>
              <w:jc w:val="center"/>
              <w:rPr>
                <w:rFonts w:hint="eastAsia" w:ascii="宋体" w:hAnsi="宋体" w:eastAsia="宋体" w:cs="宋体"/>
                <w:sz w:val="18"/>
                <w:szCs w:val="18"/>
              </w:rPr>
            </w:pPr>
            <w:r>
              <w:rPr>
                <w:rFonts w:hint="eastAsia" w:ascii="宋体" w:hAnsi="宋体" w:eastAsia="宋体" w:cs="宋体"/>
                <w:sz w:val="18"/>
                <w:szCs w:val="18"/>
              </w:rPr>
              <w:t>五</w:t>
            </w: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7C72D6AA">
            <w:pPr>
              <w:widowControl w:val="0"/>
              <w:jc w:val="center"/>
              <w:rPr>
                <w:rFonts w:hint="eastAsia" w:ascii="宋体" w:hAnsi="宋体" w:eastAsia="宋体" w:cs="宋体"/>
                <w:sz w:val="18"/>
                <w:szCs w:val="18"/>
              </w:rPr>
            </w:pPr>
            <w:r>
              <w:rPr>
                <w:rFonts w:hint="eastAsia" w:ascii="宋体" w:hAnsi="宋体" w:eastAsia="宋体" w:cs="宋体"/>
                <w:sz w:val="18"/>
                <w:szCs w:val="18"/>
              </w:rPr>
              <w:t>防雷及接地</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2703D3E5">
            <w:pPr>
              <w:widowControl w:val="0"/>
              <w:jc w:val="center"/>
              <w:rPr>
                <w:rFonts w:hint="eastAsia" w:ascii="宋体" w:hAnsi="宋体" w:eastAsia="宋体" w:cs="宋体"/>
                <w:sz w:val="18"/>
                <w:szCs w:val="18"/>
              </w:rPr>
            </w:pP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25B1CBF9">
            <w:pPr>
              <w:widowControl w:val="0"/>
              <w:jc w:val="center"/>
              <w:rPr>
                <w:rFonts w:hint="eastAsia" w:ascii="宋体" w:hAnsi="宋体" w:eastAsia="宋体" w:cs="宋体"/>
                <w:sz w:val="18"/>
                <w:szCs w:val="18"/>
              </w:rPr>
            </w:pPr>
          </w:p>
        </w:tc>
      </w:tr>
      <w:tr w14:paraId="486E5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17830901">
            <w:pPr>
              <w:widowControl w:val="0"/>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6D063BAA">
            <w:pPr>
              <w:widowControl w:val="0"/>
              <w:jc w:val="center"/>
              <w:rPr>
                <w:rFonts w:hint="eastAsia" w:ascii="宋体" w:hAnsi="宋体" w:eastAsia="宋体" w:cs="宋体"/>
                <w:sz w:val="18"/>
                <w:szCs w:val="18"/>
              </w:rPr>
            </w:pPr>
            <w:r>
              <w:rPr>
                <w:rFonts w:hint="eastAsia" w:ascii="宋体" w:hAnsi="宋体" w:eastAsia="宋体" w:cs="宋体"/>
                <w:sz w:val="18"/>
                <w:szCs w:val="18"/>
              </w:rPr>
              <w:t>水平接地体50×5mm热镀</w:t>
            </w:r>
          </w:p>
          <w:p w14:paraId="3D1DB756">
            <w:pPr>
              <w:widowControl w:val="0"/>
              <w:jc w:val="center"/>
              <w:rPr>
                <w:rFonts w:hint="eastAsia" w:ascii="宋体" w:hAnsi="宋体" w:eastAsia="宋体" w:cs="宋体"/>
                <w:sz w:val="18"/>
                <w:szCs w:val="18"/>
              </w:rPr>
            </w:pPr>
            <w:r>
              <w:rPr>
                <w:rFonts w:hint="eastAsia" w:ascii="宋体" w:hAnsi="宋体" w:eastAsia="宋体" w:cs="宋体"/>
                <w:sz w:val="18"/>
                <w:szCs w:val="18"/>
              </w:rPr>
              <w:t>锌扁钢</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039DF173">
            <w:pPr>
              <w:widowControl w:val="0"/>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651DDCFC">
            <w:pPr>
              <w:widowControl w:val="0"/>
              <w:jc w:val="center"/>
              <w:rPr>
                <w:rFonts w:hint="eastAsia" w:ascii="宋体" w:hAnsi="宋体" w:eastAsia="宋体" w:cs="宋体"/>
                <w:sz w:val="18"/>
                <w:szCs w:val="18"/>
              </w:rPr>
            </w:pPr>
            <w:r>
              <w:rPr>
                <w:rFonts w:hint="eastAsia" w:ascii="宋体" w:hAnsi="宋体" w:eastAsia="宋体" w:cs="宋体"/>
                <w:sz w:val="18"/>
                <w:szCs w:val="18"/>
              </w:rPr>
              <w:t>2233</w:t>
            </w:r>
          </w:p>
          <w:p w14:paraId="039DF581">
            <w:pPr>
              <w:widowControl w:val="0"/>
              <w:jc w:val="center"/>
              <w:rPr>
                <w:rFonts w:hint="eastAsia" w:ascii="宋体" w:hAnsi="宋体" w:eastAsia="宋体" w:cs="宋体"/>
                <w:sz w:val="18"/>
                <w:szCs w:val="18"/>
              </w:rPr>
            </w:pPr>
            <w:r>
              <w:rPr>
                <w:rFonts w:hint="eastAsia" w:ascii="宋体" w:hAnsi="宋体" w:eastAsia="宋体" w:cs="宋体"/>
                <w:sz w:val="18"/>
                <w:szCs w:val="18"/>
              </w:rPr>
              <w:t>6</w:t>
            </w:r>
          </w:p>
        </w:tc>
      </w:tr>
      <w:tr w14:paraId="6F693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76394889">
            <w:pPr>
              <w:widowControl w:val="0"/>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0D15B967">
            <w:pPr>
              <w:widowControl w:val="0"/>
              <w:jc w:val="center"/>
              <w:rPr>
                <w:rFonts w:hint="eastAsia" w:ascii="宋体" w:hAnsi="宋体" w:eastAsia="宋体" w:cs="宋体"/>
                <w:sz w:val="18"/>
                <w:szCs w:val="18"/>
              </w:rPr>
            </w:pPr>
            <w:r>
              <w:rPr>
                <w:rFonts w:hint="eastAsia" w:ascii="宋体" w:hAnsi="宋体" w:eastAsia="宋体" w:cs="宋体"/>
                <w:sz w:val="18"/>
                <w:szCs w:val="18"/>
              </w:rPr>
              <w:t>垂直接地体L 50×50×5镀</w:t>
            </w:r>
          </w:p>
          <w:p w14:paraId="4467C563">
            <w:pPr>
              <w:widowControl w:val="0"/>
              <w:jc w:val="center"/>
              <w:rPr>
                <w:rFonts w:hint="eastAsia" w:ascii="宋体" w:hAnsi="宋体" w:eastAsia="宋体" w:cs="宋体"/>
                <w:sz w:val="18"/>
                <w:szCs w:val="18"/>
              </w:rPr>
            </w:pPr>
            <w:r>
              <w:rPr>
                <w:rFonts w:hint="eastAsia" w:ascii="宋体" w:hAnsi="宋体" w:eastAsia="宋体" w:cs="宋体"/>
                <w:sz w:val="18"/>
                <w:szCs w:val="18"/>
              </w:rPr>
              <w:t>锌角钢</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0F1D6D24">
            <w:pPr>
              <w:widowControl w:val="0"/>
              <w:jc w:val="center"/>
              <w:rPr>
                <w:rFonts w:hint="eastAsia" w:ascii="宋体" w:hAnsi="宋体" w:eastAsia="宋体" w:cs="宋体"/>
                <w:sz w:val="18"/>
                <w:szCs w:val="18"/>
              </w:rPr>
            </w:pPr>
            <w:r>
              <w:rPr>
                <w:rFonts w:hint="eastAsia" w:ascii="宋体" w:hAnsi="宋体" w:eastAsia="宋体" w:cs="宋体"/>
                <w:sz w:val="18"/>
                <w:szCs w:val="18"/>
              </w:rPr>
              <w:t>根</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0BE799D3">
            <w:pPr>
              <w:widowControl w:val="0"/>
              <w:jc w:val="center"/>
              <w:rPr>
                <w:rFonts w:hint="eastAsia" w:ascii="宋体" w:hAnsi="宋体" w:eastAsia="宋体" w:cs="宋体"/>
                <w:sz w:val="18"/>
                <w:szCs w:val="18"/>
              </w:rPr>
            </w:pPr>
            <w:r>
              <w:rPr>
                <w:rFonts w:hint="eastAsia" w:ascii="宋体" w:hAnsi="宋体" w:eastAsia="宋体" w:cs="宋体"/>
                <w:sz w:val="18"/>
                <w:szCs w:val="18"/>
              </w:rPr>
              <w:t>64</w:t>
            </w:r>
          </w:p>
        </w:tc>
      </w:tr>
      <w:tr w14:paraId="0295C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6A48D4F1">
            <w:pPr>
              <w:widowControl w:val="0"/>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41CFC481">
            <w:pPr>
              <w:widowControl w:val="0"/>
              <w:jc w:val="center"/>
              <w:rPr>
                <w:rFonts w:hint="eastAsia" w:ascii="宋体" w:hAnsi="宋体" w:eastAsia="宋体" w:cs="宋体"/>
                <w:sz w:val="18"/>
                <w:szCs w:val="18"/>
              </w:rPr>
            </w:pPr>
            <w:r>
              <w:rPr>
                <w:rFonts w:hint="eastAsia" w:ascii="宋体" w:hAnsi="宋体" w:eastAsia="宋体" w:cs="宋体"/>
                <w:sz w:val="18"/>
                <w:szCs w:val="18"/>
              </w:rPr>
              <w:t>接地线BVR-1×4mmm2</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657100BF">
            <w:pPr>
              <w:widowControl w:val="0"/>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12729E52">
            <w:pPr>
              <w:widowControl w:val="0"/>
              <w:jc w:val="center"/>
              <w:rPr>
                <w:rFonts w:hint="eastAsia" w:ascii="宋体" w:hAnsi="宋体" w:eastAsia="宋体" w:cs="宋体"/>
                <w:sz w:val="18"/>
                <w:szCs w:val="18"/>
              </w:rPr>
            </w:pPr>
            <w:r>
              <w:rPr>
                <w:rFonts w:hint="eastAsia" w:ascii="宋体" w:hAnsi="宋体" w:eastAsia="宋体" w:cs="宋体"/>
                <w:sz w:val="18"/>
                <w:szCs w:val="18"/>
              </w:rPr>
              <w:t>1117</w:t>
            </w:r>
          </w:p>
        </w:tc>
      </w:tr>
      <w:tr w14:paraId="73DC0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44A406E0">
            <w:pPr>
              <w:widowControl w:val="0"/>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540B7504">
            <w:pPr>
              <w:widowControl w:val="0"/>
              <w:jc w:val="center"/>
              <w:rPr>
                <w:rFonts w:hint="eastAsia" w:ascii="宋体" w:hAnsi="宋体" w:eastAsia="宋体" w:cs="宋体"/>
                <w:sz w:val="18"/>
                <w:szCs w:val="18"/>
              </w:rPr>
            </w:pPr>
            <w:r>
              <w:rPr>
                <w:rFonts w:hint="eastAsia" w:ascii="宋体" w:hAnsi="宋体" w:eastAsia="宋体" w:cs="宋体"/>
                <w:sz w:val="18"/>
                <w:szCs w:val="18"/>
              </w:rPr>
              <w:t>接地线BVR-1×6mmm2</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38B26616">
            <w:pPr>
              <w:widowControl w:val="0"/>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6A35C6A7">
            <w:pPr>
              <w:widowControl w:val="0"/>
              <w:jc w:val="center"/>
              <w:rPr>
                <w:rFonts w:hint="eastAsia" w:ascii="宋体" w:hAnsi="宋体" w:eastAsia="宋体" w:cs="宋体"/>
                <w:sz w:val="18"/>
                <w:szCs w:val="18"/>
              </w:rPr>
            </w:pPr>
            <w:r>
              <w:rPr>
                <w:rFonts w:hint="eastAsia" w:ascii="宋体" w:hAnsi="宋体" w:eastAsia="宋体" w:cs="宋体"/>
                <w:sz w:val="18"/>
                <w:szCs w:val="18"/>
              </w:rPr>
              <w:t>1525</w:t>
            </w:r>
          </w:p>
        </w:tc>
      </w:tr>
      <w:tr w14:paraId="4E5E7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55468C66">
            <w:pPr>
              <w:widowControl w:val="0"/>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44897E5E">
            <w:pPr>
              <w:widowControl w:val="0"/>
              <w:jc w:val="center"/>
              <w:rPr>
                <w:rFonts w:hint="eastAsia" w:ascii="宋体" w:hAnsi="宋体" w:eastAsia="宋体" w:cs="宋体"/>
                <w:sz w:val="18"/>
                <w:szCs w:val="18"/>
              </w:rPr>
            </w:pPr>
            <w:r>
              <w:rPr>
                <w:rFonts w:hint="eastAsia" w:ascii="宋体" w:hAnsi="宋体" w:eastAsia="宋体" w:cs="宋体"/>
                <w:sz w:val="18"/>
                <w:szCs w:val="18"/>
              </w:rPr>
              <w:t>接地线BVR-1×16mmm2</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23FF77A9">
            <w:pPr>
              <w:widowControl w:val="0"/>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4779EEBE">
            <w:pPr>
              <w:widowControl w:val="0"/>
              <w:jc w:val="center"/>
              <w:rPr>
                <w:rFonts w:hint="eastAsia" w:ascii="宋体" w:hAnsi="宋体" w:eastAsia="宋体" w:cs="宋体"/>
                <w:sz w:val="18"/>
                <w:szCs w:val="18"/>
              </w:rPr>
            </w:pPr>
            <w:r>
              <w:rPr>
                <w:rFonts w:hint="eastAsia" w:ascii="宋体" w:hAnsi="宋体" w:eastAsia="宋体" w:cs="宋体"/>
                <w:sz w:val="18"/>
                <w:szCs w:val="18"/>
              </w:rPr>
              <w:t>1720</w:t>
            </w:r>
          </w:p>
        </w:tc>
      </w:tr>
      <w:tr w14:paraId="4F8A8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67C20549">
            <w:pPr>
              <w:widowControl w:val="0"/>
              <w:jc w:val="center"/>
              <w:rPr>
                <w:rFonts w:hint="eastAsia" w:ascii="宋体" w:hAnsi="宋体" w:eastAsia="宋体" w:cs="宋体"/>
                <w:sz w:val="18"/>
                <w:szCs w:val="18"/>
              </w:rPr>
            </w:pPr>
            <w:r>
              <w:rPr>
                <w:rFonts w:hint="eastAsia" w:ascii="宋体" w:hAnsi="宋体" w:eastAsia="宋体" w:cs="宋体"/>
                <w:sz w:val="18"/>
                <w:szCs w:val="18"/>
              </w:rPr>
              <w:t>六</w:t>
            </w: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0C4C6C96">
            <w:pPr>
              <w:widowControl w:val="0"/>
              <w:jc w:val="center"/>
              <w:rPr>
                <w:rFonts w:hint="eastAsia" w:ascii="宋体" w:hAnsi="宋体" w:eastAsia="宋体" w:cs="宋体"/>
                <w:sz w:val="18"/>
                <w:szCs w:val="18"/>
              </w:rPr>
            </w:pPr>
            <w:r>
              <w:rPr>
                <w:rFonts w:hint="eastAsia" w:ascii="宋体" w:hAnsi="宋体" w:eastAsia="宋体" w:cs="宋体"/>
                <w:sz w:val="18"/>
                <w:szCs w:val="18"/>
              </w:rPr>
              <w:t>防火封堵</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5FE39891">
            <w:pPr>
              <w:widowControl w:val="0"/>
              <w:jc w:val="center"/>
              <w:rPr>
                <w:rFonts w:hint="eastAsia" w:ascii="宋体" w:hAnsi="宋体" w:eastAsia="宋体" w:cs="宋体"/>
                <w:sz w:val="18"/>
                <w:szCs w:val="18"/>
              </w:rPr>
            </w:pP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62F2C54B">
            <w:pPr>
              <w:widowControl w:val="0"/>
              <w:jc w:val="center"/>
              <w:rPr>
                <w:rFonts w:hint="eastAsia" w:ascii="宋体" w:hAnsi="宋体" w:eastAsia="宋体" w:cs="宋体"/>
                <w:sz w:val="18"/>
                <w:szCs w:val="18"/>
              </w:rPr>
            </w:pPr>
          </w:p>
        </w:tc>
      </w:tr>
      <w:tr w14:paraId="69E22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36571A7A">
            <w:pPr>
              <w:widowControl w:val="0"/>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42612C10">
            <w:pPr>
              <w:widowControl w:val="0"/>
              <w:jc w:val="center"/>
              <w:rPr>
                <w:rFonts w:hint="eastAsia" w:ascii="宋体" w:hAnsi="宋体" w:eastAsia="宋体" w:cs="宋体"/>
                <w:sz w:val="18"/>
                <w:szCs w:val="18"/>
              </w:rPr>
            </w:pPr>
            <w:r>
              <w:rPr>
                <w:rFonts w:hint="eastAsia" w:ascii="宋体" w:hAnsi="宋体" w:eastAsia="宋体" w:cs="宋体"/>
                <w:sz w:val="18"/>
                <w:szCs w:val="18"/>
              </w:rPr>
              <w:t>防火堵料LK-ZH-D</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4C82B8DD">
            <w:pPr>
              <w:widowControl w:val="0"/>
              <w:jc w:val="center"/>
              <w:rPr>
                <w:rFonts w:hint="eastAsia" w:ascii="宋体" w:hAnsi="宋体" w:eastAsia="宋体" w:cs="宋体"/>
                <w:sz w:val="18"/>
                <w:szCs w:val="18"/>
              </w:rPr>
            </w:pPr>
            <w:r>
              <w:rPr>
                <w:rFonts w:hint="eastAsia" w:ascii="宋体" w:hAnsi="宋体" w:eastAsia="宋体" w:cs="宋体"/>
                <w:sz w:val="18"/>
                <w:szCs w:val="18"/>
              </w:rPr>
              <w:t>kg</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0D2062FD">
            <w:pPr>
              <w:widowControl w:val="0"/>
              <w:jc w:val="center"/>
              <w:rPr>
                <w:rFonts w:hint="eastAsia" w:ascii="宋体" w:hAnsi="宋体" w:eastAsia="宋体" w:cs="宋体"/>
                <w:sz w:val="18"/>
                <w:szCs w:val="18"/>
              </w:rPr>
            </w:pPr>
            <w:r>
              <w:rPr>
                <w:rFonts w:hint="eastAsia" w:ascii="宋体" w:hAnsi="宋体" w:eastAsia="宋体" w:cs="宋体"/>
                <w:sz w:val="18"/>
                <w:szCs w:val="18"/>
              </w:rPr>
              <w:t>300</w:t>
            </w:r>
          </w:p>
        </w:tc>
      </w:tr>
      <w:tr w14:paraId="291B9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555069D7">
            <w:pPr>
              <w:widowControl w:val="0"/>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61D6BF77">
            <w:pPr>
              <w:widowControl w:val="0"/>
              <w:jc w:val="center"/>
              <w:rPr>
                <w:rFonts w:hint="eastAsia" w:ascii="宋体" w:hAnsi="宋体" w:eastAsia="宋体" w:cs="宋体"/>
                <w:sz w:val="18"/>
                <w:szCs w:val="18"/>
              </w:rPr>
            </w:pPr>
            <w:r>
              <w:rPr>
                <w:rFonts w:hint="eastAsia" w:ascii="宋体" w:hAnsi="宋体" w:eastAsia="宋体" w:cs="宋体"/>
                <w:sz w:val="18"/>
                <w:szCs w:val="18"/>
              </w:rPr>
              <w:t>防火涂料LK-ZH-T</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474225BA">
            <w:pPr>
              <w:widowControl w:val="0"/>
              <w:jc w:val="center"/>
              <w:rPr>
                <w:rFonts w:hint="eastAsia" w:ascii="宋体" w:hAnsi="宋体" w:eastAsia="宋体" w:cs="宋体"/>
                <w:sz w:val="18"/>
                <w:szCs w:val="18"/>
              </w:rPr>
            </w:pPr>
            <w:r>
              <w:rPr>
                <w:rFonts w:hint="eastAsia" w:ascii="宋体" w:hAnsi="宋体" w:eastAsia="宋体" w:cs="宋体"/>
                <w:sz w:val="18"/>
                <w:szCs w:val="18"/>
              </w:rPr>
              <w:t>kg</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525455DE">
            <w:pPr>
              <w:widowControl w:val="0"/>
              <w:jc w:val="center"/>
              <w:rPr>
                <w:rFonts w:hint="eastAsia" w:ascii="宋体" w:hAnsi="宋体" w:eastAsia="宋体" w:cs="宋体"/>
                <w:sz w:val="18"/>
                <w:szCs w:val="18"/>
              </w:rPr>
            </w:pPr>
            <w:r>
              <w:rPr>
                <w:rFonts w:hint="eastAsia" w:ascii="宋体" w:hAnsi="宋体" w:eastAsia="宋体" w:cs="宋体"/>
                <w:sz w:val="18"/>
                <w:szCs w:val="18"/>
              </w:rPr>
              <w:t>150</w:t>
            </w:r>
          </w:p>
        </w:tc>
      </w:tr>
      <w:tr w14:paraId="410B2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380E6E99">
            <w:pPr>
              <w:widowControl w:val="0"/>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1A6B993E">
            <w:pPr>
              <w:widowControl w:val="0"/>
              <w:jc w:val="center"/>
              <w:rPr>
                <w:rFonts w:hint="eastAsia" w:ascii="宋体" w:hAnsi="宋体" w:eastAsia="宋体" w:cs="宋体"/>
                <w:sz w:val="18"/>
                <w:szCs w:val="18"/>
              </w:rPr>
            </w:pPr>
            <w:r>
              <w:rPr>
                <w:rFonts w:hint="eastAsia" w:ascii="宋体" w:hAnsi="宋体" w:eastAsia="宋体" w:cs="宋体"/>
                <w:sz w:val="18"/>
                <w:szCs w:val="18"/>
              </w:rPr>
              <w:t>磷酸铵盐干粉灭火器</w:t>
            </w:r>
          </w:p>
          <w:p w14:paraId="45FC1B52">
            <w:pPr>
              <w:widowControl w:val="0"/>
              <w:jc w:val="center"/>
              <w:rPr>
                <w:rFonts w:hint="eastAsia" w:ascii="宋体" w:hAnsi="宋体" w:eastAsia="宋体" w:cs="宋体"/>
                <w:sz w:val="18"/>
                <w:szCs w:val="18"/>
              </w:rPr>
            </w:pPr>
            <w:r>
              <w:rPr>
                <w:rFonts w:hint="eastAsia" w:ascii="宋体" w:hAnsi="宋体" w:eastAsia="宋体" w:cs="宋体"/>
                <w:sz w:val="18"/>
                <w:szCs w:val="18"/>
              </w:rPr>
              <w:t>MF/ABC4</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26F12E35">
            <w:pPr>
              <w:widowControl w:val="0"/>
              <w:jc w:val="center"/>
              <w:rPr>
                <w:rFonts w:hint="eastAsia" w:ascii="宋体" w:hAnsi="宋体" w:eastAsia="宋体" w:cs="宋体"/>
                <w:sz w:val="18"/>
                <w:szCs w:val="18"/>
              </w:rPr>
            </w:pPr>
            <w:r>
              <w:rPr>
                <w:rFonts w:hint="eastAsia" w:ascii="宋体" w:hAnsi="宋体" w:eastAsia="宋体" w:cs="宋体"/>
                <w:sz w:val="18"/>
                <w:szCs w:val="18"/>
              </w:rPr>
              <w:t>具</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326FC0A7">
            <w:pPr>
              <w:widowControl w:val="0"/>
              <w:jc w:val="center"/>
              <w:rPr>
                <w:rFonts w:hint="eastAsia" w:ascii="宋体" w:hAnsi="宋体" w:eastAsia="宋体" w:cs="宋体"/>
                <w:sz w:val="18"/>
                <w:szCs w:val="18"/>
              </w:rPr>
            </w:pPr>
            <w:r>
              <w:rPr>
                <w:rFonts w:hint="eastAsia" w:ascii="宋体" w:hAnsi="宋体" w:eastAsia="宋体" w:cs="宋体"/>
                <w:sz w:val="18"/>
                <w:szCs w:val="18"/>
              </w:rPr>
              <w:t>34</w:t>
            </w:r>
          </w:p>
        </w:tc>
      </w:tr>
      <w:tr w14:paraId="690A0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47712BB1">
            <w:pPr>
              <w:widowControl w:val="0"/>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187F7B72">
            <w:pPr>
              <w:widowControl w:val="0"/>
              <w:jc w:val="center"/>
              <w:rPr>
                <w:rFonts w:hint="eastAsia" w:ascii="宋体" w:hAnsi="宋体" w:eastAsia="宋体" w:cs="宋体"/>
                <w:sz w:val="18"/>
                <w:szCs w:val="18"/>
              </w:rPr>
            </w:pPr>
            <w:r>
              <w:rPr>
                <w:rFonts w:hint="eastAsia" w:ascii="宋体" w:hAnsi="宋体" w:eastAsia="宋体" w:cs="宋体"/>
                <w:sz w:val="18"/>
                <w:szCs w:val="18"/>
              </w:rPr>
              <w:t>消防灭火器箱</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4C1EE4E2">
            <w:pPr>
              <w:widowControl w:val="0"/>
              <w:jc w:val="center"/>
              <w:rPr>
                <w:rFonts w:hint="eastAsia" w:ascii="宋体" w:hAnsi="宋体" w:eastAsia="宋体" w:cs="宋体"/>
                <w:sz w:val="18"/>
                <w:szCs w:val="18"/>
              </w:rPr>
            </w:pPr>
            <w:r>
              <w:rPr>
                <w:rFonts w:hint="eastAsia" w:ascii="宋体" w:hAnsi="宋体" w:eastAsia="宋体" w:cs="宋体"/>
                <w:sz w:val="18"/>
                <w:szCs w:val="18"/>
              </w:rPr>
              <w:t>个</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14:paraId="7ACFE699">
            <w:pPr>
              <w:widowControl w:val="0"/>
              <w:jc w:val="center"/>
              <w:rPr>
                <w:rFonts w:hint="eastAsia" w:ascii="宋体" w:hAnsi="宋体" w:eastAsia="宋体" w:cs="宋体"/>
                <w:sz w:val="18"/>
                <w:szCs w:val="18"/>
              </w:rPr>
            </w:pPr>
            <w:r>
              <w:rPr>
                <w:rFonts w:hint="eastAsia" w:ascii="宋体" w:hAnsi="宋体" w:eastAsia="宋体" w:cs="宋体"/>
                <w:sz w:val="18"/>
                <w:szCs w:val="18"/>
              </w:rPr>
              <w:t>17</w:t>
            </w:r>
          </w:p>
        </w:tc>
      </w:tr>
    </w:tbl>
    <w:p w14:paraId="7930EAE8">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eastAsia" w:ascii="宋体" w:hAnsi="宋体" w:eastAsia="宋体" w:cs="宋体"/>
          <w:b/>
          <w:bCs w:val="0"/>
          <w:i w:val="0"/>
          <w:iCs w:val="0"/>
          <w:caps w:val="0"/>
          <w:smallCaps w:val="0"/>
          <w:strike w:val="0"/>
          <w:dstrike w:val="0"/>
          <w:vanish w:val="0"/>
          <w:color w:val="auto"/>
          <w:spacing w:val="0"/>
          <w:kern w:val="0"/>
          <w:position w:val="0"/>
          <w:sz w:val="28"/>
          <w:szCs w:val="28"/>
          <w:u w:val="none"/>
          <w:vertAlign w:val="baseline"/>
          <w:lang w:val="en-US" w:eastAsia="zh-CN" w:bidi="ar-SA"/>
        </w:rPr>
      </w:pPr>
      <w:r>
        <w:rPr>
          <w:rFonts w:hint="eastAsia" w:ascii="宋体" w:hAnsi="宋体" w:eastAsia="宋体" w:cs="宋体"/>
          <w:b/>
          <w:bCs/>
          <w:sz w:val="28"/>
          <w:szCs w:val="28"/>
          <w:lang w:val="en-US" w:eastAsia="zh-CN"/>
        </w:rPr>
        <w:t>4.2.6 光伏支架设计</w:t>
      </w:r>
    </w:p>
    <w:p w14:paraId="63FA413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bookmarkStart w:id="49" w:name="OLE_LINK147"/>
      <w:r>
        <w:rPr>
          <w:rFonts w:hint="eastAsia" w:ascii="宋体" w:hAnsi="宋体" w:eastAsia="宋体" w:cs="宋体"/>
          <w:snapToGrid/>
          <w:color w:val="auto"/>
          <w:spacing w:val="0"/>
          <w:w w:val="100"/>
          <w:kern w:val="2"/>
          <w:position w:val="0"/>
          <w:sz w:val="28"/>
          <w:szCs w:val="28"/>
          <w:lang w:val="en-US" w:eastAsia="zh-CN" w:bidi="zh-CN"/>
        </w:rPr>
        <w:t>光伏导轨设计依据《光伏发电站设计规范》GB50797-2012进行设计，风荷载、雪荷载和温度荷载按现行国家标准《建筑结构荷载规范》GB50009中25年一遇的荷载数值取值。支架风荷载体型系数取1.3。屋面光伏电站不考虑地震作用，位移计算采用各荷载分项系数均应取为1.0；承载力计算时，荷载分项系数按下表采用。</w:t>
      </w:r>
    </w:p>
    <w:p w14:paraId="780A84BC">
      <w:pPr>
        <w:ind w:left="0" w:leftChars="0" w:firstLine="0" w:firstLineChars="0"/>
      </w:pPr>
      <w:r>
        <w:drawing>
          <wp:inline distT="0" distB="0" distL="0" distR="0">
            <wp:extent cx="5429250" cy="1562100"/>
            <wp:effectExtent l="0" t="0" r="11430" b="7620"/>
            <wp:docPr id="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pic:cNvPicPr>
                      <a:picLocks noChangeAspect="1" noChangeArrowheads="1"/>
                    </pic:cNvPicPr>
                  </pic:nvPicPr>
                  <pic:blipFill>
                    <a:blip r:embed="rId16"/>
                    <a:srcRect/>
                    <a:stretch>
                      <a:fillRect/>
                    </a:stretch>
                  </pic:blipFill>
                  <pic:spPr>
                    <a:xfrm>
                      <a:off x="0" y="0"/>
                      <a:ext cx="5429250" cy="1562100"/>
                    </a:xfrm>
                    <a:prstGeom prst="rect">
                      <a:avLst/>
                    </a:prstGeom>
                    <a:noFill/>
                    <a:ln w="9525" cmpd="sng">
                      <a:noFill/>
                      <a:miter lim="800000"/>
                      <a:headEnd/>
                      <a:tailEnd/>
                    </a:ln>
                  </pic:spPr>
                </pic:pic>
              </a:graphicData>
            </a:graphic>
          </wp:inline>
        </w:drawing>
      </w:r>
    </w:p>
    <w:p w14:paraId="3299D05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设计时采用25年一遇平均最大风速作为计算依据，确保支架系统安全、稳定。支架设计时考虑恒载0.5kN/㎡(组件不同，重量不同)，雪荷载0.52kN/㎡。支架受力设计的主要影响因素为风荷载，在各种荷载组合下，支架应满足规范对强度、刚度、稳定等各项指标要求。本工程设计风荷载取自当地气象资料中的多年最大风速换算风压与建筑结构荷载规范中地区基本风压的较大值。风速与风压关系式为Wk=S²/1600。</w:t>
      </w:r>
      <w:bookmarkEnd w:id="49"/>
    </w:p>
    <w:p w14:paraId="1B626E3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电池板组件支撑系统安装施工固定支架结构形式为：将导轨固定彩钢瓦上，将组件通过压块固定在导轨上。</w:t>
      </w:r>
    </w:p>
    <w:p w14:paraId="646DA1A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屋顶支架安装示意图如下所示：</w:t>
      </w:r>
    </w:p>
    <w:p w14:paraId="324451B8">
      <w:pPr>
        <w:pStyle w:val="6"/>
        <w:ind w:left="0" w:leftChars="0" w:firstLine="0" w:firstLineChars="0"/>
        <w:jc w:val="center"/>
      </w:pPr>
      <w:r>
        <w:rPr>
          <w:kern w:val="0"/>
        </w:rPr>
        <w:drawing>
          <wp:inline distT="0" distB="0" distL="0" distR="0">
            <wp:extent cx="5457825" cy="2438400"/>
            <wp:effectExtent l="0" t="0" r="13335" b="0"/>
            <wp:docPr id="32" name="图片 38" descr="说明: F:\胡高志\其他\国强和新扬子\新扬子照片\新扬子项目施工照片\20141024IMG_20141024_14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8" descr="说明: F:\胡高志\其他\国强和新扬子\新扬子照片\新扬子项目施工照片\20141024IMG_20141024_143624.jpg"/>
                    <pic:cNvPicPr>
                      <a:picLocks noChangeAspect="1" noChangeArrowheads="1"/>
                    </pic:cNvPicPr>
                  </pic:nvPicPr>
                  <pic:blipFill>
                    <a:blip r:embed="rId17"/>
                    <a:srcRect t="7372"/>
                    <a:stretch>
                      <a:fillRect/>
                    </a:stretch>
                  </pic:blipFill>
                  <pic:spPr>
                    <a:xfrm>
                      <a:off x="0" y="0"/>
                      <a:ext cx="5457825" cy="2438400"/>
                    </a:xfrm>
                    <a:prstGeom prst="rect">
                      <a:avLst/>
                    </a:prstGeom>
                    <a:noFill/>
                    <a:ln w="9525" cmpd="sng">
                      <a:noFill/>
                      <a:miter lim="800000"/>
                      <a:headEnd/>
                      <a:tailEnd/>
                    </a:ln>
                    <a:effectLst/>
                  </pic:spPr>
                </pic:pic>
              </a:graphicData>
            </a:graphic>
          </wp:inline>
        </w:drawing>
      </w:r>
    </w:p>
    <w:p w14:paraId="433BD875">
      <w:pPr>
        <w:autoSpaceDE w:val="0"/>
        <w:autoSpaceDN w:val="0"/>
        <w:adjustRightInd w:val="0"/>
        <w:ind w:left="0" w:leftChars="0" w:firstLine="0" w:firstLineChars="0"/>
        <w:jc w:val="center"/>
        <w:rPr>
          <w:kern w:val="0"/>
          <w:sz w:val="24"/>
          <w:szCs w:val="24"/>
        </w:rPr>
      </w:pPr>
      <w:r>
        <w:rPr>
          <w:rFonts w:hint="eastAsia"/>
          <w:kern w:val="0"/>
          <w:sz w:val="24"/>
          <w:szCs w:val="24"/>
        </w:rPr>
        <w:drawing>
          <wp:inline distT="0" distB="0" distL="0" distR="0">
            <wp:extent cx="5514975" cy="3429000"/>
            <wp:effectExtent l="0" t="0" r="1905" b="0"/>
            <wp:docPr id="35" name="图片 35" descr="3f955fae02b5dd92c794a23cec89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f955fae02b5dd92c794a23cec89e73"/>
                    <pic:cNvPicPr>
                      <a:picLocks noChangeAspect="1" noChangeArrowheads="1"/>
                    </pic:cNvPicPr>
                  </pic:nvPicPr>
                  <pic:blipFill>
                    <a:blip r:embed="rId18" cstate="print"/>
                    <a:srcRect/>
                    <a:stretch>
                      <a:fillRect/>
                    </a:stretch>
                  </pic:blipFill>
                  <pic:spPr>
                    <a:xfrm>
                      <a:off x="0" y="0"/>
                      <a:ext cx="5514975" cy="3429000"/>
                    </a:xfrm>
                    <a:prstGeom prst="rect">
                      <a:avLst/>
                    </a:prstGeom>
                    <a:noFill/>
                    <a:ln w="9525" cmpd="sng">
                      <a:noFill/>
                      <a:miter lim="800000"/>
                      <a:headEnd/>
                      <a:tailEnd/>
                    </a:ln>
                  </pic:spPr>
                </pic:pic>
              </a:graphicData>
            </a:graphic>
          </wp:inline>
        </w:drawing>
      </w:r>
    </w:p>
    <w:p w14:paraId="02D0A5A8">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jc w:val="center"/>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以上是安装后的效果图</w:t>
      </w:r>
    </w:p>
    <w:p w14:paraId="116397C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42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bookmarkStart w:id="50" w:name="_Toc10826"/>
      <w:bookmarkStart w:id="51" w:name="_Toc21934"/>
      <w:bookmarkStart w:id="52" w:name="_Toc30608"/>
      <w:bookmarkStart w:id="53" w:name="_Toc15450"/>
      <w:r>
        <w:rPr>
          <w:rFonts w:hint="eastAsia" w:ascii="宋体" w:hAnsi="宋体" w:eastAsia="宋体" w:cs="宋体"/>
          <w:snapToGrid/>
          <w:color w:val="auto"/>
          <w:spacing w:val="0"/>
          <w:w w:val="100"/>
          <w:kern w:val="2"/>
          <w:position w:val="0"/>
          <w:sz w:val="28"/>
          <w:szCs w:val="28"/>
          <w:lang w:val="en-US" w:eastAsia="zh-CN" w:bidi="zh-CN"/>
        </w:rPr>
        <w:t>钢结构光伏车棚支架设计：</w:t>
      </w:r>
    </w:p>
    <w:p w14:paraId="243C949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42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光伏组件沿车棚钢结构坡度平铺，通过螺栓将光伏支架安装于车棚钢结构上，光伏组件铺设于檩条上。</w:t>
      </w:r>
    </w:p>
    <w:p w14:paraId="5D5694E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42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车棚的主要施工包括车棚基础的制作，首先进行土方开挖、基础制作、土方</w:t>
      </w:r>
      <w:bookmarkStart w:id="54" w:name="bookmark28"/>
      <w:bookmarkEnd w:id="54"/>
      <w:r>
        <w:rPr>
          <w:rFonts w:hint="eastAsia" w:ascii="宋体" w:hAnsi="宋体" w:eastAsia="宋体" w:cs="宋体"/>
          <w:snapToGrid/>
          <w:color w:val="auto"/>
          <w:spacing w:val="0"/>
          <w:w w:val="100"/>
          <w:kern w:val="2"/>
          <w:position w:val="0"/>
          <w:sz w:val="28"/>
          <w:szCs w:val="28"/>
          <w:lang w:val="en-US" w:eastAsia="zh-CN" w:bidi="zh-CN"/>
        </w:rPr>
        <w:t>回填，在其上搭建车棚钢构，组件直接敷设在车棚顶部钢结构上。光伏车棚主材均为钢板，钢结构安装完成后依次刷一遍底漆，两遍环氧富锌漆，一遍面漆，以起到良好的防腐效果。</w:t>
      </w:r>
    </w:p>
    <w:p w14:paraId="7C20F67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42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本项目建议的车棚造型方案有以下几种供业主选择：</w:t>
      </w:r>
    </w:p>
    <w:p w14:paraId="1FE85BDF">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left="0" w:leftChars="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A.单立柱设计</w:t>
      </w:r>
    </w:p>
    <w:p w14:paraId="5996AD27">
      <w:pPr>
        <w:keepNext w:val="0"/>
        <w:keepLines w:val="0"/>
        <w:pageBreakBefore w:val="0"/>
        <w:widowControl w:val="0"/>
        <w:numPr>
          <w:ilvl w:val="0"/>
          <w:numId w:val="0"/>
        </w:numPr>
        <w:kinsoku/>
        <w:wordWrap/>
        <w:overflowPunct/>
        <w:topLinePunct/>
        <w:autoSpaceDE w:val="0"/>
        <w:autoSpaceDN/>
        <w:bidi w:val="0"/>
        <w:adjustRightInd/>
        <w:snapToGrid/>
        <w:spacing w:before="157" w:beforeLines="50" w:beforeAutospacing="0" w:after="157" w:afterLines="50" w:afterAutospacing="0" w:line="360" w:lineRule="auto"/>
        <w:ind w:left="0" w:leftChars="0" w:firstLine="42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drawing>
          <wp:anchor distT="0" distB="0" distL="114300" distR="114300" simplePos="0" relativeHeight="251659264" behindDoc="0" locked="0" layoutInCell="1" allowOverlap="1">
            <wp:simplePos x="0" y="0"/>
            <wp:positionH relativeFrom="column">
              <wp:posOffset>266700</wp:posOffset>
            </wp:positionH>
            <wp:positionV relativeFrom="paragraph">
              <wp:posOffset>38100</wp:posOffset>
            </wp:positionV>
            <wp:extent cx="5173980" cy="3175000"/>
            <wp:effectExtent l="0" t="0" r="0" b="0"/>
            <wp:wrapTopAndBottom/>
            <wp:docPr id="38" name="picture" descr="descript"/>
            <wp:cNvGraphicFramePr/>
            <a:graphic xmlns:a="http://schemas.openxmlformats.org/drawingml/2006/main">
              <a:graphicData uri="http://schemas.openxmlformats.org/drawingml/2006/picture">
                <pic:pic xmlns:pic="http://schemas.openxmlformats.org/drawingml/2006/picture">
                  <pic:nvPicPr>
                    <pic:cNvPr id="38" name="picture" descr="descript"/>
                    <pic:cNvPicPr/>
                  </pic:nvPicPr>
                  <pic:blipFill>
                    <a:blip r:embed="rId19"/>
                    <a:srcRect/>
                    <a:stretch>
                      <a:fillRect/>
                    </a:stretch>
                  </pic:blipFill>
                  <pic:spPr>
                    <a:xfrm>
                      <a:off x="0" y="0"/>
                      <a:ext cx="5173980" cy="3175000"/>
                    </a:xfrm>
                    <a:prstGeom prst="rect">
                      <a:avLst/>
                    </a:prstGeom>
                  </pic:spPr>
                </pic:pic>
              </a:graphicData>
            </a:graphic>
          </wp:anchor>
        </w:drawing>
      </w:r>
    </w:p>
    <w:p w14:paraId="1EAB0B98">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14:paraId="5BD19F7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42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drawing>
          <wp:anchor distT="0" distB="0" distL="114300" distR="114300" simplePos="0" relativeHeight="251661312" behindDoc="0" locked="0" layoutInCell="1" allowOverlap="1">
            <wp:simplePos x="0" y="0"/>
            <wp:positionH relativeFrom="column">
              <wp:posOffset>266700</wp:posOffset>
            </wp:positionH>
            <wp:positionV relativeFrom="paragraph">
              <wp:posOffset>0</wp:posOffset>
            </wp:positionV>
            <wp:extent cx="4601845" cy="3460750"/>
            <wp:effectExtent l="0" t="0" r="0" b="0"/>
            <wp:wrapTopAndBottom/>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20"/>
                    <a:srcRect/>
                    <a:stretch>
                      <a:fillRect/>
                    </a:stretch>
                  </pic:blipFill>
                  <pic:spPr>
                    <a:xfrm>
                      <a:off x="0" y="0"/>
                      <a:ext cx="4601845" cy="3460750"/>
                    </a:xfrm>
                    <a:prstGeom prst="rect">
                      <a:avLst/>
                    </a:prstGeom>
                  </pic:spPr>
                </pic:pic>
              </a:graphicData>
            </a:graphic>
          </wp:anchor>
        </w:drawing>
      </w:r>
    </w:p>
    <w:p w14:paraId="789415C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B.双立柱设计</w:t>
      </w:r>
    </w:p>
    <w:p w14:paraId="054EBBAB">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42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drawing>
          <wp:anchor distT="0" distB="0" distL="114300" distR="114300" simplePos="0" relativeHeight="251662336" behindDoc="0" locked="0" layoutInCell="1" allowOverlap="1">
            <wp:simplePos x="0" y="0"/>
            <wp:positionH relativeFrom="column">
              <wp:posOffset>419100</wp:posOffset>
            </wp:positionH>
            <wp:positionV relativeFrom="paragraph">
              <wp:posOffset>152400</wp:posOffset>
            </wp:positionV>
            <wp:extent cx="5262880" cy="2498725"/>
            <wp:effectExtent l="0" t="0" r="0" b="0"/>
            <wp:wrapTopAndBottom/>
            <wp:docPr id="44" name="picture" descr="descript"/>
            <wp:cNvGraphicFramePr/>
            <a:graphic xmlns:a="http://schemas.openxmlformats.org/drawingml/2006/main">
              <a:graphicData uri="http://schemas.openxmlformats.org/drawingml/2006/picture">
                <pic:pic xmlns:pic="http://schemas.openxmlformats.org/drawingml/2006/picture">
                  <pic:nvPicPr>
                    <pic:cNvPr id="44" name="picture" descr="descript"/>
                    <pic:cNvPicPr/>
                  </pic:nvPicPr>
                  <pic:blipFill>
                    <a:blip r:embed="rId21"/>
                    <a:srcRect r="-17804" b="50345"/>
                    <a:stretch>
                      <a:fillRect/>
                    </a:stretch>
                  </pic:blipFill>
                  <pic:spPr>
                    <a:xfrm>
                      <a:off x="0" y="0"/>
                      <a:ext cx="5262570" cy="2498448"/>
                    </a:xfrm>
                    <a:prstGeom prst="rect">
                      <a:avLst/>
                    </a:prstGeom>
                  </pic:spPr>
                </pic:pic>
              </a:graphicData>
            </a:graphic>
          </wp:anchor>
        </w:drawing>
      </w:r>
    </w:p>
    <w:p w14:paraId="0975679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14:paraId="5384F2D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14:paraId="558C711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14:paraId="776A5FC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14:paraId="3818E42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14:paraId="07BEB104">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14:paraId="13AD39B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14:paraId="0EF61EC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14:paraId="455F0FB0">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42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drawing>
          <wp:anchor distT="0" distB="0" distL="114300" distR="114300" simplePos="0" relativeHeight="251663360" behindDoc="0" locked="0" layoutInCell="1" allowOverlap="1">
            <wp:simplePos x="0" y="0"/>
            <wp:positionH relativeFrom="column">
              <wp:posOffset>469265</wp:posOffset>
            </wp:positionH>
            <wp:positionV relativeFrom="paragraph">
              <wp:posOffset>288290</wp:posOffset>
            </wp:positionV>
            <wp:extent cx="4291330" cy="2574925"/>
            <wp:effectExtent l="0" t="0" r="0" b="0"/>
            <wp:wrapTopAndBottom/>
            <wp:docPr id="47" name="picture" descr="descript"/>
            <wp:cNvGraphicFramePr/>
            <a:graphic xmlns:a="http://schemas.openxmlformats.org/drawingml/2006/main">
              <a:graphicData uri="http://schemas.openxmlformats.org/drawingml/2006/picture">
                <pic:pic xmlns:pic="http://schemas.openxmlformats.org/drawingml/2006/picture">
                  <pic:nvPicPr>
                    <pic:cNvPr id="47" name="picture" descr="descript"/>
                    <pic:cNvPicPr/>
                  </pic:nvPicPr>
                  <pic:blipFill>
                    <a:blip r:embed="rId21"/>
                    <a:srcRect t="49030" r="3944" b="-199"/>
                    <a:stretch>
                      <a:fillRect/>
                    </a:stretch>
                  </pic:blipFill>
                  <pic:spPr>
                    <a:xfrm>
                      <a:off x="0" y="0"/>
                      <a:ext cx="4291038" cy="2574659"/>
                    </a:xfrm>
                    <a:prstGeom prst="rect">
                      <a:avLst/>
                    </a:prstGeom>
                  </pic:spPr>
                </pic:pic>
              </a:graphicData>
            </a:graphic>
          </wp:anchor>
        </w:drawing>
      </w:r>
    </w:p>
    <w:p w14:paraId="695FE9B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14:paraId="17CB13E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14:paraId="4AEB79D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14:paraId="61FEB6A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14:paraId="090A745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14:paraId="15CDBD6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C.其它造型设计图</w:t>
      </w:r>
    </w:p>
    <w:p w14:paraId="449F8AF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Y字形立柱</w:t>
      </w:r>
    </w:p>
    <w:p w14:paraId="15198F34">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42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drawing>
          <wp:inline distT="0" distB="0" distL="114300" distR="114300">
            <wp:extent cx="5038725" cy="3771900"/>
            <wp:effectExtent l="0" t="0" r="9525" b="0"/>
            <wp:docPr id="50" name="图片 6" descr="174927187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descr="1749271876548"/>
                    <pic:cNvPicPr>
                      <a:picLocks noChangeAspect="1"/>
                    </pic:cNvPicPr>
                  </pic:nvPicPr>
                  <pic:blipFill>
                    <a:blip r:embed="rId22"/>
                    <a:srcRect/>
                    <a:stretch>
                      <a:fillRect/>
                    </a:stretch>
                  </pic:blipFill>
                  <pic:spPr>
                    <a:xfrm>
                      <a:off x="0" y="0"/>
                      <a:ext cx="5038725" cy="3771900"/>
                    </a:xfrm>
                    <a:prstGeom prst="rect">
                      <a:avLst/>
                    </a:prstGeom>
                  </pic:spPr>
                </pic:pic>
              </a:graphicData>
            </a:graphic>
          </wp:inline>
        </w:drawing>
      </w:r>
    </w:p>
    <w:p w14:paraId="07318E4B">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14:paraId="1318BC78">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14:paraId="297996C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三角支撑立柱</w:t>
      </w:r>
    </w:p>
    <w:p w14:paraId="091D142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42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drawing>
          <wp:inline distT="0" distB="0" distL="114300" distR="114300">
            <wp:extent cx="5257800" cy="2828925"/>
            <wp:effectExtent l="0" t="0" r="0" b="9525"/>
            <wp:docPr id="53" name="图片 7" descr="174927190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 descr="1749271902630"/>
                    <pic:cNvPicPr>
                      <a:picLocks noChangeAspect="1"/>
                    </pic:cNvPicPr>
                  </pic:nvPicPr>
                  <pic:blipFill>
                    <a:blip r:embed="rId23"/>
                    <a:srcRect/>
                    <a:stretch>
                      <a:fillRect/>
                    </a:stretch>
                  </pic:blipFill>
                  <pic:spPr>
                    <a:xfrm>
                      <a:off x="0" y="0"/>
                      <a:ext cx="5257800" cy="2828925"/>
                    </a:xfrm>
                    <a:prstGeom prst="rect">
                      <a:avLst/>
                    </a:prstGeom>
                  </pic:spPr>
                </pic:pic>
              </a:graphicData>
            </a:graphic>
          </wp:inline>
        </w:drawing>
      </w:r>
    </w:p>
    <w:p w14:paraId="4A97B372">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4.3 储能系统配置方案</w:t>
      </w:r>
      <w:bookmarkEnd w:id="50"/>
      <w:bookmarkEnd w:id="51"/>
      <w:bookmarkEnd w:id="52"/>
      <w:bookmarkEnd w:id="53"/>
    </w:p>
    <w:p w14:paraId="25BF591B">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4.3.1 设计方案</w:t>
      </w:r>
    </w:p>
    <w:p w14:paraId="58B4D25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规划在园区内设置变电站一座，项目总体容量为20MW/40MWh，由8个2.50MW/5.00MWh独立集装箱式储能单元构成。</w:t>
      </w:r>
    </w:p>
    <w:p w14:paraId="173C1E7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同时配套提升园区绿化景观及增加充电桩工程。</w:t>
      </w:r>
    </w:p>
    <w:p w14:paraId="72CA9DB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该储能方案采用CATL280AH磷酸铁锂储能电池，具有“能量密度高，循环寿命长，系统设计高度集成化”的出色储能效益，其系统内部集成储能电池、BMS、温控、消防和照明等子系统，并集成在一个40尺的标准预制舱中。</w:t>
      </w:r>
    </w:p>
    <w:p w14:paraId="7E8288A8">
      <w:pPr>
        <w:ind w:left="0" w:leftChars="0" w:firstLine="0" w:firstLineChars="0"/>
        <w:jc w:val="center"/>
        <w:rPr>
          <w:rFonts w:ascii="宋体" w:hAnsi="宋体"/>
        </w:rPr>
      </w:pPr>
      <w:r>
        <w:rPr>
          <w:rFonts w:ascii="宋体" w:hAnsi="宋体"/>
        </w:rPr>
        <w:drawing>
          <wp:inline distT="0" distB="0" distL="0" distR="0">
            <wp:extent cx="5288280" cy="3667760"/>
            <wp:effectExtent l="0" t="0" r="0" b="5080"/>
            <wp:docPr id="56" name="图片 3" descr="C:\Users\Administrator\Documents\WeChat Files\wxid_6xj7tm83ftvi21\FileStorage\Temp\1684392748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descr="C:\Users\Administrator\Documents\WeChat Files\wxid_6xj7tm83ftvi21\FileStorage\Temp\1684392748248.png"/>
                    <pic:cNvPicPr>
                      <a:picLocks noChangeAspect="1" noChangeArrowheads="1"/>
                    </pic:cNvPicPr>
                  </pic:nvPicPr>
                  <pic:blipFill>
                    <a:blip r:embed="rId24" cstate="print"/>
                    <a:srcRect/>
                    <a:stretch>
                      <a:fillRect/>
                    </a:stretch>
                  </pic:blipFill>
                  <pic:spPr>
                    <a:xfrm>
                      <a:off x="0" y="0"/>
                      <a:ext cx="5288865" cy="3668233"/>
                    </a:xfrm>
                    <a:prstGeom prst="rect">
                      <a:avLst/>
                    </a:prstGeom>
                    <a:noFill/>
                    <a:ln w="9525">
                      <a:noFill/>
                      <a:miter lim="800000"/>
                      <a:headEnd/>
                      <a:tailEnd/>
                    </a:ln>
                  </pic:spPr>
                </pic:pic>
              </a:graphicData>
            </a:graphic>
          </wp:inline>
        </w:drawing>
      </w:r>
    </w:p>
    <w:p w14:paraId="3EA58229">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4.3.2 电池集装箱组成</w:t>
      </w:r>
    </w:p>
    <w:p w14:paraId="7CBB1A35">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集装箱采用内维护方式，分为电池和PCS两个舱室放置，整个储能系统容量为5</w:t>
      </w:r>
      <w:r>
        <w:rPr>
          <w:rFonts w:ascii="宋体" w:hAnsi="宋体" w:eastAsia="宋体" w:cs="宋体"/>
          <w:i w:val="0"/>
          <w:strike w:val="0"/>
          <w:spacing w:val="0"/>
          <w:sz w:val="28"/>
          <w:u w:val="none"/>
        </w:rPr>
        <w:t>000KWH</w:t>
      </w:r>
      <w:r>
        <w:rPr>
          <w:rFonts w:hint="eastAsia" w:ascii="宋体" w:hAnsi="宋体" w:eastAsia="宋体" w:cs="宋体"/>
          <w:snapToGrid/>
          <w:color w:val="auto"/>
          <w:spacing w:val="0"/>
          <w:w w:val="100"/>
          <w:kern w:val="2"/>
          <w:position w:val="0"/>
          <w:sz w:val="28"/>
          <w:szCs w:val="28"/>
          <w:lang w:val="en-US" w:eastAsia="zh-CN" w:bidi="zh-CN"/>
        </w:rPr>
        <w:t>，共有10个电池簇单元，包含电池模组、高压控制盒、电池架、BMS、及高低压连接线束等放置于集装箱内。其中，电池组采用模块化设计，每个电池组为1P16S。每个电池组配置一个电池管理单元（BMU），对单体电池的电压、温度等参数进行检测；每一个电池簇由15个电池模组串联组成，共1P240S，单个电池系统由10个电池簇并联组成，共10P240S。</w:t>
      </w:r>
    </w:p>
    <w:p w14:paraId="00A87CCF">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4.3.3 集装箱消防方案</w:t>
      </w:r>
    </w:p>
    <w:p w14:paraId="4A625404">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电池箱内采取了一套手自动一体消防系统。该消防系统由火灾报警控制器/气体灭火控制盘、复合型气体探测器、声光报警器、警铃、放气指示灯、手动紧急启/停按钮、业务箱灭火装置（含灭火剂储存瓶、电磁驱动装置、压力信号器）、业务箱配套件（喷头、高压软管）、供电箱灭火装置（含灭火剂储存瓶、电磁驱动装置、压力信号器）组成。</w:t>
      </w:r>
    </w:p>
    <w:p w14:paraId="25961C9C">
      <w:pPr>
        <w:ind w:firstLine="550"/>
        <w:jc w:val="center"/>
        <w:rPr>
          <w:spacing w:val="-3"/>
        </w:rPr>
      </w:pPr>
      <w:r>
        <w:rPr>
          <w:spacing w:val="-3"/>
        </w:rPr>
        <w:drawing>
          <wp:inline distT="0" distB="0" distL="0" distR="0">
            <wp:extent cx="4086225" cy="5465445"/>
            <wp:effectExtent l="0" t="0" r="13335" b="5715"/>
            <wp:docPr id="59" name="图片 5" descr="C:\Users\Administrator\Documents\WeChat Files\wxid_6xj7tm83ftvi21\FileStorage\Temp\16843932109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 descr="C:\Users\Administrator\Documents\WeChat Files\wxid_6xj7tm83ftvi21\FileStorage\Temp\1684393210985.png"/>
                    <pic:cNvPicPr>
                      <a:picLocks noChangeAspect="1" noChangeArrowheads="1"/>
                    </pic:cNvPicPr>
                  </pic:nvPicPr>
                  <pic:blipFill>
                    <a:blip r:embed="rId25" cstate="print"/>
                    <a:srcRect/>
                    <a:stretch>
                      <a:fillRect/>
                    </a:stretch>
                  </pic:blipFill>
                  <pic:spPr>
                    <a:xfrm>
                      <a:off x="0" y="0"/>
                      <a:ext cx="4088029" cy="5468402"/>
                    </a:xfrm>
                    <a:prstGeom prst="rect">
                      <a:avLst/>
                    </a:prstGeom>
                    <a:noFill/>
                    <a:ln w="9525">
                      <a:noFill/>
                      <a:miter lim="800000"/>
                      <a:headEnd/>
                      <a:tailEnd/>
                    </a:ln>
                  </pic:spPr>
                </pic:pic>
              </a:graphicData>
            </a:graphic>
          </wp:inline>
        </w:drawing>
      </w:r>
    </w:p>
    <w:p w14:paraId="065C831D">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4.3.4 BMS系统概述</w:t>
      </w:r>
    </w:p>
    <w:p w14:paraId="534047E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电池管理系统主要由总控单元（三级架构）（BAU）、主控单元（BCU）、从控单元（BMU）以及相应的线束组成，系统具有功能覆盖广，体积小，抗干扰性能强，安全可靠等特点。</w:t>
      </w:r>
    </w:p>
    <w:p w14:paraId="3552E11A">
      <w:pPr>
        <w:ind w:firstLine="0" w:firstLineChars="0"/>
        <w:jc w:val="center"/>
      </w:pPr>
      <w:r>
        <w:drawing>
          <wp:inline distT="0" distB="0" distL="0" distR="0">
            <wp:extent cx="4413250" cy="2846705"/>
            <wp:effectExtent l="0" t="0" r="6350" b="3175"/>
            <wp:docPr id="62" name="图片 4" descr="C:\Users\Administrator\Documents\WeChat Files\wxid_6xj7tm83ftvi21\FileStorage\Temp\1684393137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C:\Users\Administrator\Documents\WeChat Files\wxid_6xj7tm83ftvi21\FileStorage\Temp\1684393137472.png"/>
                    <pic:cNvPicPr>
                      <a:picLocks noChangeAspect="1" noChangeArrowheads="1"/>
                    </pic:cNvPicPr>
                  </pic:nvPicPr>
                  <pic:blipFill>
                    <a:blip r:embed="rId26"/>
                    <a:srcRect/>
                    <a:stretch>
                      <a:fillRect/>
                    </a:stretch>
                  </pic:blipFill>
                  <pic:spPr>
                    <a:xfrm>
                      <a:off x="0" y="0"/>
                      <a:ext cx="4436086" cy="2862026"/>
                    </a:xfrm>
                    <a:prstGeom prst="rect">
                      <a:avLst/>
                    </a:prstGeom>
                    <a:noFill/>
                    <a:ln w="9525">
                      <a:noFill/>
                      <a:miter lim="800000"/>
                      <a:headEnd/>
                      <a:tailEnd/>
                    </a:ln>
                  </pic:spPr>
                </pic:pic>
              </a:graphicData>
            </a:graphic>
          </wp:inline>
        </w:drawing>
      </w:r>
    </w:p>
    <w:p w14:paraId="2E5CCF31">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4.3.5 EMS系统</w:t>
      </w:r>
    </w:p>
    <w:p w14:paraId="45914EE0">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能量管理系统是储能电站的重要组成部分，它为微电网调度控制中心提供数据管理、监视、控制和优化，保障储能系统的稳定高效运行。能量管理系统为储能系统内部每个能源控制器提供功率和电压设定点；确保满足系统中热负荷、电负荷需求；确保系统满足与主网系统间的运行协议；尽可能使能源消耗与系统损耗最小；提供系统故障情况下孤岛运行与重合闸的逻辑与控制方法等。</w:t>
      </w:r>
    </w:p>
    <w:p w14:paraId="583B4548">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本储能系统中，EMS通讯拓扑分为三层结构：云监控、本地监控、协调控制；底层设备：1台500KW储能变流器、电池管理系统（BMS）、环境监测设备、消防系统、空调或门禁系统等均接入监控系统。</w:t>
      </w:r>
    </w:p>
    <w:p w14:paraId="1E07F9B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云监控：WEB展示、手机APP展示、报表数据分析、电池数据全景分析。</w:t>
      </w:r>
    </w:p>
    <w:p w14:paraId="172A513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本地监控：本地展示、控制策略、自动逻辑、自动手动控制、历史数据报表、视频接入。</w:t>
      </w:r>
    </w:p>
    <w:p w14:paraId="2D338F9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现场控制：通讯接入PCS、BMS、消防、空调控制，关键设备保护。</w:t>
      </w:r>
    </w:p>
    <w:p w14:paraId="3F5C4FFA">
      <w:pPr>
        <w:ind w:left="0" w:leftChars="0" w:firstLine="0" w:firstLineChars="0"/>
        <w:jc w:val="center"/>
      </w:pPr>
      <w:r>
        <w:drawing>
          <wp:inline distT="0" distB="0" distL="0" distR="0">
            <wp:extent cx="4819650" cy="2595880"/>
            <wp:effectExtent l="0" t="0" r="11430" b="10160"/>
            <wp:docPr id="65" name="图片 6" descr="C:\Users\Administrator\Documents\WeChat Files\wxid_6xj7tm83ftvi21\FileStorage\Temp\16843932925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 descr="C:\Users\Administrator\Documents\WeChat Files\wxid_6xj7tm83ftvi21\FileStorage\Temp\1684393292552(1).png"/>
                    <pic:cNvPicPr>
                      <a:picLocks noChangeAspect="1" noChangeArrowheads="1"/>
                    </pic:cNvPicPr>
                  </pic:nvPicPr>
                  <pic:blipFill>
                    <a:blip r:embed="rId27"/>
                    <a:srcRect r="6523"/>
                    <a:stretch>
                      <a:fillRect/>
                    </a:stretch>
                  </pic:blipFill>
                  <pic:spPr>
                    <a:xfrm>
                      <a:off x="0" y="0"/>
                      <a:ext cx="4839663" cy="2606898"/>
                    </a:xfrm>
                    <a:prstGeom prst="rect">
                      <a:avLst/>
                    </a:prstGeom>
                    <a:noFill/>
                    <a:ln w="9525">
                      <a:noFill/>
                      <a:miter lim="800000"/>
                      <a:headEnd/>
                      <a:tailEnd/>
                    </a:ln>
                  </pic:spPr>
                </pic:pic>
              </a:graphicData>
            </a:graphic>
          </wp:inline>
        </w:drawing>
      </w:r>
    </w:p>
    <w:p w14:paraId="311F5DB8">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bookmarkStart w:id="55" w:name="_Toc20518"/>
      <w:bookmarkStart w:id="56" w:name="_Toc17748"/>
      <w:r>
        <w:rPr>
          <w:rFonts w:hint="eastAsia" w:ascii="宋体" w:hAnsi="宋体" w:eastAsia="宋体" w:cs="宋体"/>
          <w:b/>
          <w:bCs/>
          <w:sz w:val="28"/>
          <w:szCs w:val="28"/>
          <w:lang w:val="en-US" w:eastAsia="zh-CN"/>
        </w:rPr>
        <w:t>4.3.6 光伏储能系统一次单线图</w:t>
      </w:r>
      <w:bookmarkEnd w:id="55"/>
      <w:bookmarkEnd w:id="56"/>
    </w:p>
    <w:p w14:paraId="46973E86">
      <w:pPr>
        <w:ind w:firstLine="0" w:firstLineChars="0"/>
        <w:jc w:val="center"/>
      </w:pPr>
      <w:r>
        <w:drawing>
          <wp:inline distT="0" distB="0" distL="0" distR="0">
            <wp:extent cx="4828540" cy="2784475"/>
            <wp:effectExtent l="0" t="0" r="0" b="0"/>
            <wp:docPr id="68" name="picture" descr="descript"/>
            <wp:cNvGraphicFramePr/>
            <a:graphic xmlns:a="http://schemas.openxmlformats.org/drawingml/2006/main">
              <a:graphicData uri="http://schemas.openxmlformats.org/drawingml/2006/picture">
                <pic:pic xmlns:pic="http://schemas.openxmlformats.org/drawingml/2006/picture">
                  <pic:nvPicPr>
                    <pic:cNvPr id="68" name="picture" descr="descript"/>
                    <pic:cNvPicPr/>
                  </pic:nvPicPr>
                  <pic:blipFill>
                    <a:blip r:embed="rId28"/>
                    <a:srcRect l="5054" t="13681" r="3430" b="10842"/>
                    <a:stretch>
                      <a:fillRect/>
                    </a:stretch>
                  </pic:blipFill>
                  <pic:spPr>
                    <a:xfrm>
                      <a:off x="0" y="0"/>
                      <a:ext cx="4829154" cy="2784980"/>
                    </a:xfrm>
                    <a:prstGeom prst="rect">
                      <a:avLst/>
                    </a:prstGeom>
                  </pic:spPr>
                </pic:pic>
              </a:graphicData>
            </a:graphic>
          </wp:inline>
        </w:drawing>
      </w:r>
    </w:p>
    <w:p w14:paraId="0F32D9A3">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bookmarkStart w:id="57" w:name="_Toc25380"/>
      <w:bookmarkStart w:id="58" w:name="_Toc11139"/>
      <w:r>
        <w:rPr>
          <w:rFonts w:hint="eastAsia" w:ascii="宋体" w:hAnsi="宋体" w:eastAsia="宋体" w:cs="宋体"/>
          <w:b/>
          <w:bCs/>
          <w:sz w:val="28"/>
          <w:szCs w:val="28"/>
          <w:lang w:val="en-US" w:eastAsia="zh-CN"/>
        </w:rPr>
        <w:t>4.3.7 电缆、导线的选型及敷设</w:t>
      </w:r>
      <w:bookmarkEnd w:id="57"/>
      <w:bookmarkEnd w:id="58"/>
    </w:p>
    <w:p w14:paraId="4044209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光伏组串至逆变器的线缆采用PV-F-1x4，直流1000V光伏专用电缆，沿支架横梁敷设至桥架，无横梁的地方穿UPVC管敷设；当同个逆变器的组串不在同一排时，前后排组串的线缆穿UPVC管至逆变器。逆变器至并网柜的电气线缆采用ZC-YJV22-1.6/3.3kV交联聚乙烯绝缘聚氯乙烯护套电力电缆经桥架敷设至地面后再直埋或穿管进入并网柜，并在进线处做好防火封堵。</w:t>
      </w:r>
    </w:p>
    <w:p w14:paraId="697EBEC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直流电缆、动力电缆与控制电缆之间应尽可能分开或分隔敷设。</w:t>
      </w:r>
    </w:p>
    <w:p w14:paraId="5C14A113">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59" w:name="_Toc16259"/>
      <w:bookmarkStart w:id="60" w:name="_Toc32422"/>
      <w:r>
        <w:rPr>
          <w:rFonts w:hint="eastAsia" w:ascii="宋体" w:hAnsi="宋体" w:eastAsia="宋体" w:cs="宋体"/>
          <w:b/>
          <w:bCs/>
          <w:sz w:val="28"/>
          <w:szCs w:val="28"/>
          <w:lang w:val="en-US" w:eastAsia="zh-CN"/>
        </w:rPr>
        <w:t>4.4 建设管理方案</w:t>
      </w:r>
      <w:bookmarkEnd w:id="59"/>
      <w:bookmarkEnd w:id="60"/>
    </w:p>
    <w:p w14:paraId="661605F7">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4.4.1 项目组织</w:t>
      </w:r>
    </w:p>
    <w:p w14:paraId="7511338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为确保项目的建设能够顺利的进行、顺利实施，尽快的投入运营，早日的发挥其重要的价值所在，务必切实加强领导，做好项目的前期准备工作，确保项目的工程质量与进度的完善。</w:t>
      </w:r>
    </w:p>
    <w:p w14:paraId="64980B7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本项目在建设期间，由建设单位组建建设领导小组，有效的负责项目的组织、协调与管理，并负责控制项目建设的进度、质量和投资。项目指挥部下设办公室、工程管理部、物资供应部、计划财务部等职能部门。</w:t>
      </w:r>
    </w:p>
    <w:p w14:paraId="5D41496D">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4.4.2 项目管理</w:t>
      </w:r>
    </w:p>
    <w:p w14:paraId="02FDC810">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1、建设期管理</w:t>
      </w:r>
    </w:p>
    <w:p w14:paraId="0FC73855">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确保工程建设的顺利进行，由主管单位和建设单位成立本项目建设领导小组，切实加强对建设工程项目的领导，“领导小组”内各职能部门都能密切协调配合，做到目标、项目、资金、人员、责任、监督“六落实”并采取有力措施，层层签订责任状，确保项目的顺利实施，并收到预期效果。</w:t>
      </w:r>
    </w:p>
    <w:p w14:paraId="7DAA7F0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整个项目建设要严格执行项目法人制、招投标制、质量监督管理制和工程合同制。要牢固树立“质量第一”的思想，严格把住各个环节的质量关，对项目的资金要做到专款专用，专户储存，封闭使用，严禁资金的挪用，确保项目资金的及时足额到位。</w:t>
      </w:r>
    </w:p>
    <w:p w14:paraId="284FAB7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领导小组负责项目设计、施工和监理的招投标、协调计划落实和工程项目的监督管理、项目的监督检查、资金的落实，确保本项目按期顺利完成，其具体工作如下：</w:t>
      </w:r>
    </w:p>
    <w:p w14:paraId="3DF7846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（1）实行招标投标制</w:t>
      </w:r>
    </w:p>
    <w:p w14:paraId="53F4E784">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对项目勘察设计、施工、监理以及与工程建设有关的设备、主要材料等的采购，面向社会进行公开招标，以达到提高工程质量，降低成本的目的。</w:t>
      </w:r>
    </w:p>
    <w:p w14:paraId="2BB764C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（2）实行工程质量终身责任制</w:t>
      </w:r>
    </w:p>
    <w:p w14:paraId="7E9A6D4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对项目建设工程质量负主要责任的领导、对参建单位的领导人和直接责任人，实行工程质量终身负责制度。</w:t>
      </w:r>
    </w:p>
    <w:p w14:paraId="21B964B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（3）实行工程监理制</w:t>
      </w:r>
    </w:p>
    <w:p w14:paraId="55164FA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项目建设过程中，聘请有资质的监理单位和人员，对项目建设进行监理，抓好工程进度，提高工程质量，降低成本。</w:t>
      </w:r>
    </w:p>
    <w:p w14:paraId="1D793AF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（4）严格按照基本建设程序办事</w:t>
      </w:r>
    </w:p>
    <w:p w14:paraId="74E0691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项目建设过程中，同级审计部门会同纪检检察部门应对建设项目随时进行审计和监督，本项目也应该接受计划、审计等部门和社会舆论的监督，建成后按照有关规定进行严格的竣工验收。</w:t>
      </w:r>
    </w:p>
    <w:p w14:paraId="4CAFE14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（5）严格项目资金管理</w:t>
      </w:r>
    </w:p>
    <w:p w14:paraId="3837FDD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要强化项目区建设专项资金的管理，实行封闭运行的财务管理机制，将建设项目分户建卡，实行专账管理、专款专用，根据项目所需的设备、材料和人工费用按验收凭证经检查、验收后进入预算或结算程序，严禁挪用和挤占。</w:t>
      </w:r>
    </w:p>
    <w:p w14:paraId="6AD9EB90">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2、运营期管理</w:t>
      </w:r>
    </w:p>
    <w:p w14:paraId="0373A665">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运营管理包括节能与节水管理、耗材管理、绿化管理、垃圾管理四方面内容：</w:t>
      </w:r>
    </w:p>
    <w:p w14:paraId="6FA4C23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（1）节能与节水管理</w:t>
      </w:r>
    </w:p>
    <w:p w14:paraId="1113E1A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本项目需制定节能和节水管理模式，对厂区内所使用的资源如水、电等进行监控管理的措施，建立完善的节能和节水管理机制。</w:t>
      </w:r>
    </w:p>
    <w:p w14:paraId="5AF23138">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（2）耗材管理</w:t>
      </w:r>
    </w:p>
    <w:p w14:paraId="7CC9264B">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设备、管道的布置应方便维修、改造和更换；属公共使用功能的设备、管道应设置在公共部位，以便日常维护和更换。建立耗材管理制度，主要包括建立建筑、设备、系统的维护制度，减少因维修带来的材料消耗，使用各类绿色建筑材料。</w:t>
      </w:r>
    </w:p>
    <w:p w14:paraId="5B63357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（3）绿化管理</w:t>
      </w:r>
    </w:p>
    <w:p w14:paraId="6789426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对绿化用水进行计量，建立完善节水型灌溉系统。</w:t>
      </w:r>
    </w:p>
    <w:p w14:paraId="39F3393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（4）垃圾管理</w:t>
      </w:r>
    </w:p>
    <w:p w14:paraId="68D1C0A0">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在项目管理阶段制定一个垃圾管理制度，对生活垃圾进行分类收集，以便于相关垃圾处理单位改造利用。</w:t>
      </w:r>
    </w:p>
    <w:p w14:paraId="57979150">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4.4.3 实施进度</w:t>
      </w:r>
    </w:p>
    <w:p w14:paraId="755FF4FB">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本项目可行性研究报告批准后，建设单位严格按照国家对建设工程的有关规定，积极开展工作。本项目实施主要包括以下五个部分：</w:t>
      </w:r>
    </w:p>
    <w:p w14:paraId="278CA304">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1、前期工作：可研报告编制及批复、准备设计资料、土地征用及补偿等。</w:t>
      </w:r>
    </w:p>
    <w:p w14:paraId="74482CC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2、设计工作：建设场地勘察和工程设计等。</w:t>
      </w:r>
    </w:p>
    <w:p w14:paraId="3E463464">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3、施工准备：落实协作关系及场地平整。</w:t>
      </w:r>
    </w:p>
    <w:p w14:paraId="4D90874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4、工程施工：进行总图及工程施工。</w:t>
      </w:r>
    </w:p>
    <w:p w14:paraId="05BC1CC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5、竣工验收：交工验收。</w:t>
      </w:r>
    </w:p>
    <w:p w14:paraId="1314278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为加快建设进度，缩短建设工期，各阶段工作应尽量提前进行，允许有一定程度交叉。依据项目确定的规划设计方案，项目的建设工期拟定为0.5年。</w:t>
      </w:r>
    </w:p>
    <w:p w14:paraId="414C2EAA">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jc w:val="center"/>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表4-4项目实施进度计划表</w:t>
      </w:r>
    </w:p>
    <w:p w14:paraId="3E771B25">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i w:val="0"/>
          <w:iCs w:val="0"/>
          <w:snapToGrid w:val="0"/>
          <w:color w:val="000000"/>
          <w:kern w:val="0"/>
          <w:sz w:val="21"/>
          <w:szCs w:val="21"/>
          <w:u w:val="none"/>
          <w:lang w:val="en-US" w:eastAsia="zh-CN" w:bidi="ar"/>
        </w:rPr>
        <w:drawing>
          <wp:inline distT="0" distB="0" distL="0" distR="0">
            <wp:extent cx="5274310" cy="2315210"/>
            <wp:effectExtent l="0" t="0" r="0" b="0"/>
            <wp:docPr id="71" name="picture" descr="descript"/>
            <wp:cNvGraphicFramePr/>
            <a:graphic xmlns:a="http://schemas.openxmlformats.org/drawingml/2006/main">
              <a:graphicData uri="http://schemas.openxmlformats.org/drawingml/2006/picture">
                <pic:pic xmlns:pic="http://schemas.openxmlformats.org/drawingml/2006/picture">
                  <pic:nvPicPr>
                    <pic:cNvPr id="71" name="picture" descr="descript"/>
                    <pic:cNvPicPr/>
                  </pic:nvPicPr>
                  <pic:blipFill>
                    <a:blip r:embed="rId29"/>
                    <a:stretch>
                      <a:fillRect/>
                    </a:stretch>
                  </pic:blipFill>
                  <pic:spPr>
                    <a:xfrm>
                      <a:off x="0" y="0"/>
                      <a:ext cx="5274310" cy="2315551"/>
                    </a:xfrm>
                    <a:prstGeom prst="rect">
                      <a:avLst/>
                    </a:prstGeom>
                  </pic:spPr>
                </pic:pic>
              </a:graphicData>
            </a:graphic>
          </wp:inline>
        </w:drawing>
      </w:r>
      <w:r>
        <w:rPr>
          <w:rFonts w:hint="eastAsia" w:ascii="宋体" w:hAnsi="宋体" w:eastAsia="宋体" w:cs="宋体"/>
          <w:b/>
          <w:bCs/>
          <w:sz w:val="28"/>
          <w:szCs w:val="28"/>
          <w:lang w:val="en-US" w:eastAsia="zh-CN"/>
        </w:rPr>
        <w:t>4.4.4 项目招投标</w:t>
      </w:r>
    </w:p>
    <w:p w14:paraId="4E9AC7AB">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4.4.4.1 招标原则</w:t>
      </w:r>
    </w:p>
    <w:p w14:paraId="496B28C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1、公开原则</w:t>
      </w:r>
    </w:p>
    <w:p w14:paraId="2C1DA1E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公开原则，即要求招标投标活动必须保证充分的透明度，招标投标程序、投标人的资格条件、评标标准和方法、评标和中标结果等信息要公开，保证每个投标人能够获得相同信息，公平参与投标竞争并依法维护自身的合法权益。同时招标投标活动的公开透明，也为当事人、行政和社会监督提供了条件。公开是公平、公正的基础和前提。</w:t>
      </w:r>
    </w:p>
    <w:p w14:paraId="3F8AEBF8">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2、公平原则</w:t>
      </w:r>
    </w:p>
    <w:p w14:paraId="517224F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公平原则，即要求招标人在招标投标各程序环节中一视同仁地给予潜在投标人或者投标人平等竞争的机会，并使其享有同等的权利和义务。例如，招标人不得在资格预审文件和招标文件中含有倾向性内容或者以不合理的条件限制和排斥潜在投标人；不得对潜在投标人或者投标人采取不同的资格审查或者评标标准，依法必须进行招标的项目不得以特定行政区域或者特定行业的业绩、奖项作为评标加分条件或者中标条件等。公平原则主要体现在两个方面:一方面，机会均等，即潜在投标人具有均等的投标竞争机会；另一方面，各方权利义务平等，即招标人和所有投标人之间权利义务均衡并合理承担民事责任。</w:t>
      </w:r>
    </w:p>
    <w:p w14:paraId="48968A6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3、公正原则</w:t>
      </w:r>
    </w:p>
    <w:p w14:paraId="363B526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公正原则，即要求招标人必须依法设定科学、合理和统一的程序、方法和标准，并严格据此接受和客观评审投标文件，真正择优确定中标人，不倾向、不歧视、不排斥，保证各投标人的合法平等权益。为此，招标投标法及其配套规定对招标、投标、开标、评标、中标、签订合同等作了相关规定，以保证招标投标的程序、方法、标准、权益及其实体结果的公正。例如，评标委员会必须按照招标文件事先确定并公开的评标标准和方法客观评审投标文件和推荐中标候选人，并明确否决投标的法定情形等。</w:t>
      </w:r>
    </w:p>
    <w:p w14:paraId="0F34E86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4、诚实信用原则</w:t>
      </w:r>
    </w:p>
    <w:p w14:paraId="1028073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诚实信用原则，即要求招标投标各方当事人在招标投标活动和履行合同中应当以守法、诚实、守信、善意的意识和态度行使权利和履行义务，不得故意隐瞒真相或者弄虚作假，不得串标、围标和恶意竞争，不能言而无信甚至背信弃义，在追求自己合法利益的同时不得损害他人的合法利益和社会利益，依法维护双方利益以及与社会利益的平衡。诚实信用是市场经济的基石和民事活动的基本原则。</w:t>
      </w:r>
    </w:p>
    <w:p w14:paraId="47A1C925">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4.4.4.2 招标依据</w:t>
      </w:r>
    </w:p>
    <w:p w14:paraId="5DF19F0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《中华人民共和国建筑法》；</w:t>
      </w:r>
    </w:p>
    <w:p w14:paraId="01DE7FF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《中华人民共和国招标投标法》；</w:t>
      </w:r>
    </w:p>
    <w:p w14:paraId="0A11C6A5">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河南省招投标有关规定。</w:t>
      </w:r>
    </w:p>
    <w:p w14:paraId="7584059A">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4.4.4.4 招标条件</w:t>
      </w:r>
    </w:p>
    <w:p w14:paraId="4AEA8678">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《工程建设项目施工招标投标办法》第八条中规定：依法必须招标的工程建设项目，应当具备下列条件才能进行施工招标：</w:t>
      </w:r>
    </w:p>
    <w:p w14:paraId="2C4C2934">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1、招标人已经依法成立。</w:t>
      </w:r>
    </w:p>
    <w:p w14:paraId="421BF70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2、初步设计及概算应当履行审批手续的，已经批准。</w:t>
      </w:r>
    </w:p>
    <w:p w14:paraId="5910FFCB">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3、有相应资金或资金来源已经落实。</w:t>
      </w:r>
    </w:p>
    <w:p w14:paraId="02A7D51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4、有招标所需的设计图纸及技术资料。</w:t>
      </w:r>
    </w:p>
    <w:p w14:paraId="0EFBE134">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4.4.4.5 招标程序</w:t>
      </w:r>
    </w:p>
    <w:p w14:paraId="089CC16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1、项目招标</w:t>
      </w:r>
    </w:p>
    <w:p w14:paraId="1AA3C2D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本项目招标活动具体程序如下：</w:t>
      </w:r>
    </w:p>
    <w:p w14:paraId="4185E03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（1）本项目按照国家有关规定先履行项目审批手续，取得批准后进行公开招标。</w:t>
      </w:r>
    </w:p>
    <w:p w14:paraId="0B679A6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（2）招标人在国家指定媒体发布招标公告。公告应当载明招标人名称和地址，招标项目的性质、数量、实施地点和时间以及获取招标文件的办法等事项。</w:t>
      </w:r>
    </w:p>
    <w:p w14:paraId="09D8CF7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（3）本项目的招标文件应当包括招标项目的技术要求、对投标人资格审查的标准，投标报价要求和评标标准等所有实质性要求和条件以及拟签订合同的主要条款。</w:t>
      </w:r>
    </w:p>
    <w:p w14:paraId="5A119F6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（4）组织潜在投标人踏勘项目现场。</w:t>
      </w:r>
    </w:p>
    <w:p w14:paraId="31C5730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（5）项目招标文件开始发出之日起至投标人提交投标文件截止之日，最短不得少于二十日。</w:t>
      </w:r>
    </w:p>
    <w:p w14:paraId="3DB792A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2、项目投标</w:t>
      </w:r>
    </w:p>
    <w:p w14:paraId="64007175">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（1）本项目投标人应当具备承担招标项目的能力，并应按照招标文件的要求编制投标文件。</w:t>
      </w:r>
    </w:p>
    <w:p w14:paraId="1F983AB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（2）投标文件的内容应当包括拟派出的项目负责人与主要技术人员的简历、业绩和拟用于完成招标项目的机械设备清单等。</w:t>
      </w:r>
    </w:p>
    <w:p w14:paraId="1FC8ED5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（3）投标人应当在招标文件要求提交投标文件的截止时间前，将投标文件送达投标地点。投标人少于三个的，招标人应当依照本办法重新招标。</w:t>
      </w:r>
    </w:p>
    <w:p w14:paraId="6400058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（4）投标人拟在中标后将中标项目的部分非主体、非关键性工作进行分包的，应当在投标文件中载明。</w:t>
      </w:r>
    </w:p>
    <w:p w14:paraId="50E09748">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（5）投标人不得相互串通投标报价，不得排挤其它投标人的公平竞争，不得损害招标人或其它投标人的合法权益。</w:t>
      </w:r>
    </w:p>
    <w:p w14:paraId="30E83D0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（6）投标人不得以低于成本的报价投标，也不得以他人名义投标或者以其它方式弄虚作假、骗取中标。</w:t>
      </w:r>
    </w:p>
    <w:p w14:paraId="3691732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3、开标、评标和中标</w:t>
      </w:r>
    </w:p>
    <w:p w14:paraId="434C9114">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（1）开标由委托的招标代理机构主持，在招标文件确定的提交投标文件截止时间的同一时间及预先确定的地点，邀请所有投标人参加。</w:t>
      </w:r>
    </w:p>
    <w:p w14:paraId="31BC5D3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评标由招标人依法组建的评标委员会负责。评标委员会由五人以上单数组成，其中技术、经济等方面的专家不得少于成员总数的三分之二。专家应当是从事相关领域工作满八年并具有高级职称或具有同等专业水平，对工程项目有较深入的研究，并且职业道德良好，与投标单位无任何利害关系。评标委员会成员应当客观、公正地履行职务，遵守职业道德，对提出的评审意见承担个人责任。</w:t>
      </w:r>
    </w:p>
    <w:p w14:paraId="1CF571A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（3）中标人确定后，招标人向中标人发出中标通知书，该通知书具有法律效力，若中标人放弃中标项目，应当承担法律责任。</w:t>
      </w:r>
    </w:p>
    <w:p w14:paraId="09166A0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自中标通知书发出30日之内，按照招标文件和中标人的投标文件，招标人和中标人签订书面合同。中标人应当按照合同履行义务，完成中标项目。中标人不得向他人转包中标项目，也不得将中标项目肢解后分别向他人转包。</w:t>
      </w:r>
    </w:p>
    <w:p w14:paraId="451A8FB6">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4.4.4.6 招标方案</w:t>
      </w:r>
    </w:p>
    <w:p w14:paraId="7CE3D33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本项目所涉及到的所有建设项目均按规定要求实施招标，委托有资质的招标单位组织实施，采用公开招标方式，实行合理低价中标的原则，杜绝一切漏洞，保证项目顺利进行，达到项目的最初预期和效益。</w:t>
      </w:r>
    </w:p>
    <w:p w14:paraId="3A02D550">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1、招标范围</w:t>
      </w:r>
    </w:p>
    <w:p w14:paraId="676BFA0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本项目招标范围包括项目的勘察、设计、建安工程施工、设备采购、工程监理等。</w:t>
      </w:r>
    </w:p>
    <w:p w14:paraId="7498F11B">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2、招标组织形式</w:t>
      </w:r>
    </w:p>
    <w:p w14:paraId="5C56062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根据法律、法规规定，本项目拟采取委托招标形式。</w:t>
      </w:r>
    </w:p>
    <w:p w14:paraId="0195D71B">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3、招标方式本项目的勘察设计、工程监理、建筑施工及安装工程、设备的采购拟采用的招标方式进行公开，择优选择勘察设计单位、建筑安装公司、工程监理公司和设备供货商。</w:t>
      </w:r>
    </w:p>
    <w:p w14:paraId="103B8555">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具体招标方案如下所示：</w:t>
      </w:r>
    </w:p>
    <w:p w14:paraId="0D4F9222">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jc w:val="center"/>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表4-5项目招投标一览表</w:t>
      </w:r>
    </w:p>
    <w:tbl>
      <w:tblPr>
        <w:tblStyle w:val="16"/>
        <w:tblW w:w="0" w:type="auto"/>
        <w:tblInd w:w="-79"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315"/>
        <w:gridCol w:w="900"/>
        <w:gridCol w:w="951"/>
        <w:gridCol w:w="886"/>
        <w:gridCol w:w="891"/>
        <w:gridCol w:w="889"/>
        <w:gridCol w:w="890"/>
        <w:gridCol w:w="1109"/>
        <w:gridCol w:w="886"/>
      </w:tblGrid>
      <w:tr w14:paraId="28925312">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trHeight w:val="575" w:hRule="atLeast"/>
        </w:trPr>
        <w:tc>
          <w:tcPr>
            <w:tcW w:w="1315" w:type="dxa"/>
            <w:vMerge w:val="restart"/>
            <w:tcBorders>
              <w:tl2br w:val="nil"/>
              <w:tr2bl w:val="nil"/>
            </w:tcBorders>
            <w:vAlign w:val="center"/>
          </w:tcPr>
          <w:p w14:paraId="7CDFE9BC">
            <w:pPr>
              <w:jc w:val="center"/>
              <w:rPr>
                <w:rFonts w:hint="eastAsia" w:ascii="宋体" w:hAnsi="宋体" w:eastAsia="宋体" w:cs="宋体"/>
                <w:b/>
                <w:bCs/>
                <w:sz w:val="21"/>
                <w:szCs w:val="21"/>
              </w:rPr>
            </w:pPr>
            <w:r>
              <w:rPr>
                <w:rFonts w:hint="eastAsia" w:ascii="宋体" w:hAnsi="宋体" w:eastAsia="宋体" w:cs="宋体"/>
                <w:b/>
                <w:bCs/>
                <w:sz w:val="21"/>
                <w:szCs w:val="21"/>
              </w:rPr>
              <w:t>分项</w:t>
            </w:r>
          </w:p>
        </w:tc>
        <w:tc>
          <w:tcPr>
            <w:tcW w:w="1851" w:type="dxa"/>
            <w:gridSpan w:val="2"/>
            <w:tcBorders>
              <w:tl2br w:val="nil"/>
              <w:tr2bl w:val="nil"/>
            </w:tcBorders>
            <w:vAlign w:val="center"/>
          </w:tcPr>
          <w:p w14:paraId="3C3D1935">
            <w:pPr>
              <w:jc w:val="center"/>
              <w:rPr>
                <w:rFonts w:hint="eastAsia" w:ascii="宋体" w:hAnsi="宋体" w:eastAsia="宋体" w:cs="宋体"/>
                <w:b/>
                <w:bCs/>
                <w:sz w:val="21"/>
                <w:szCs w:val="21"/>
              </w:rPr>
            </w:pPr>
            <w:r>
              <w:rPr>
                <w:rFonts w:hint="eastAsia" w:ascii="宋体" w:hAnsi="宋体" w:eastAsia="宋体" w:cs="宋体"/>
                <w:b/>
                <w:bCs/>
                <w:sz w:val="21"/>
                <w:szCs w:val="21"/>
              </w:rPr>
              <w:t>招标范围</w:t>
            </w:r>
          </w:p>
        </w:tc>
        <w:tc>
          <w:tcPr>
            <w:tcW w:w="1777" w:type="dxa"/>
            <w:gridSpan w:val="2"/>
            <w:tcBorders>
              <w:tl2br w:val="nil"/>
              <w:tr2bl w:val="nil"/>
            </w:tcBorders>
            <w:vAlign w:val="center"/>
          </w:tcPr>
          <w:p w14:paraId="3533DF9F">
            <w:pPr>
              <w:jc w:val="center"/>
              <w:rPr>
                <w:rFonts w:hint="eastAsia" w:ascii="宋体" w:hAnsi="宋体" w:eastAsia="宋体" w:cs="宋体"/>
                <w:b/>
                <w:bCs/>
                <w:sz w:val="21"/>
                <w:szCs w:val="21"/>
              </w:rPr>
            </w:pPr>
            <w:r>
              <w:rPr>
                <w:rFonts w:hint="eastAsia" w:ascii="宋体" w:hAnsi="宋体" w:eastAsia="宋体" w:cs="宋体"/>
                <w:b/>
                <w:bCs/>
                <w:sz w:val="21"/>
                <w:szCs w:val="21"/>
              </w:rPr>
              <w:t>招标组织形式</w:t>
            </w:r>
          </w:p>
        </w:tc>
        <w:tc>
          <w:tcPr>
            <w:tcW w:w="1779" w:type="dxa"/>
            <w:gridSpan w:val="2"/>
            <w:tcBorders>
              <w:tl2br w:val="nil"/>
              <w:tr2bl w:val="nil"/>
            </w:tcBorders>
            <w:vAlign w:val="center"/>
          </w:tcPr>
          <w:p w14:paraId="386BE70A">
            <w:pPr>
              <w:jc w:val="center"/>
              <w:rPr>
                <w:rFonts w:hint="eastAsia" w:ascii="宋体" w:hAnsi="宋体" w:eastAsia="宋体" w:cs="宋体"/>
                <w:b/>
                <w:bCs/>
                <w:sz w:val="21"/>
                <w:szCs w:val="21"/>
              </w:rPr>
            </w:pPr>
            <w:r>
              <w:rPr>
                <w:rFonts w:hint="eastAsia" w:ascii="宋体" w:hAnsi="宋体" w:eastAsia="宋体" w:cs="宋体"/>
                <w:b/>
                <w:bCs/>
                <w:sz w:val="21"/>
                <w:szCs w:val="21"/>
              </w:rPr>
              <w:t>招标方式</w:t>
            </w:r>
          </w:p>
        </w:tc>
        <w:tc>
          <w:tcPr>
            <w:tcW w:w="1109" w:type="dxa"/>
            <w:vMerge w:val="restart"/>
            <w:tcBorders>
              <w:tl2br w:val="nil"/>
              <w:tr2bl w:val="nil"/>
            </w:tcBorders>
            <w:vAlign w:val="center"/>
          </w:tcPr>
          <w:p w14:paraId="5CE803B3">
            <w:pPr>
              <w:jc w:val="center"/>
              <w:rPr>
                <w:rFonts w:hint="eastAsia" w:ascii="宋体" w:hAnsi="宋体" w:eastAsia="宋体" w:cs="宋体"/>
                <w:b/>
                <w:bCs/>
                <w:sz w:val="21"/>
                <w:szCs w:val="21"/>
              </w:rPr>
            </w:pPr>
            <w:r>
              <w:rPr>
                <w:rFonts w:hint="eastAsia" w:ascii="宋体" w:hAnsi="宋体" w:eastAsia="宋体" w:cs="宋体"/>
                <w:b/>
                <w:bCs/>
                <w:sz w:val="21"/>
                <w:szCs w:val="21"/>
              </w:rPr>
              <w:t>不采用招标方式</w:t>
            </w:r>
          </w:p>
        </w:tc>
        <w:tc>
          <w:tcPr>
            <w:tcW w:w="886" w:type="dxa"/>
            <w:vMerge w:val="restart"/>
            <w:tcBorders>
              <w:tl2br w:val="nil"/>
              <w:tr2bl w:val="nil"/>
            </w:tcBorders>
            <w:vAlign w:val="center"/>
          </w:tcPr>
          <w:p w14:paraId="1A5B6857">
            <w:pPr>
              <w:jc w:val="center"/>
              <w:rPr>
                <w:rFonts w:hint="eastAsia" w:ascii="宋体" w:hAnsi="宋体" w:eastAsia="宋体" w:cs="宋体"/>
                <w:b/>
                <w:bCs/>
                <w:sz w:val="21"/>
                <w:szCs w:val="21"/>
              </w:rPr>
            </w:pPr>
            <w:r>
              <w:rPr>
                <w:rFonts w:hint="eastAsia" w:ascii="宋体" w:hAnsi="宋体" w:eastAsia="宋体" w:cs="宋体"/>
                <w:b/>
                <w:bCs/>
                <w:sz w:val="21"/>
                <w:szCs w:val="21"/>
              </w:rPr>
              <w:t>投资概算</w:t>
            </w:r>
          </w:p>
          <w:p w14:paraId="6149C4EE">
            <w:pPr>
              <w:jc w:val="center"/>
              <w:rPr>
                <w:rFonts w:hint="eastAsia" w:ascii="宋体" w:hAnsi="宋体" w:eastAsia="宋体" w:cs="宋体"/>
                <w:b/>
                <w:bCs/>
                <w:sz w:val="21"/>
                <w:szCs w:val="21"/>
              </w:rPr>
            </w:pPr>
            <w:r>
              <w:rPr>
                <w:rFonts w:hint="eastAsia" w:ascii="宋体" w:hAnsi="宋体" w:eastAsia="宋体" w:cs="宋体"/>
                <w:b/>
                <w:bCs/>
                <w:sz w:val="21"/>
                <w:szCs w:val="21"/>
              </w:rPr>
              <w:t>（万元）</w:t>
            </w:r>
          </w:p>
        </w:tc>
      </w:tr>
      <w:tr w14:paraId="095D60D2">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trHeight w:val="610" w:hRule="atLeast"/>
        </w:trPr>
        <w:tc>
          <w:tcPr>
            <w:tcW w:w="1315" w:type="dxa"/>
            <w:vMerge w:val="continue"/>
            <w:tcBorders>
              <w:tl2br w:val="nil"/>
              <w:tr2bl w:val="nil"/>
            </w:tcBorders>
            <w:vAlign w:val="center"/>
          </w:tcPr>
          <w:p w14:paraId="12B32B84">
            <w:pPr>
              <w:jc w:val="center"/>
              <w:rPr>
                <w:rFonts w:hint="eastAsia" w:ascii="宋体" w:hAnsi="宋体" w:eastAsia="宋体" w:cs="宋体"/>
                <w:sz w:val="21"/>
                <w:szCs w:val="21"/>
              </w:rPr>
            </w:pPr>
          </w:p>
        </w:tc>
        <w:tc>
          <w:tcPr>
            <w:tcW w:w="900" w:type="dxa"/>
            <w:tcBorders>
              <w:tl2br w:val="nil"/>
              <w:tr2bl w:val="nil"/>
            </w:tcBorders>
            <w:vAlign w:val="center"/>
          </w:tcPr>
          <w:p w14:paraId="17758ACF">
            <w:pPr>
              <w:jc w:val="center"/>
              <w:rPr>
                <w:rFonts w:hint="eastAsia" w:ascii="宋体" w:hAnsi="宋体" w:eastAsia="宋体" w:cs="宋体"/>
                <w:b/>
                <w:bCs/>
                <w:sz w:val="21"/>
                <w:szCs w:val="21"/>
              </w:rPr>
            </w:pPr>
            <w:r>
              <w:rPr>
                <w:rFonts w:hint="eastAsia" w:ascii="宋体" w:hAnsi="宋体" w:eastAsia="宋体" w:cs="宋体"/>
                <w:b/>
                <w:bCs/>
                <w:sz w:val="21"/>
                <w:szCs w:val="21"/>
              </w:rPr>
              <w:t>全部招标</w:t>
            </w:r>
          </w:p>
        </w:tc>
        <w:tc>
          <w:tcPr>
            <w:tcW w:w="951" w:type="dxa"/>
            <w:tcBorders>
              <w:tl2br w:val="nil"/>
              <w:tr2bl w:val="nil"/>
            </w:tcBorders>
            <w:vAlign w:val="center"/>
          </w:tcPr>
          <w:p w14:paraId="0D6B4CB2">
            <w:pPr>
              <w:jc w:val="center"/>
              <w:rPr>
                <w:rFonts w:hint="eastAsia" w:ascii="宋体" w:hAnsi="宋体" w:eastAsia="宋体" w:cs="宋体"/>
                <w:b/>
                <w:bCs/>
                <w:sz w:val="21"/>
                <w:szCs w:val="21"/>
              </w:rPr>
            </w:pPr>
            <w:r>
              <w:rPr>
                <w:rFonts w:hint="eastAsia" w:ascii="宋体" w:hAnsi="宋体" w:eastAsia="宋体" w:cs="宋体"/>
                <w:b/>
                <w:bCs/>
                <w:sz w:val="21"/>
                <w:szCs w:val="21"/>
              </w:rPr>
              <w:t>部分招标</w:t>
            </w:r>
          </w:p>
        </w:tc>
        <w:tc>
          <w:tcPr>
            <w:tcW w:w="886" w:type="dxa"/>
            <w:tcBorders>
              <w:tl2br w:val="nil"/>
              <w:tr2bl w:val="nil"/>
            </w:tcBorders>
            <w:vAlign w:val="center"/>
          </w:tcPr>
          <w:p w14:paraId="3F1DD110">
            <w:pPr>
              <w:jc w:val="center"/>
              <w:rPr>
                <w:rFonts w:hint="eastAsia" w:ascii="宋体" w:hAnsi="宋体" w:eastAsia="宋体" w:cs="宋体"/>
                <w:b/>
                <w:bCs/>
                <w:sz w:val="21"/>
                <w:szCs w:val="21"/>
              </w:rPr>
            </w:pPr>
            <w:r>
              <w:rPr>
                <w:rFonts w:hint="eastAsia" w:ascii="宋体" w:hAnsi="宋体" w:eastAsia="宋体" w:cs="宋体"/>
                <w:b/>
                <w:bCs/>
                <w:sz w:val="21"/>
                <w:szCs w:val="21"/>
              </w:rPr>
              <w:t>自行招标</w:t>
            </w:r>
          </w:p>
        </w:tc>
        <w:tc>
          <w:tcPr>
            <w:tcW w:w="891" w:type="dxa"/>
            <w:tcBorders>
              <w:tl2br w:val="nil"/>
              <w:tr2bl w:val="nil"/>
            </w:tcBorders>
            <w:vAlign w:val="center"/>
          </w:tcPr>
          <w:p w14:paraId="7AFBA2A5">
            <w:pPr>
              <w:jc w:val="center"/>
              <w:rPr>
                <w:rFonts w:hint="eastAsia" w:ascii="宋体" w:hAnsi="宋体" w:eastAsia="宋体" w:cs="宋体"/>
                <w:b/>
                <w:bCs/>
                <w:sz w:val="21"/>
                <w:szCs w:val="21"/>
              </w:rPr>
            </w:pPr>
            <w:r>
              <w:rPr>
                <w:rFonts w:hint="eastAsia" w:ascii="宋体" w:hAnsi="宋体" w:eastAsia="宋体" w:cs="宋体"/>
                <w:b/>
                <w:bCs/>
                <w:sz w:val="21"/>
                <w:szCs w:val="21"/>
              </w:rPr>
              <w:t>委托招标</w:t>
            </w:r>
          </w:p>
        </w:tc>
        <w:tc>
          <w:tcPr>
            <w:tcW w:w="889" w:type="dxa"/>
            <w:tcBorders>
              <w:tl2br w:val="nil"/>
              <w:tr2bl w:val="nil"/>
            </w:tcBorders>
            <w:vAlign w:val="center"/>
          </w:tcPr>
          <w:p w14:paraId="2CBFC62D">
            <w:pPr>
              <w:jc w:val="center"/>
              <w:rPr>
                <w:rFonts w:hint="eastAsia" w:ascii="宋体" w:hAnsi="宋体" w:eastAsia="宋体" w:cs="宋体"/>
                <w:b/>
                <w:bCs/>
                <w:sz w:val="21"/>
                <w:szCs w:val="21"/>
              </w:rPr>
            </w:pPr>
            <w:r>
              <w:rPr>
                <w:rFonts w:hint="eastAsia" w:ascii="宋体" w:hAnsi="宋体" w:eastAsia="宋体" w:cs="宋体"/>
                <w:b/>
                <w:bCs/>
                <w:sz w:val="21"/>
                <w:szCs w:val="21"/>
              </w:rPr>
              <w:t>公开招标</w:t>
            </w:r>
          </w:p>
        </w:tc>
        <w:tc>
          <w:tcPr>
            <w:tcW w:w="890" w:type="dxa"/>
            <w:tcBorders>
              <w:tl2br w:val="nil"/>
              <w:tr2bl w:val="nil"/>
            </w:tcBorders>
            <w:vAlign w:val="center"/>
          </w:tcPr>
          <w:p w14:paraId="39067511">
            <w:pPr>
              <w:jc w:val="center"/>
              <w:rPr>
                <w:rFonts w:hint="eastAsia" w:ascii="宋体" w:hAnsi="宋体" w:eastAsia="宋体" w:cs="宋体"/>
                <w:b/>
                <w:bCs/>
                <w:sz w:val="21"/>
                <w:szCs w:val="21"/>
              </w:rPr>
            </w:pPr>
            <w:r>
              <w:rPr>
                <w:rFonts w:hint="eastAsia" w:ascii="宋体" w:hAnsi="宋体" w:eastAsia="宋体" w:cs="宋体"/>
                <w:b/>
                <w:bCs/>
                <w:sz w:val="21"/>
                <w:szCs w:val="21"/>
              </w:rPr>
              <w:t>邀请招标</w:t>
            </w:r>
          </w:p>
        </w:tc>
        <w:tc>
          <w:tcPr>
            <w:tcW w:w="1109" w:type="dxa"/>
            <w:vMerge w:val="continue"/>
            <w:tcBorders>
              <w:tl2br w:val="nil"/>
              <w:tr2bl w:val="nil"/>
            </w:tcBorders>
            <w:vAlign w:val="center"/>
          </w:tcPr>
          <w:p w14:paraId="4EFE5D04">
            <w:pPr>
              <w:jc w:val="center"/>
              <w:rPr>
                <w:rFonts w:hint="eastAsia" w:ascii="宋体" w:hAnsi="宋体" w:eastAsia="宋体" w:cs="宋体"/>
                <w:sz w:val="21"/>
                <w:szCs w:val="21"/>
              </w:rPr>
            </w:pPr>
          </w:p>
        </w:tc>
        <w:tc>
          <w:tcPr>
            <w:tcW w:w="886" w:type="dxa"/>
            <w:vMerge w:val="continue"/>
            <w:tcBorders>
              <w:tl2br w:val="nil"/>
              <w:tr2bl w:val="nil"/>
            </w:tcBorders>
            <w:vAlign w:val="center"/>
          </w:tcPr>
          <w:p w14:paraId="4A5A4173">
            <w:pPr>
              <w:jc w:val="center"/>
              <w:rPr>
                <w:rFonts w:hint="eastAsia" w:ascii="宋体" w:hAnsi="宋体" w:eastAsia="宋体" w:cs="宋体"/>
                <w:sz w:val="21"/>
                <w:szCs w:val="21"/>
              </w:rPr>
            </w:pPr>
          </w:p>
        </w:tc>
      </w:tr>
      <w:tr w14:paraId="022F8851">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trHeight w:val="760" w:hRule="atLeast"/>
        </w:trPr>
        <w:tc>
          <w:tcPr>
            <w:tcW w:w="1315" w:type="dxa"/>
            <w:tcBorders>
              <w:tl2br w:val="nil"/>
              <w:tr2bl w:val="nil"/>
            </w:tcBorders>
            <w:vAlign w:val="center"/>
          </w:tcPr>
          <w:p w14:paraId="287B0CB4">
            <w:pPr>
              <w:jc w:val="center"/>
              <w:rPr>
                <w:rFonts w:hint="eastAsia" w:ascii="宋体" w:hAnsi="宋体" w:eastAsia="宋体" w:cs="宋体"/>
                <w:sz w:val="21"/>
                <w:szCs w:val="21"/>
              </w:rPr>
            </w:pPr>
            <w:r>
              <w:rPr>
                <w:rFonts w:hint="eastAsia" w:ascii="宋体" w:hAnsi="宋体" w:eastAsia="宋体" w:cs="宋体"/>
                <w:sz w:val="21"/>
                <w:szCs w:val="21"/>
              </w:rPr>
              <w:t>勘察</w:t>
            </w:r>
          </w:p>
        </w:tc>
        <w:tc>
          <w:tcPr>
            <w:tcW w:w="900" w:type="dxa"/>
            <w:tcBorders>
              <w:tl2br w:val="nil"/>
              <w:tr2bl w:val="nil"/>
            </w:tcBorders>
            <w:vAlign w:val="center"/>
          </w:tcPr>
          <w:p w14:paraId="72F366D1">
            <w:pPr>
              <w:jc w:val="center"/>
              <w:rPr>
                <w:rFonts w:hint="eastAsia" w:ascii="宋体" w:hAnsi="宋体" w:eastAsia="宋体" w:cs="宋体"/>
                <w:sz w:val="21"/>
                <w:szCs w:val="21"/>
              </w:rPr>
            </w:pPr>
            <w:r>
              <w:rPr>
                <w:rFonts w:hint="eastAsia" w:ascii="宋体" w:hAnsi="宋体" w:eastAsia="宋体" w:cs="宋体"/>
                <w:sz w:val="21"/>
                <w:szCs w:val="21"/>
              </w:rPr>
              <w:t>√</w:t>
            </w:r>
          </w:p>
        </w:tc>
        <w:tc>
          <w:tcPr>
            <w:tcW w:w="951" w:type="dxa"/>
            <w:tcBorders>
              <w:tl2br w:val="nil"/>
              <w:tr2bl w:val="nil"/>
            </w:tcBorders>
            <w:vAlign w:val="center"/>
          </w:tcPr>
          <w:p w14:paraId="0524119C">
            <w:pPr>
              <w:jc w:val="center"/>
              <w:rPr>
                <w:rFonts w:hint="eastAsia" w:ascii="宋体" w:hAnsi="宋体" w:eastAsia="宋体" w:cs="宋体"/>
                <w:sz w:val="21"/>
                <w:szCs w:val="21"/>
              </w:rPr>
            </w:pPr>
          </w:p>
        </w:tc>
        <w:tc>
          <w:tcPr>
            <w:tcW w:w="886" w:type="dxa"/>
            <w:tcBorders>
              <w:tl2br w:val="nil"/>
              <w:tr2bl w:val="nil"/>
            </w:tcBorders>
            <w:vAlign w:val="center"/>
          </w:tcPr>
          <w:p w14:paraId="000583A5">
            <w:pPr>
              <w:jc w:val="center"/>
              <w:rPr>
                <w:rFonts w:hint="eastAsia" w:ascii="宋体" w:hAnsi="宋体" w:eastAsia="宋体" w:cs="宋体"/>
                <w:sz w:val="21"/>
                <w:szCs w:val="21"/>
              </w:rPr>
            </w:pPr>
          </w:p>
        </w:tc>
        <w:tc>
          <w:tcPr>
            <w:tcW w:w="891" w:type="dxa"/>
            <w:tcBorders>
              <w:tl2br w:val="nil"/>
              <w:tr2bl w:val="nil"/>
            </w:tcBorders>
            <w:vAlign w:val="center"/>
          </w:tcPr>
          <w:p w14:paraId="4B7CAF32">
            <w:pPr>
              <w:jc w:val="center"/>
              <w:rPr>
                <w:rFonts w:hint="eastAsia" w:ascii="宋体" w:hAnsi="宋体" w:eastAsia="宋体" w:cs="宋体"/>
                <w:sz w:val="21"/>
                <w:szCs w:val="21"/>
              </w:rPr>
            </w:pPr>
            <w:r>
              <w:rPr>
                <w:rFonts w:hint="eastAsia" w:ascii="宋体" w:hAnsi="宋体" w:eastAsia="宋体" w:cs="宋体"/>
                <w:sz w:val="21"/>
                <w:szCs w:val="21"/>
              </w:rPr>
              <w:t>√</w:t>
            </w:r>
          </w:p>
        </w:tc>
        <w:tc>
          <w:tcPr>
            <w:tcW w:w="889" w:type="dxa"/>
            <w:tcBorders>
              <w:tl2br w:val="nil"/>
              <w:tr2bl w:val="nil"/>
            </w:tcBorders>
            <w:vAlign w:val="center"/>
          </w:tcPr>
          <w:p w14:paraId="593C3325">
            <w:pPr>
              <w:jc w:val="center"/>
              <w:rPr>
                <w:rFonts w:hint="eastAsia" w:ascii="宋体" w:hAnsi="宋体" w:eastAsia="宋体" w:cs="宋体"/>
                <w:sz w:val="21"/>
                <w:szCs w:val="21"/>
              </w:rPr>
            </w:pPr>
            <w:r>
              <w:rPr>
                <w:rFonts w:hint="eastAsia" w:ascii="宋体" w:hAnsi="宋体" w:eastAsia="宋体" w:cs="宋体"/>
                <w:sz w:val="21"/>
                <w:szCs w:val="21"/>
              </w:rPr>
              <w:t>√</w:t>
            </w:r>
          </w:p>
        </w:tc>
        <w:tc>
          <w:tcPr>
            <w:tcW w:w="890" w:type="dxa"/>
            <w:tcBorders>
              <w:tl2br w:val="nil"/>
              <w:tr2bl w:val="nil"/>
            </w:tcBorders>
            <w:vAlign w:val="center"/>
          </w:tcPr>
          <w:p w14:paraId="7CD4EA54">
            <w:pPr>
              <w:jc w:val="center"/>
              <w:rPr>
                <w:rFonts w:hint="eastAsia" w:ascii="宋体" w:hAnsi="宋体" w:eastAsia="宋体" w:cs="宋体"/>
                <w:sz w:val="21"/>
                <w:szCs w:val="21"/>
              </w:rPr>
            </w:pPr>
          </w:p>
        </w:tc>
        <w:tc>
          <w:tcPr>
            <w:tcW w:w="1109" w:type="dxa"/>
            <w:tcBorders>
              <w:tl2br w:val="nil"/>
              <w:tr2bl w:val="nil"/>
            </w:tcBorders>
            <w:vAlign w:val="center"/>
          </w:tcPr>
          <w:p w14:paraId="15BAD95C">
            <w:pPr>
              <w:jc w:val="center"/>
              <w:rPr>
                <w:rFonts w:hint="eastAsia" w:ascii="宋体" w:hAnsi="宋体" w:eastAsia="宋体" w:cs="宋体"/>
                <w:sz w:val="21"/>
                <w:szCs w:val="21"/>
              </w:rPr>
            </w:pPr>
          </w:p>
        </w:tc>
        <w:tc>
          <w:tcPr>
            <w:tcW w:w="886" w:type="dxa"/>
            <w:tcBorders>
              <w:tl2br w:val="nil"/>
              <w:tr2bl w:val="nil"/>
            </w:tcBorders>
            <w:vAlign w:val="center"/>
          </w:tcPr>
          <w:p w14:paraId="6AC589A1">
            <w:pPr>
              <w:jc w:val="center"/>
              <w:rPr>
                <w:rFonts w:hint="eastAsia" w:ascii="宋体" w:hAnsi="宋体" w:eastAsia="宋体" w:cs="宋体"/>
                <w:sz w:val="21"/>
                <w:szCs w:val="21"/>
              </w:rPr>
            </w:pPr>
          </w:p>
        </w:tc>
      </w:tr>
      <w:tr w14:paraId="1C36B749">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trHeight w:val="760" w:hRule="atLeast"/>
        </w:trPr>
        <w:tc>
          <w:tcPr>
            <w:tcW w:w="1315" w:type="dxa"/>
            <w:tcBorders>
              <w:tl2br w:val="nil"/>
              <w:tr2bl w:val="nil"/>
            </w:tcBorders>
            <w:vAlign w:val="center"/>
          </w:tcPr>
          <w:p w14:paraId="0925D74D">
            <w:pPr>
              <w:jc w:val="center"/>
              <w:rPr>
                <w:rFonts w:hint="eastAsia" w:ascii="宋体" w:hAnsi="宋体" w:eastAsia="宋体" w:cs="宋体"/>
                <w:sz w:val="21"/>
                <w:szCs w:val="21"/>
              </w:rPr>
            </w:pPr>
            <w:r>
              <w:rPr>
                <w:rFonts w:hint="eastAsia" w:ascii="宋体" w:hAnsi="宋体" w:eastAsia="宋体" w:cs="宋体"/>
                <w:sz w:val="21"/>
                <w:szCs w:val="21"/>
              </w:rPr>
              <w:t>设计</w:t>
            </w:r>
          </w:p>
        </w:tc>
        <w:tc>
          <w:tcPr>
            <w:tcW w:w="900" w:type="dxa"/>
            <w:tcBorders>
              <w:tl2br w:val="nil"/>
              <w:tr2bl w:val="nil"/>
            </w:tcBorders>
            <w:vAlign w:val="center"/>
          </w:tcPr>
          <w:p w14:paraId="322F2BF2">
            <w:pPr>
              <w:jc w:val="center"/>
              <w:rPr>
                <w:rFonts w:hint="eastAsia" w:ascii="宋体" w:hAnsi="宋体" w:eastAsia="宋体" w:cs="宋体"/>
                <w:sz w:val="21"/>
                <w:szCs w:val="21"/>
              </w:rPr>
            </w:pPr>
            <w:r>
              <w:rPr>
                <w:rFonts w:hint="eastAsia" w:ascii="宋体" w:hAnsi="宋体" w:eastAsia="宋体" w:cs="宋体"/>
                <w:sz w:val="21"/>
                <w:szCs w:val="21"/>
              </w:rPr>
              <w:t>√</w:t>
            </w:r>
          </w:p>
        </w:tc>
        <w:tc>
          <w:tcPr>
            <w:tcW w:w="951" w:type="dxa"/>
            <w:tcBorders>
              <w:tl2br w:val="nil"/>
              <w:tr2bl w:val="nil"/>
            </w:tcBorders>
            <w:vAlign w:val="center"/>
          </w:tcPr>
          <w:p w14:paraId="77084D0B">
            <w:pPr>
              <w:jc w:val="center"/>
              <w:rPr>
                <w:rFonts w:hint="eastAsia" w:ascii="宋体" w:hAnsi="宋体" w:eastAsia="宋体" w:cs="宋体"/>
                <w:sz w:val="21"/>
                <w:szCs w:val="21"/>
              </w:rPr>
            </w:pPr>
          </w:p>
        </w:tc>
        <w:tc>
          <w:tcPr>
            <w:tcW w:w="886" w:type="dxa"/>
            <w:tcBorders>
              <w:tl2br w:val="nil"/>
              <w:tr2bl w:val="nil"/>
            </w:tcBorders>
            <w:vAlign w:val="center"/>
          </w:tcPr>
          <w:p w14:paraId="464E6AF1">
            <w:pPr>
              <w:jc w:val="center"/>
              <w:rPr>
                <w:rFonts w:hint="eastAsia" w:ascii="宋体" w:hAnsi="宋体" w:eastAsia="宋体" w:cs="宋体"/>
                <w:sz w:val="21"/>
                <w:szCs w:val="21"/>
              </w:rPr>
            </w:pPr>
          </w:p>
        </w:tc>
        <w:tc>
          <w:tcPr>
            <w:tcW w:w="891" w:type="dxa"/>
            <w:tcBorders>
              <w:tl2br w:val="nil"/>
              <w:tr2bl w:val="nil"/>
            </w:tcBorders>
            <w:vAlign w:val="center"/>
          </w:tcPr>
          <w:p w14:paraId="7D618D03">
            <w:pPr>
              <w:jc w:val="center"/>
              <w:rPr>
                <w:rFonts w:hint="eastAsia" w:ascii="宋体" w:hAnsi="宋体" w:eastAsia="宋体" w:cs="宋体"/>
                <w:sz w:val="21"/>
                <w:szCs w:val="21"/>
              </w:rPr>
            </w:pPr>
            <w:r>
              <w:rPr>
                <w:rFonts w:hint="eastAsia" w:ascii="宋体" w:hAnsi="宋体" w:eastAsia="宋体" w:cs="宋体"/>
                <w:sz w:val="21"/>
                <w:szCs w:val="21"/>
              </w:rPr>
              <w:t>√</w:t>
            </w:r>
          </w:p>
        </w:tc>
        <w:tc>
          <w:tcPr>
            <w:tcW w:w="889" w:type="dxa"/>
            <w:tcBorders>
              <w:tl2br w:val="nil"/>
              <w:tr2bl w:val="nil"/>
            </w:tcBorders>
            <w:vAlign w:val="center"/>
          </w:tcPr>
          <w:p w14:paraId="395DF60D">
            <w:pPr>
              <w:jc w:val="center"/>
              <w:rPr>
                <w:rFonts w:hint="eastAsia" w:ascii="宋体" w:hAnsi="宋体" w:eastAsia="宋体" w:cs="宋体"/>
                <w:sz w:val="21"/>
                <w:szCs w:val="21"/>
              </w:rPr>
            </w:pPr>
            <w:r>
              <w:rPr>
                <w:rFonts w:hint="eastAsia" w:ascii="宋体" w:hAnsi="宋体" w:eastAsia="宋体" w:cs="宋体"/>
                <w:sz w:val="21"/>
                <w:szCs w:val="21"/>
              </w:rPr>
              <w:t>√</w:t>
            </w:r>
          </w:p>
        </w:tc>
        <w:tc>
          <w:tcPr>
            <w:tcW w:w="890" w:type="dxa"/>
            <w:tcBorders>
              <w:tl2br w:val="nil"/>
              <w:tr2bl w:val="nil"/>
            </w:tcBorders>
            <w:vAlign w:val="center"/>
          </w:tcPr>
          <w:p w14:paraId="3DED3657">
            <w:pPr>
              <w:jc w:val="center"/>
              <w:rPr>
                <w:rFonts w:hint="eastAsia" w:ascii="宋体" w:hAnsi="宋体" w:eastAsia="宋体" w:cs="宋体"/>
                <w:sz w:val="21"/>
                <w:szCs w:val="21"/>
              </w:rPr>
            </w:pPr>
          </w:p>
        </w:tc>
        <w:tc>
          <w:tcPr>
            <w:tcW w:w="1109" w:type="dxa"/>
            <w:tcBorders>
              <w:tl2br w:val="nil"/>
              <w:tr2bl w:val="nil"/>
            </w:tcBorders>
            <w:vAlign w:val="center"/>
          </w:tcPr>
          <w:p w14:paraId="1208B299">
            <w:pPr>
              <w:jc w:val="center"/>
              <w:rPr>
                <w:rFonts w:hint="eastAsia" w:ascii="宋体" w:hAnsi="宋体" w:eastAsia="宋体" w:cs="宋体"/>
                <w:sz w:val="21"/>
                <w:szCs w:val="21"/>
              </w:rPr>
            </w:pPr>
          </w:p>
        </w:tc>
        <w:tc>
          <w:tcPr>
            <w:tcW w:w="886" w:type="dxa"/>
            <w:tcBorders>
              <w:tl2br w:val="nil"/>
              <w:tr2bl w:val="nil"/>
            </w:tcBorders>
            <w:vAlign w:val="center"/>
          </w:tcPr>
          <w:p w14:paraId="3E861C4A">
            <w:pPr>
              <w:jc w:val="center"/>
              <w:rPr>
                <w:rFonts w:hint="eastAsia" w:ascii="宋体" w:hAnsi="宋体" w:eastAsia="宋体" w:cs="宋体"/>
                <w:sz w:val="21"/>
                <w:szCs w:val="21"/>
              </w:rPr>
            </w:pPr>
          </w:p>
        </w:tc>
      </w:tr>
      <w:tr w14:paraId="27296EC6">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trHeight w:val="760" w:hRule="atLeast"/>
        </w:trPr>
        <w:tc>
          <w:tcPr>
            <w:tcW w:w="1315" w:type="dxa"/>
            <w:tcBorders>
              <w:tl2br w:val="nil"/>
              <w:tr2bl w:val="nil"/>
            </w:tcBorders>
            <w:vAlign w:val="center"/>
          </w:tcPr>
          <w:p w14:paraId="77C78FAB">
            <w:pPr>
              <w:jc w:val="center"/>
              <w:rPr>
                <w:rFonts w:hint="eastAsia" w:ascii="宋体" w:hAnsi="宋体" w:eastAsia="宋体" w:cs="宋体"/>
                <w:sz w:val="21"/>
                <w:szCs w:val="21"/>
              </w:rPr>
            </w:pPr>
            <w:r>
              <w:rPr>
                <w:rFonts w:hint="eastAsia" w:ascii="宋体" w:hAnsi="宋体" w:eastAsia="宋体" w:cs="宋体"/>
                <w:sz w:val="21"/>
                <w:szCs w:val="21"/>
              </w:rPr>
              <w:t>施工</w:t>
            </w:r>
          </w:p>
        </w:tc>
        <w:tc>
          <w:tcPr>
            <w:tcW w:w="900" w:type="dxa"/>
            <w:tcBorders>
              <w:tl2br w:val="nil"/>
              <w:tr2bl w:val="nil"/>
            </w:tcBorders>
            <w:vAlign w:val="center"/>
          </w:tcPr>
          <w:p w14:paraId="7D1AEA9B">
            <w:pPr>
              <w:jc w:val="center"/>
              <w:rPr>
                <w:rFonts w:hint="eastAsia" w:ascii="宋体" w:hAnsi="宋体" w:eastAsia="宋体" w:cs="宋体"/>
                <w:sz w:val="21"/>
                <w:szCs w:val="21"/>
              </w:rPr>
            </w:pPr>
            <w:r>
              <w:rPr>
                <w:rFonts w:hint="eastAsia" w:ascii="宋体" w:hAnsi="宋体" w:eastAsia="宋体" w:cs="宋体"/>
                <w:sz w:val="21"/>
                <w:szCs w:val="21"/>
              </w:rPr>
              <w:t>√</w:t>
            </w:r>
          </w:p>
        </w:tc>
        <w:tc>
          <w:tcPr>
            <w:tcW w:w="951" w:type="dxa"/>
            <w:tcBorders>
              <w:tl2br w:val="nil"/>
              <w:tr2bl w:val="nil"/>
            </w:tcBorders>
            <w:vAlign w:val="center"/>
          </w:tcPr>
          <w:p w14:paraId="31D97A2C">
            <w:pPr>
              <w:jc w:val="center"/>
              <w:rPr>
                <w:rFonts w:hint="eastAsia" w:ascii="宋体" w:hAnsi="宋体" w:eastAsia="宋体" w:cs="宋体"/>
                <w:sz w:val="21"/>
                <w:szCs w:val="21"/>
              </w:rPr>
            </w:pPr>
          </w:p>
        </w:tc>
        <w:tc>
          <w:tcPr>
            <w:tcW w:w="886" w:type="dxa"/>
            <w:tcBorders>
              <w:tl2br w:val="nil"/>
              <w:tr2bl w:val="nil"/>
            </w:tcBorders>
            <w:vAlign w:val="center"/>
          </w:tcPr>
          <w:p w14:paraId="79B32EDA">
            <w:pPr>
              <w:jc w:val="center"/>
              <w:rPr>
                <w:rFonts w:hint="eastAsia" w:ascii="宋体" w:hAnsi="宋体" w:eastAsia="宋体" w:cs="宋体"/>
                <w:sz w:val="21"/>
                <w:szCs w:val="21"/>
              </w:rPr>
            </w:pPr>
          </w:p>
        </w:tc>
        <w:tc>
          <w:tcPr>
            <w:tcW w:w="891" w:type="dxa"/>
            <w:tcBorders>
              <w:tl2br w:val="nil"/>
              <w:tr2bl w:val="nil"/>
            </w:tcBorders>
            <w:vAlign w:val="center"/>
          </w:tcPr>
          <w:p w14:paraId="0FFB9124">
            <w:pPr>
              <w:jc w:val="center"/>
              <w:rPr>
                <w:rFonts w:hint="eastAsia" w:ascii="宋体" w:hAnsi="宋体" w:eastAsia="宋体" w:cs="宋体"/>
                <w:sz w:val="21"/>
                <w:szCs w:val="21"/>
              </w:rPr>
            </w:pPr>
            <w:r>
              <w:rPr>
                <w:rFonts w:hint="eastAsia" w:ascii="宋体" w:hAnsi="宋体" w:eastAsia="宋体" w:cs="宋体"/>
                <w:sz w:val="21"/>
                <w:szCs w:val="21"/>
              </w:rPr>
              <w:t>√</w:t>
            </w:r>
          </w:p>
        </w:tc>
        <w:tc>
          <w:tcPr>
            <w:tcW w:w="889" w:type="dxa"/>
            <w:tcBorders>
              <w:tl2br w:val="nil"/>
              <w:tr2bl w:val="nil"/>
            </w:tcBorders>
            <w:vAlign w:val="center"/>
          </w:tcPr>
          <w:p w14:paraId="01A89FE5">
            <w:pPr>
              <w:jc w:val="center"/>
              <w:rPr>
                <w:rFonts w:hint="eastAsia" w:ascii="宋体" w:hAnsi="宋体" w:eastAsia="宋体" w:cs="宋体"/>
                <w:sz w:val="21"/>
                <w:szCs w:val="21"/>
              </w:rPr>
            </w:pPr>
            <w:r>
              <w:rPr>
                <w:rFonts w:hint="eastAsia" w:ascii="宋体" w:hAnsi="宋体" w:eastAsia="宋体" w:cs="宋体"/>
                <w:sz w:val="21"/>
                <w:szCs w:val="21"/>
              </w:rPr>
              <w:t>√</w:t>
            </w:r>
          </w:p>
        </w:tc>
        <w:tc>
          <w:tcPr>
            <w:tcW w:w="890" w:type="dxa"/>
            <w:tcBorders>
              <w:tl2br w:val="nil"/>
              <w:tr2bl w:val="nil"/>
            </w:tcBorders>
            <w:vAlign w:val="center"/>
          </w:tcPr>
          <w:p w14:paraId="55C8EB05">
            <w:pPr>
              <w:jc w:val="center"/>
              <w:rPr>
                <w:rFonts w:hint="eastAsia" w:ascii="宋体" w:hAnsi="宋体" w:eastAsia="宋体" w:cs="宋体"/>
                <w:sz w:val="21"/>
                <w:szCs w:val="21"/>
              </w:rPr>
            </w:pPr>
          </w:p>
        </w:tc>
        <w:tc>
          <w:tcPr>
            <w:tcW w:w="1109" w:type="dxa"/>
            <w:tcBorders>
              <w:tl2br w:val="nil"/>
              <w:tr2bl w:val="nil"/>
            </w:tcBorders>
            <w:vAlign w:val="center"/>
          </w:tcPr>
          <w:p w14:paraId="45E407EE">
            <w:pPr>
              <w:jc w:val="center"/>
              <w:rPr>
                <w:rFonts w:hint="eastAsia" w:ascii="宋体" w:hAnsi="宋体" w:eastAsia="宋体" w:cs="宋体"/>
                <w:sz w:val="21"/>
                <w:szCs w:val="21"/>
              </w:rPr>
            </w:pPr>
          </w:p>
        </w:tc>
        <w:tc>
          <w:tcPr>
            <w:tcW w:w="886" w:type="dxa"/>
            <w:tcBorders>
              <w:tl2br w:val="nil"/>
              <w:tr2bl w:val="nil"/>
            </w:tcBorders>
            <w:vAlign w:val="center"/>
          </w:tcPr>
          <w:p w14:paraId="7B7E07C6">
            <w:pPr>
              <w:jc w:val="center"/>
              <w:rPr>
                <w:rFonts w:hint="eastAsia" w:ascii="宋体" w:hAnsi="宋体" w:eastAsia="宋体" w:cs="宋体"/>
                <w:sz w:val="21"/>
                <w:szCs w:val="21"/>
              </w:rPr>
            </w:pPr>
          </w:p>
        </w:tc>
      </w:tr>
      <w:tr w14:paraId="2256F937">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trHeight w:val="760" w:hRule="atLeast"/>
        </w:trPr>
        <w:tc>
          <w:tcPr>
            <w:tcW w:w="1315" w:type="dxa"/>
            <w:tcBorders>
              <w:tl2br w:val="nil"/>
              <w:tr2bl w:val="nil"/>
            </w:tcBorders>
            <w:vAlign w:val="center"/>
          </w:tcPr>
          <w:p w14:paraId="78BFDDE2">
            <w:pPr>
              <w:jc w:val="center"/>
              <w:rPr>
                <w:rFonts w:hint="eastAsia" w:ascii="宋体" w:hAnsi="宋体" w:eastAsia="宋体" w:cs="宋体"/>
                <w:sz w:val="21"/>
                <w:szCs w:val="21"/>
              </w:rPr>
            </w:pPr>
            <w:r>
              <w:rPr>
                <w:rFonts w:hint="eastAsia" w:ascii="宋体" w:hAnsi="宋体" w:eastAsia="宋体" w:cs="宋体"/>
                <w:sz w:val="21"/>
                <w:szCs w:val="21"/>
              </w:rPr>
              <w:t>工程监理</w:t>
            </w:r>
          </w:p>
        </w:tc>
        <w:tc>
          <w:tcPr>
            <w:tcW w:w="900" w:type="dxa"/>
            <w:tcBorders>
              <w:tl2br w:val="nil"/>
              <w:tr2bl w:val="nil"/>
            </w:tcBorders>
            <w:vAlign w:val="center"/>
          </w:tcPr>
          <w:p w14:paraId="2CF4818F">
            <w:pPr>
              <w:jc w:val="center"/>
              <w:rPr>
                <w:rFonts w:hint="eastAsia" w:ascii="宋体" w:hAnsi="宋体" w:eastAsia="宋体" w:cs="宋体"/>
                <w:sz w:val="21"/>
                <w:szCs w:val="21"/>
              </w:rPr>
            </w:pPr>
            <w:r>
              <w:rPr>
                <w:rFonts w:hint="eastAsia" w:ascii="宋体" w:hAnsi="宋体" w:eastAsia="宋体" w:cs="宋体"/>
                <w:sz w:val="21"/>
                <w:szCs w:val="21"/>
              </w:rPr>
              <w:t>√</w:t>
            </w:r>
          </w:p>
        </w:tc>
        <w:tc>
          <w:tcPr>
            <w:tcW w:w="951" w:type="dxa"/>
            <w:tcBorders>
              <w:tl2br w:val="nil"/>
              <w:tr2bl w:val="nil"/>
            </w:tcBorders>
            <w:vAlign w:val="center"/>
          </w:tcPr>
          <w:p w14:paraId="5F08A5C0">
            <w:pPr>
              <w:jc w:val="center"/>
              <w:rPr>
                <w:rFonts w:hint="eastAsia" w:ascii="宋体" w:hAnsi="宋体" w:eastAsia="宋体" w:cs="宋体"/>
                <w:sz w:val="21"/>
                <w:szCs w:val="21"/>
              </w:rPr>
            </w:pPr>
          </w:p>
        </w:tc>
        <w:tc>
          <w:tcPr>
            <w:tcW w:w="886" w:type="dxa"/>
            <w:tcBorders>
              <w:tl2br w:val="nil"/>
              <w:tr2bl w:val="nil"/>
            </w:tcBorders>
            <w:vAlign w:val="center"/>
          </w:tcPr>
          <w:p w14:paraId="3E9A21E9">
            <w:pPr>
              <w:jc w:val="center"/>
              <w:rPr>
                <w:rFonts w:hint="eastAsia" w:ascii="宋体" w:hAnsi="宋体" w:eastAsia="宋体" w:cs="宋体"/>
                <w:sz w:val="21"/>
                <w:szCs w:val="21"/>
              </w:rPr>
            </w:pPr>
          </w:p>
        </w:tc>
        <w:tc>
          <w:tcPr>
            <w:tcW w:w="891" w:type="dxa"/>
            <w:tcBorders>
              <w:tl2br w:val="nil"/>
              <w:tr2bl w:val="nil"/>
            </w:tcBorders>
            <w:vAlign w:val="center"/>
          </w:tcPr>
          <w:p w14:paraId="57B1D2A7">
            <w:pPr>
              <w:jc w:val="center"/>
              <w:rPr>
                <w:rFonts w:hint="eastAsia" w:ascii="宋体" w:hAnsi="宋体" w:eastAsia="宋体" w:cs="宋体"/>
                <w:sz w:val="21"/>
                <w:szCs w:val="21"/>
              </w:rPr>
            </w:pPr>
            <w:r>
              <w:rPr>
                <w:rFonts w:hint="eastAsia" w:ascii="宋体" w:hAnsi="宋体" w:eastAsia="宋体" w:cs="宋体"/>
                <w:sz w:val="21"/>
                <w:szCs w:val="21"/>
              </w:rPr>
              <w:t>√</w:t>
            </w:r>
          </w:p>
        </w:tc>
        <w:tc>
          <w:tcPr>
            <w:tcW w:w="889" w:type="dxa"/>
            <w:tcBorders>
              <w:tl2br w:val="nil"/>
              <w:tr2bl w:val="nil"/>
            </w:tcBorders>
            <w:vAlign w:val="center"/>
          </w:tcPr>
          <w:p w14:paraId="41C53625">
            <w:pPr>
              <w:jc w:val="center"/>
              <w:rPr>
                <w:rFonts w:hint="eastAsia" w:ascii="宋体" w:hAnsi="宋体" w:eastAsia="宋体" w:cs="宋体"/>
                <w:sz w:val="21"/>
                <w:szCs w:val="21"/>
              </w:rPr>
            </w:pPr>
            <w:r>
              <w:rPr>
                <w:rFonts w:hint="eastAsia" w:ascii="宋体" w:hAnsi="宋体" w:eastAsia="宋体" w:cs="宋体"/>
                <w:sz w:val="21"/>
                <w:szCs w:val="21"/>
              </w:rPr>
              <w:t>√</w:t>
            </w:r>
          </w:p>
        </w:tc>
        <w:tc>
          <w:tcPr>
            <w:tcW w:w="890" w:type="dxa"/>
            <w:tcBorders>
              <w:tl2br w:val="nil"/>
              <w:tr2bl w:val="nil"/>
            </w:tcBorders>
            <w:vAlign w:val="center"/>
          </w:tcPr>
          <w:p w14:paraId="73DBE4A6">
            <w:pPr>
              <w:jc w:val="center"/>
              <w:rPr>
                <w:rFonts w:hint="eastAsia" w:ascii="宋体" w:hAnsi="宋体" w:eastAsia="宋体" w:cs="宋体"/>
                <w:sz w:val="21"/>
                <w:szCs w:val="21"/>
              </w:rPr>
            </w:pPr>
          </w:p>
        </w:tc>
        <w:tc>
          <w:tcPr>
            <w:tcW w:w="1109" w:type="dxa"/>
            <w:tcBorders>
              <w:tl2br w:val="nil"/>
              <w:tr2bl w:val="nil"/>
            </w:tcBorders>
            <w:vAlign w:val="center"/>
          </w:tcPr>
          <w:p w14:paraId="12139F47">
            <w:pPr>
              <w:jc w:val="center"/>
              <w:rPr>
                <w:rFonts w:hint="eastAsia" w:ascii="宋体" w:hAnsi="宋体" w:eastAsia="宋体" w:cs="宋体"/>
                <w:sz w:val="21"/>
                <w:szCs w:val="21"/>
              </w:rPr>
            </w:pPr>
          </w:p>
        </w:tc>
        <w:tc>
          <w:tcPr>
            <w:tcW w:w="886" w:type="dxa"/>
            <w:tcBorders>
              <w:tl2br w:val="nil"/>
              <w:tr2bl w:val="nil"/>
            </w:tcBorders>
            <w:vAlign w:val="center"/>
          </w:tcPr>
          <w:p w14:paraId="73E21636">
            <w:pPr>
              <w:jc w:val="center"/>
              <w:rPr>
                <w:rFonts w:hint="eastAsia" w:ascii="宋体" w:hAnsi="宋体" w:eastAsia="宋体" w:cs="宋体"/>
                <w:sz w:val="21"/>
                <w:szCs w:val="21"/>
              </w:rPr>
            </w:pPr>
          </w:p>
        </w:tc>
      </w:tr>
      <w:tr w14:paraId="3C8CB75A">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trHeight w:val="760" w:hRule="atLeast"/>
        </w:trPr>
        <w:tc>
          <w:tcPr>
            <w:tcW w:w="1315" w:type="dxa"/>
            <w:tcBorders>
              <w:tl2br w:val="nil"/>
              <w:tr2bl w:val="nil"/>
            </w:tcBorders>
            <w:vAlign w:val="center"/>
          </w:tcPr>
          <w:p w14:paraId="15D831B3">
            <w:pPr>
              <w:jc w:val="center"/>
              <w:rPr>
                <w:rFonts w:hint="eastAsia" w:ascii="宋体" w:hAnsi="宋体" w:eastAsia="宋体" w:cs="宋体"/>
                <w:sz w:val="21"/>
                <w:szCs w:val="21"/>
              </w:rPr>
            </w:pPr>
            <w:r>
              <w:rPr>
                <w:rFonts w:hint="eastAsia" w:ascii="宋体" w:hAnsi="宋体" w:eastAsia="宋体" w:cs="宋体"/>
                <w:sz w:val="21"/>
                <w:szCs w:val="21"/>
              </w:rPr>
              <w:t>重要购置及</w:t>
            </w:r>
          </w:p>
          <w:p w14:paraId="0BF0308B">
            <w:pPr>
              <w:jc w:val="center"/>
              <w:rPr>
                <w:rFonts w:hint="eastAsia" w:ascii="宋体" w:hAnsi="宋体" w:eastAsia="宋体" w:cs="宋体"/>
                <w:sz w:val="21"/>
                <w:szCs w:val="21"/>
              </w:rPr>
            </w:pPr>
            <w:r>
              <w:rPr>
                <w:rFonts w:hint="eastAsia" w:ascii="宋体" w:hAnsi="宋体" w:eastAsia="宋体" w:cs="宋体"/>
                <w:sz w:val="21"/>
                <w:szCs w:val="21"/>
              </w:rPr>
              <w:t>材料</w:t>
            </w:r>
          </w:p>
        </w:tc>
        <w:tc>
          <w:tcPr>
            <w:tcW w:w="900" w:type="dxa"/>
            <w:tcBorders>
              <w:tl2br w:val="nil"/>
              <w:tr2bl w:val="nil"/>
            </w:tcBorders>
            <w:vAlign w:val="center"/>
          </w:tcPr>
          <w:p w14:paraId="1EF86736">
            <w:pPr>
              <w:jc w:val="center"/>
              <w:rPr>
                <w:rFonts w:hint="eastAsia" w:ascii="宋体" w:hAnsi="宋体" w:eastAsia="宋体" w:cs="宋体"/>
                <w:sz w:val="21"/>
                <w:szCs w:val="21"/>
              </w:rPr>
            </w:pPr>
            <w:r>
              <w:rPr>
                <w:rFonts w:hint="eastAsia" w:ascii="宋体" w:hAnsi="宋体" w:eastAsia="宋体" w:cs="宋体"/>
                <w:sz w:val="21"/>
                <w:szCs w:val="21"/>
              </w:rPr>
              <w:t>√</w:t>
            </w:r>
          </w:p>
        </w:tc>
        <w:tc>
          <w:tcPr>
            <w:tcW w:w="951" w:type="dxa"/>
            <w:tcBorders>
              <w:tl2br w:val="nil"/>
              <w:tr2bl w:val="nil"/>
            </w:tcBorders>
            <w:vAlign w:val="center"/>
          </w:tcPr>
          <w:p w14:paraId="779FC241">
            <w:pPr>
              <w:jc w:val="center"/>
              <w:rPr>
                <w:rFonts w:hint="eastAsia" w:ascii="宋体" w:hAnsi="宋体" w:eastAsia="宋体" w:cs="宋体"/>
                <w:sz w:val="21"/>
                <w:szCs w:val="21"/>
              </w:rPr>
            </w:pPr>
          </w:p>
        </w:tc>
        <w:tc>
          <w:tcPr>
            <w:tcW w:w="886" w:type="dxa"/>
            <w:tcBorders>
              <w:tl2br w:val="nil"/>
              <w:tr2bl w:val="nil"/>
            </w:tcBorders>
            <w:vAlign w:val="center"/>
          </w:tcPr>
          <w:p w14:paraId="110A1360">
            <w:pPr>
              <w:jc w:val="center"/>
              <w:rPr>
                <w:rFonts w:hint="eastAsia" w:ascii="宋体" w:hAnsi="宋体" w:eastAsia="宋体" w:cs="宋体"/>
                <w:sz w:val="21"/>
                <w:szCs w:val="21"/>
              </w:rPr>
            </w:pPr>
          </w:p>
        </w:tc>
        <w:tc>
          <w:tcPr>
            <w:tcW w:w="891" w:type="dxa"/>
            <w:tcBorders>
              <w:tl2br w:val="nil"/>
              <w:tr2bl w:val="nil"/>
            </w:tcBorders>
            <w:vAlign w:val="center"/>
          </w:tcPr>
          <w:p w14:paraId="2EA53412">
            <w:pPr>
              <w:jc w:val="center"/>
              <w:rPr>
                <w:rFonts w:hint="eastAsia" w:ascii="宋体" w:hAnsi="宋体" w:eastAsia="宋体" w:cs="宋体"/>
                <w:sz w:val="21"/>
                <w:szCs w:val="21"/>
              </w:rPr>
            </w:pPr>
            <w:r>
              <w:rPr>
                <w:rFonts w:hint="eastAsia" w:ascii="宋体" w:hAnsi="宋体" w:eastAsia="宋体" w:cs="宋体"/>
                <w:sz w:val="21"/>
                <w:szCs w:val="21"/>
              </w:rPr>
              <w:t>√</w:t>
            </w:r>
          </w:p>
        </w:tc>
        <w:tc>
          <w:tcPr>
            <w:tcW w:w="889" w:type="dxa"/>
            <w:tcBorders>
              <w:tl2br w:val="nil"/>
              <w:tr2bl w:val="nil"/>
            </w:tcBorders>
            <w:vAlign w:val="center"/>
          </w:tcPr>
          <w:p w14:paraId="3C0D4D62">
            <w:pPr>
              <w:jc w:val="center"/>
              <w:rPr>
                <w:rFonts w:hint="eastAsia" w:ascii="宋体" w:hAnsi="宋体" w:eastAsia="宋体" w:cs="宋体"/>
                <w:sz w:val="21"/>
                <w:szCs w:val="21"/>
              </w:rPr>
            </w:pPr>
            <w:r>
              <w:rPr>
                <w:rFonts w:hint="eastAsia" w:ascii="宋体" w:hAnsi="宋体" w:eastAsia="宋体" w:cs="宋体"/>
                <w:sz w:val="21"/>
                <w:szCs w:val="21"/>
              </w:rPr>
              <w:t>√</w:t>
            </w:r>
          </w:p>
        </w:tc>
        <w:tc>
          <w:tcPr>
            <w:tcW w:w="890" w:type="dxa"/>
            <w:tcBorders>
              <w:tl2br w:val="nil"/>
              <w:tr2bl w:val="nil"/>
            </w:tcBorders>
            <w:vAlign w:val="center"/>
          </w:tcPr>
          <w:p w14:paraId="6B987E0E">
            <w:pPr>
              <w:jc w:val="center"/>
              <w:rPr>
                <w:rFonts w:hint="eastAsia" w:ascii="宋体" w:hAnsi="宋体" w:eastAsia="宋体" w:cs="宋体"/>
                <w:sz w:val="21"/>
                <w:szCs w:val="21"/>
              </w:rPr>
            </w:pPr>
          </w:p>
        </w:tc>
        <w:tc>
          <w:tcPr>
            <w:tcW w:w="1109" w:type="dxa"/>
            <w:tcBorders>
              <w:tl2br w:val="nil"/>
              <w:tr2bl w:val="nil"/>
            </w:tcBorders>
            <w:vAlign w:val="center"/>
          </w:tcPr>
          <w:p w14:paraId="322AB65C">
            <w:pPr>
              <w:jc w:val="center"/>
              <w:rPr>
                <w:rFonts w:hint="eastAsia" w:ascii="宋体" w:hAnsi="宋体" w:eastAsia="宋体" w:cs="宋体"/>
                <w:sz w:val="21"/>
                <w:szCs w:val="21"/>
              </w:rPr>
            </w:pPr>
          </w:p>
        </w:tc>
        <w:tc>
          <w:tcPr>
            <w:tcW w:w="886" w:type="dxa"/>
            <w:tcBorders>
              <w:tl2br w:val="nil"/>
              <w:tr2bl w:val="nil"/>
            </w:tcBorders>
            <w:vAlign w:val="center"/>
          </w:tcPr>
          <w:p w14:paraId="0171377D">
            <w:pPr>
              <w:jc w:val="center"/>
              <w:rPr>
                <w:rFonts w:hint="eastAsia" w:ascii="宋体" w:hAnsi="宋体" w:eastAsia="宋体" w:cs="宋体"/>
                <w:sz w:val="21"/>
                <w:szCs w:val="21"/>
              </w:rPr>
            </w:pPr>
          </w:p>
        </w:tc>
      </w:tr>
      <w:tr w14:paraId="3385C778">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trHeight w:val="760" w:hRule="atLeast"/>
        </w:trPr>
        <w:tc>
          <w:tcPr>
            <w:tcW w:w="1315" w:type="dxa"/>
            <w:tcBorders>
              <w:tl2br w:val="nil"/>
              <w:tr2bl w:val="nil"/>
            </w:tcBorders>
            <w:vAlign w:val="center"/>
          </w:tcPr>
          <w:p w14:paraId="33A0756C">
            <w:pPr>
              <w:jc w:val="center"/>
              <w:rPr>
                <w:rFonts w:hint="eastAsia" w:ascii="宋体" w:hAnsi="宋体" w:eastAsia="宋体" w:cs="宋体"/>
                <w:sz w:val="21"/>
                <w:szCs w:val="21"/>
              </w:rPr>
            </w:pPr>
            <w:r>
              <w:rPr>
                <w:rFonts w:hint="eastAsia" w:ascii="宋体" w:hAnsi="宋体" w:eastAsia="宋体" w:cs="宋体"/>
                <w:sz w:val="21"/>
                <w:szCs w:val="21"/>
              </w:rPr>
              <w:t>其他</w:t>
            </w:r>
          </w:p>
        </w:tc>
        <w:tc>
          <w:tcPr>
            <w:tcW w:w="900" w:type="dxa"/>
            <w:tcBorders>
              <w:tl2br w:val="nil"/>
              <w:tr2bl w:val="nil"/>
            </w:tcBorders>
            <w:vAlign w:val="center"/>
          </w:tcPr>
          <w:p w14:paraId="58165579">
            <w:pPr>
              <w:jc w:val="center"/>
              <w:rPr>
                <w:rFonts w:hint="eastAsia" w:ascii="宋体" w:hAnsi="宋体" w:eastAsia="宋体" w:cs="宋体"/>
                <w:sz w:val="21"/>
                <w:szCs w:val="21"/>
              </w:rPr>
            </w:pPr>
          </w:p>
        </w:tc>
        <w:tc>
          <w:tcPr>
            <w:tcW w:w="951" w:type="dxa"/>
            <w:tcBorders>
              <w:tl2br w:val="nil"/>
              <w:tr2bl w:val="nil"/>
            </w:tcBorders>
            <w:vAlign w:val="center"/>
          </w:tcPr>
          <w:p w14:paraId="437B72E7">
            <w:pPr>
              <w:jc w:val="center"/>
              <w:rPr>
                <w:rFonts w:hint="eastAsia" w:ascii="宋体" w:hAnsi="宋体" w:eastAsia="宋体" w:cs="宋体"/>
                <w:sz w:val="21"/>
                <w:szCs w:val="21"/>
              </w:rPr>
            </w:pPr>
          </w:p>
        </w:tc>
        <w:tc>
          <w:tcPr>
            <w:tcW w:w="886" w:type="dxa"/>
            <w:tcBorders>
              <w:tl2br w:val="nil"/>
              <w:tr2bl w:val="nil"/>
            </w:tcBorders>
            <w:vAlign w:val="center"/>
          </w:tcPr>
          <w:p w14:paraId="2788D582">
            <w:pPr>
              <w:jc w:val="center"/>
              <w:rPr>
                <w:rFonts w:hint="eastAsia" w:ascii="宋体" w:hAnsi="宋体" w:eastAsia="宋体" w:cs="宋体"/>
                <w:sz w:val="21"/>
                <w:szCs w:val="21"/>
              </w:rPr>
            </w:pPr>
          </w:p>
        </w:tc>
        <w:tc>
          <w:tcPr>
            <w:tcW w:w="891" w:type="dxa"/>
            <w:tcBorders>
              <w:tl2br w:val="nil"/>
              <w:tr2bl w:val="nil"/>
            </w:tcBorders>
            <w:vAlign w:val="center"/>
          </w:tcPr>
          <w:p w14:paraId="53639718">
            <w:pPr>
              <w:jc w:val="center"/>
              <w:rPr>
                <w:rFonts w:hint="eastAsia" w:ascii="宋体" w:hAnsi="宋体" w:eastAsia="宋体" w:cs="宋体"/>
                <w:sz w:val="21"/>
                <w:szCs w:val="21"/>
              </w:rPr>
            </w:pPr>
          </w:p>
        </w:tc>
        <w:tc>
          <w:tcPr>
            <w:tcW w:w="889" w:type="dxa"/>
            <w:tcBorders>
              <w:tl2br w:val="nil"/>
              <w:tr2bl w:val="nil"/>
            </w:tcBorders>
            <w:vAlign w:val="center"/>
          </w:tcPr>
          <w:p w14:paraId="3E660D9F">
            <w:pPr>
              <w:jc w:val="center"/>
              <w:rPr>
                <w:rFonts w:hint="eastAsia" w:ascii="宋体" w:hAnsi="宋体" w:eastAsia="宋体" w:cs="宋体"/>
                <w:sz w:val="21"/>
                <w:szCs w:val="21"/>
              </w:rPr>
            </w:pPr>
          </w:p>
        </w:tc>
        <w:tc>
          <w:tcPr>
            <w:tcW w:w="890" w:type="dxa"/>
            <w:tcBorders>
              <w:tl2br w:val="nil"/>
              <w:tr2bl w:val="nil"/>
            </w:tcBorders>
            <w:vAlign w:val="center"/>
          </w:tcPr>
          <w:p w14:paraId="2F5E8030">
            <w:pPr>
              <w:jc w:val="center"/>
              <w:rPr>
                <w:rFonts w:hint="eastAsia" w:ascii="宋体" w:hAnsi="宋体" w:eastAsia="宋体" w:cs="宋体"/>
                <w:sz w:val="21"/>
                <w:szCs w:val="21"/>
              </w:rPr>
            </w:pPr>
          </w:p>
        </w:tc>
        <w:tc>
          <w:tcPr>
            <w:tcW w:w="1109" w:type="dxa"/>
            <w:tcBorders>
              <w:tl2br w:val="nil"/>
              <w:tr2bl w:val="nil"/>
            </w:tcBorders>
            <w:vAlign w:val="center"/>
          </w:tcPr>
          <w:p w14:paraId="701203A2">
            <w:pPr>
              <w:jc w:val="center"/>
              <w:rPr>
                <w:rFonts w:hint="eastAsia" w:ascii="宋体" w:hAnsi="宋体" w:eastAsia="宋体" w:cs="宋体"/>
                <w:sz w:val="21"/>
                <w:szCs w:val="21"/>
              </w:rPr>
            </w:pPr>
            <w:r>
              <w:rPr>
                <w:rFonts w:hint="eastAsia" w:ascii="宋体" w:hAnsi="宋体" w:eastAsia="宋体" w:cs="宋体"/>
                <w:sz w:val="21"/>
                <w:szCs w:val="21"/>
              </w:rPr>
              <w:t>√</w:t>
            </w:r>
          </w:p>
        </w:tc>
        <w:tc>
          <w:tcPr>
            <w:tcW w:w="886" w:type="dxa"/>
            <w:tcBorders>
              <w:tl2br w:val="nil"/>
              <w:tr2bl w:val="nil"/>
            </w:tcBorders>
            <w:vAlign w:val="center"/>
          </w:tcPr>
          <w:p w14:paraId="7C4F08EB">
            <w:pPr>
              <w:jc w:val="center"/>
              <w:rPr>
                <w:rFonts w:hint="eastAsia" w:ascii="宋体" w:hAnsi="宋体" w:eastAsia="宋体" w:cs="宋体"/>
                <w:sz w:val="21"/>
                <w:szCs w:val="21"/>
              </w:rPr>
            </w:pPr>
          </w:p>
        </w:tc>
      </w:tr>
    </w:tbl>
    <w:p w14:paraId="495F857F">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360" w:lineRule="auto"/>
        <w:jc w:val="center"/>
        <w:textAlignment w:val="auto"/>
        <w:outlineLvl w:val="9"/>
        <w:rPr>
          <w:rFonts w:hint="eastAsia" w:ascii="宋体" w:hAnsi="宋体" w:eastAsia="宋体" w:cs="宋体"/>
          <w:b/>
          <w:bCs/>
          <w:spacing w:val="0"/>
          <w:w w:val="100"/>
          <w:position w:val="0"/>
          <w:sz w:val="36"/>
          <w:szCs w:val="36"/>
          <w:lang w:val="en-US" w:eastAsia="zh-CN"/>
        </w:rPr>
      </w:pPr>
      <w:bookmarkStart w:id="61" w:name="_Toc9558"/>
      <w:bookmarkStart w:id="62" w:name="_Toc16701"/>
      <w:r>
        <w:rPr>
          <w:rFonts w:hint="eastAsia" w:ascii="宋体" w:hAnsi="宋体" w:eastAsia="宋体" w:cs="宋体"/>
          <w:b/>
          <w:bCs/>
          <w:spacing w:val="0"/>
          <w:w w:val="100"/>
          <w:position w:val="0"/>
          <w:sz w:val="36"/>
          <w:szCs w:val="36"/>
          <w:lang w:val="en-US" w:eastAsia="zh-CN"/>
        </w:rPr>
        <w:br w:type="page"/>
      </w:r>
    </w:p>
    <w:p w14:paraId="5AB49066">
      <w:pPr>
        <w:keepNext w:val="0"/>
        <w:keepLines w:val="0"/>
        <w:pageBreakBefore w:val="0"/>
        <w:widowControl/>
        <w:kinsoku w:val="0"/>
        <w:wordWrap/>
        <w:overflowPunct/>
        <w:topLinePunct w:val="0"/>
        <w:autoSpaceDE w:val="0"/>
        <w:autoSpaceDN w:val="0"/>
        <w:bidi w:val="0"/>
        <w:adjustRightInd/>
        <w:snapToGrid/>
        <w:spacing w:before="0" w:beforeLines="100" w:after="0" w:afterLines="100" w:line="360" w:lineRule="auto"/>
        <w:jc w:val="center"/>
        <w:textAlignment w:val="baseline"/>
        <w:outlineLvl w:val="0"/>
        <w:rPr>
          <w:rFonts w:hint="eastAsia" w:ascii="宋体" w:hAnsi="宋体" w:eastAsia="宋体" w:cs="宋体"/>
          <w:b/>
          <w:bCs/>
          <w:sz w:val="36"/>
          <w:szCs w:val="36"/>
          <w:lang w:val="en-US" w:eastAsia="zh-CN"/>
        </w:rPr>
      </w:pPr>
      <w:bookmarkStart w:id="63" w:name="_Toc22426"/>
      <w:bookmarkStart w:id="64" w:name="_Toc20189"/>
      <w:r>
        <w:rPr>
          <w:rFonts w:hint="eastAsia" w:ascii="宋体" w:hAnsi="宋体" w:eastAsia="宋体" w:cs="宋体"/>
          <w:b/>
          <w:bCs/>
          <w:sz w:val="36"/>
          <w:szCs w:val="36"/>
          <w:lang w:val="en-US" w:eastAsia="zh-CN"/>
        </w:rPr>
        <w:t>第五章 项目运营方案</w:t>
      </w:r>
      <w:bookmarkEnd w:id="61"/>
      <w:bookmarkEnd w:id="62"/>
      <w:bookmarkEnd w:id="63"/>
      <w:bookmarkEnd w:id="64"/>
    </w:p>
    <w:p w14:paraId="325AF0A6">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65" w:name="_Toc6377"/>
      <w:bookmarkStart w:id="66" w:name="_Toc30709"/>
      <w:r>
        <w:rPr>
          <w:rFonts w:hint="eastAsia" w:ascii="宋体" w:hAnsi="宋体" w:eastAsia="宋体" w:cs="宋体"/>
          <w:b/>
          <w:bCs/>
          <w:sz w:val="28"/>
          <w:szCs w:val="28"/>
          <w:lang w:val="en-US" w:eastAsia="zh-CN"/>
        </w:rPr>
        <w:t>5.1 运营方案</w:t>
      </w:r>
      <w:bookmarkEnd w:id="65"/>
      <w:bookmarkEnd w:id="66"/>
    </w:p>
    <w:p w14:paraId="39494647">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5.1.1 发展战略</w:t>
      </w:r>
    </w:p>
    <w:p w14:paraId="30F38EA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运营服务发展战略聚焦于打造全方位、高品质、智能化的源网荷储一体化运营服务体系，以满足不断增长的能源需求和日益提升的客户期望。首先，在能源供应方面，持续优化电源结构，提高清洁能源发电效率和稳定性，确保电力的持续可靠输出；同时，强化电网的智能化运维管理，运用先进的监测技术和数据分析手段，实时掌握电网运行状态，快速响应并解决故障问题，保障电力传输的安全高效。其次，针对用户侧，提供个性化的能源服务方案，深入了解不同用户的用电特性和需求，通过智能电表、控制系统等技术手段，帮助用户实现精细化的能源管理，如制定合理的用电计划、参与需求侧响应等，从而降低用户用电成本，提升能源使用效率。再者，充分发挥储能系统的调节作用，不仅在平抑电力波动、保障电能质量方面发挥关键效能，还积极参与电力辅助服务市场，挖掘储能的多重价值。此外，注重人才培养和技术创新，打造一支专业的运营服务团队，持续引进和研发先进的源网荷储技术，不断提升项目的运营管理水平和市场竞争力，以长期稳定的优质服务赢得客户信赖，树立行业标杆形象，推动项目在源网荷储领域的可持续发展，为能源转型和绿色发展贡献力量。</w:t>
      </w:r>
    </w:p>
    <w:p w14:paraId="5FA82D75">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5.1.2 项目运营服务</w:t>
      </w:r>
    </w:p>
    <w:p w14:paraId="78A99F4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1、发展方向</w:t>
      </w:r>
    </w:p>
    <w:p w14:paraId="248E4C9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运营服务将朝着智能化、高效化、定制化方向发展。在智能化上，引入先进的物联网、大数据与人工智能技术，对源网荷储各环节进行实时监测与精准调控，实现设备的智能运维和故障的自动诊断修复，提升系统整体运行效率与可靠性；高效化方面，通过优化能源调度策略，减少传输损耗，充分发挥储能的调峰填谷作用，确保能源在不同时段的合理分配与高效利用，降低运营成本；定制化则专注于满足不同用户的多样化需求，依据用户的用电习惯、生产特性等，为其量身打造能源管理方案，提供节能建议与技术支持，提升用户的能源使用效益与满意度，增强项目在市场中的竞争力，推动源网荷储一体化运营服务向更高水平迈进，更好地适应能源发展新趋势。</w:t>
      </w:r>
    </w:p>
    <w:p w14:paraId="69DDBFAD">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5.1.3 维护维修方案</w:t>
      </w:r>
    </w:p>
    <w:p w14:paraId="531EB96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1、设备维护方案</w:t>
      </w:r>
    </w:p>
    <w:p w14:paraId="3047395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（1）定期检查</w:t>
      </w:r>
    </w:p>
    <w:p w14:paraId="010504B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建立定期检查机制，对生产设备进行定期的检查和维护，发现设备的问题及时处理，减少生产故障的发生。</w:t>
      </w:r>
    </w:p>
    <w:p w14:paraId="54B09128">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（2）维护记录</w:t>
      </w:r>
    </w:p>
    <w:p w14:paraId="056A1A8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建立设备维护记录系统，记录每台设备的维护情况，便于日后的跟踪和管理。</w:t>
      </w:r>
    </w:p>
    <w:p w14:paraId="5F350E1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（3）设备保养</w:t>
      </w:r>
    </w:p>
    <w:p w14:paraId="3081ED64">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定期对设备进行保养，及时更换磨损部件，加油加润，确保设备的正常运行。</w:t>
      </w:r>
    </w:p>
    <w:p w14:paraId="7D63A54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（4）人员培训</w:t>
      </w:r>
    </w:p>
    <w:p w14:paraId="357A8D94">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对维护人员进行培训，提高其技能和知识水平，使其能够更好地进行设备维护和保养工作。</w:t>
      </w:r>
    </w:p>
    <w:p w14:paraId="4F00FC9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2、设备维修方案</w:t>
      </w:r>
    </w:p>
    <w:p w14:paraId="0BBE659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（1）技术支持</w:t>
      </w:r>
    </w:p>
    <w:p w14:paraId="538B2BC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建立技术支持渠道，与设备生产厂家建立联系，及时获取技术支持和解决方案，保证设备的正常运行。</w:t>
      </w:r>
    </w:p>
    <w:p w14:paraId="18384F7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（2）维修团队</w:t>
      </w:r>
    </w:p>
    <w:p w14:paraId="6AC4393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建立专业的维修团队，由资深维修人员组成，能够及时、有效地解决设备故障。</w:t>
      </w:r>
    </w:p>
    <w:p w14:paraId="568B7BE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（3）维修备件库</w:t>
      </w:r>
    </w:p>
    <w:p w14:paraId="0E90799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建立维修备件库，存放常用的维修备件，便于快速更换，加快修复设备的速度。</w:t>
      </w:r>
    </w:p>
    <w:p w14:paraId="013E3F0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（4）原因分析</w:t>
      </w:r>
    </w:p>
    <w:p w14:paraId="340522E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对设备故障进行原因分析，找出故障的根本原因，从而采取有针对性的措施，防止故障再次发生。</w:t>
      </w:r>
    </w:p>
    <w:p w14:paraId="4B2CEE4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建立科学的设备维护维修方案，通过人工监控和自动化工具，及时发现和解决可能存在的问题，确保设备的正常运行。同时，建立完善的管理和监督体系，确保方案实施的效果。</w:t>
      </w:r>
    </w:p>
    <w:p w14:paraId="4FA93326">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5.1.4 运营服务方案</w:t>
      </w:r>
    </w:p>
    <w:p w14:paraId="3E16B82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default" w:ascii="宋体" w:hAnsi="宋体" w:eastAsia="宋体" w:cs="宋体"/>
          <w:snapToGrid/>
          <w:color w:val="auto"/>
          <w:spacing w:val="0"/>
          <w:w w:val="100"/>
          <w:kern w:val="2"/>
          <w:position w:val="0"/>
          <w:sz w:val="28"/>
          <w:szCs w:val="28"/>
          <w:lang w:val="en-US" w:eastAsia="zh-CN" w:bidi="zh-CN"/>
        </w:rPr>
        <w:t>本项目运营服务方案将围绕源网荷储一体化系统，构建全方位、精细化、智能化的服务体系，确保项目安全、稳定、高效运行，实现能源的优化配置和客户价值的最大化。</w:t>
      </w:r>
    </w:p>
    <w:p w14:paraId="33F922E0">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default" w:ascii="宋体" w:hAnsi="宋体" w:eastAsia="宋体" w:cs="宋体"/>
          <w:snapToGrid/>
          <w:color w:val="auto"/>
          <w:spacing w:val="0"/>
          <w:w w:val="100"/>
          <w:kern w:val="2"/>
          <w:position w:val="0"/>
          <w:sz w:val="28"/>
          <w:szCs w:val="28"/>
          <w:lang w:val="en-US" w:eastAsia="zh-CN" w:bidi="zh-CN"/>
        </w:rPr>
        <w:t>在能源供应环节，我们将对各类电源进行科学管理与维护，包括对分布式光伏、风电以及传统火电（若有）等发电设备的日常巡检、预防性维护和故障抢修，确保发电效率和电能质量，根据天气和负荷变化灵活调整发电策略，优先保障清洁能源的充分利用。电网运营方面，通过安装智能监控系统，实时掌握电网的潮流分布、电压稳定性等关键指标，及时发现并解决潜在的安全隐患，利用先进的电力通信技术实现电网的自动化调度和快速故障隔离，保障电力传输的可靠性和连续性。负荷管理上，为用户提供智能电表和能源管理终端，帮助用户实时了解用电情况，根据用户的生产计划和用电需求，制定个性化的用电方案，引导用户错峰用电，积极参与需求侧响应项目，从而降低用户的用电成本，提高能源利用效率。储能系统运营中，将根据电网的负荷特性和电价波动，合理安排储能的充放电时间，在用电低谷期储存电能，在高峰时段释放，起到削峰填谷的作用，同时参与电网的调频、调压等辅助服务，提升电网的稳定性和电能质量。此外，我们还将建立专业的客户服务团队，24 小时响应客户的咨询、投诉和技术支持需求，定期为客户提供能源使用报告和节能建议，通过持续优化运营服务流程和技术创新，不断提升项目的运营效益和客户满意度，为项目的长期可持续发展奠定坚实基础，在源网荷储一体化领域树立良好的服务典范，推动能源行业的绿色、高效发展。</w:t>
      </w:r>
    </w:p>
    <w:p w14:paraId="0C0EBCA4">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67" w:name="_Toc27306"/>
      <w:bookmarkStart w:id="68" w:name="_Toc11627"/>
      <w:r>
        <w:rPr>
          <w:rFonts w:hint="eastAsia" w:ascii="宋体" w:hAnsi="宋体" w:eastAsia="宋体" w:cs="宋体"/>
          <w:b/>
          <w:bCs/>
          <w:sz w:val="28"/>
          <w:szCs w:val="28"/>
        </w:rPr>
        <w:t>5.2 安全保障方案</w:t>
      </w:r>
      <w:bookmarkEnd w:id="67"/>
      <w:bookmarkEnd w:id="68"/>
    </w:p>
    <w:p w14:paraId="76FE497A">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bookmarkStart w:id="69" w:name="_Toc2460"/>
      <w:r>
        <w:rPr>
          <w:rFonts w:hint="eastAsia" w:ascii="宋体" w:hAnsi="宋体" w:eastAsia="宋体" w:cs="宋体"/>
          <w:b/>
          <w:bCs/>
          <w:sz w:val="28"/>
          <w:szCs w:val="28"/>
        </w:rPr>
        <w:t>5.2.1 运营中危险因素及危险程度</w:t>
      </w:r>
      <w:bookmarkEnd w:id="69"/>
    </w:p>
    <w:p w14:paraId="69EE845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新能源发电设备故障风险：太阳能光伏板可能出现热斑效应、组件老化损坏，风力发电机可能存在叶片断裂、齿轮箱故障等问题。这些故障一旦发生，不仅会导致发电中断，影响电力供应稳定性，还可能因设备部件掉落引发人员伤亡和财产损失。危险程度较高，尤其是在恶劣天气条件下或设备维护不及时的情况下，发生故障的概率会显著增加。</w:t>
      </w:r>
    </w:p>
    <w:p w14:paraId="78928E7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电网波动与短路风险：由于分布式能源的接入以及负荷的动态变化，电网可能出现电压波动、频率异常甚至短路故障。这会影响电力传输质量，对用电设备造成损坏，严重时可能引发火灾，威胁整个项目区域的安全。其危险程度取决于电网保护装置的可靠性和故障排查处理的及时性，若保护机制失效，危险程度将急剧上升。</w:t>
      </w:r>
    </w:p>
    <w:p w14:paraId="389AE94B">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储能系统安全风险：电化学储能装置如锂离子电池存在热失控、电解液泄漏、过充过放等安全隐患。热失控可能引发火灾甚至爆炸，危及周边人员和设施安全。而且储能系统在充放电过程中的能量管理若出现问题，也会影响其寿命和性能，进而影响整个源网荷储系统的稳定性。这种风险的危险程度极高，一旦发生事故，后果不堪设想。</w:t>
      </w:r>
    </w:p>
    <w:p w14:paraId="11C1FBD0">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电力调度与控制系统故障风险：项目依赖先进的电力调度和控制系统来协调源网荷储各环节的运行，如果该系统遭受黑客攻击、软件漏洞或硬件故障，可能导致调度指令错误、数据丢失或系统瘫痪，使得整个电力系统失去控制，造成大面积停电和设备损坏，对生产生活造成严重影响，危险程度不容小觑。</w:t>
      </w:r>
    </w:p>
    <w:p w14:paraId="466B910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人为操作失误风险：运维人员在设备操作、检修、调试等过程中，可能因技能不足、违规操作或疏忽大意而引发事故，如误操作电气设备导致触电、误拉合开关引发电网故障等。虽然单个操作失误可能影响范围有限，但长期来看，人为因素引发事故的累积风险不可忽视，危险程度中等偏上，通过加强人员培训和安全管理可有效降低此类风险。</w:t>
      </w:r>
    </w:p>
    <w:p w14:paraId="0F35F015">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70" w:name="_Toc11841"/>
      <w:bookmarkStart w:id="71" w:name="_Toc28611"/>
      <w:r>
        <w:rPr>
          <w:rFonts w:hint="eastAsia" w:ascii="宋体" w:hAnsi="宋体" w:eastAsia="宋体" w:cs="宋体"/>
          <w:b/>
          <w:bCs/>
          <w:sz w:val="28"/>
          <w:szCs w:val="28"/>
        </w:rPr>
        <w:t>5.3 运营管理方案</w:t>
      </w:r>
      <w:bookmarkEnd w:id="70"/>
      <w:bookmarkEnd w:id="71"/>
    </w:p>
    <w:p w14:paraId="078D2FBB">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5.3.1 项目组织</w:t>
      </w:r>
    </w:p>
    <w:p w14:paraId="7F95363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为确保项目的建设能够顺利的进行、顺利实施，尽快的投入运营，早日的发挥其重要的价值所在，务必切实加强领导，做好项目的前期准备工作，确保项目的工程质量与进度的完善。</w:t>
      </w:r>
    </w:p>
    <w:p w14:paraId="5D2601AB">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本项目在建设期间，由建设单位组建建设领导小组，有效的负责项目的组织、协调与管理，并负责控制项目建设的进度、质量和投资。项目指挥部下设办公室、工程管理部、物资供应部、计划财务部等职能部门。</w:t>
      </w:r>
    </w:p>
    <w:p w14:paraId="0F20DB9F">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5.3.2 劳动定员</w:t>
      </w:r>
    </w:p>
    <w:p w14:paraId="25C54F98">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本项目建成后运营期</w:t>
      </w:r>
      <w:r>
        <w:rPr>
          <w:rFonts w:hint="eastAsia" w:ascii="宋体" w:hAnsi="宋体" w:eastAsia="宋体" w:cs="宋体"/>
          <w:snapToGrid/>
          <w:color w:val="000000"/>
          <w:spacing w:val="0"/>
          <w:w w:val="100"/>
          <w:kern w:val="2"/>
          <w:position w:val="0"/>
          <w:sz w:val="28"/>
          <w:szCs w:val="28"/>
          <w:lang w:val="en-US" w:eastAsia="zh-CN" w:bidi="zh-CN"/>
        </w:rPr>
        <w:t>间，运营公司需新增劳动定员6人。主要负责项目项目运营及对入驻企业的监管。</w:t>
      </w:r>
    </w:p>
    <w:p w14:paraId="177CAC18">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5.3.3 人员素质要求</w:t>
      </w:r>
    </w:p>
    <w:p w14:paraId="72E62A25">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高级管理人员如总经理、各部门经理、技术人员、管理人员由公司委任；中级管理人员，各车间经理、领班及技术骨干来源主要有三个渠道：一是由企业中挑选进行培训；二是从同行业中聘请，三是从应届专业学校毕业生中直接选拔。一般工作人员由公司内部调配解决，不足部分向社会公开招聘，择优录取。</w:t>
      </w:r>
    </w:p>
    <w:p w14:paraId="54E0974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在筹建期间要安排好企业员工的培训，以便受训人员可及时投入到设备安装调试和试生产中。</w:t>
      </w:r>
    </w:p>
    <w:p w14:paraId="6E870AB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技术培训主要内容包括全员文化素质培训、生产管理培训、关键技术的应用培训、关键设备的操作与维修培训、产品研制开发培训、质量控制培训、安全培训等。培训对象包括生产工人、技术人员及管理人员。培训方式以国内为主，具体培训措施：</w:t>
      </w:r>
    </w:p>
    <w:p w14:paraId="691456A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1、组织理论知识学习，提高职工文化知识水平。</w:t>
      </w:r>
    </w:p>
    <w:p w14:paraId="01B7CBA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2、在本项目投产前组织各类新增人员就地培训，上岗前要组织考核，择优上岗。</w:t>
      </w:r>
    </w:p>
    <w:p w14:paraId="6F279FAB">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3、聘请有实践经验的专家来厂现场指导传授技术。安排有实践经验的技术人员给不同岗位的干部工人上课，提高全员业务素质。</w:t>
      </w:r>
    </w:p>
    <w:p w14:paraId="368D6AE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4、企业主要负责人、主管设备、技术、安全的负责人及安全生产管理人员应具有行业相关经验，能够按规范要求进行管理，有能力对工作中出现的各种问题进行良好的处理。</w:t>
      </w:r>
    </w:p>
    <w:p w14:paraId="39C3A5D8">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5、从业人员上岗前必须经过相关法规教育及相应技术培训，企业应建立培训及考核档案，企业负责人及生产、品质管理部门负责人还应接受相关专业培训。</w:t>
      </w:r>
    </w:p>
    <w:p w14:paraId="5DEBEE4D">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5.3.4 员工培训计划</w:t>
      </w:r>
    </w:p>
    <w:p w14:paraId="4FAA4BE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企业的管理人员、技术人员及生产人员的素质是企业形象的具体体现，特别是在市场经济的今天，从业人员的素质的高低是企业发展的关键。因此，本项目生产关键环节的有关人员，拟派到国内同类型中水回用综合项目地进行培训，其他人员由公司组织就地培训，请经验丰富的专业技术人员讲课，使生产人员能够掌握基础知识和基本技能，并要严格考核，持证上岗，培训人员应不少于一线操作人员中的60%—70%，培训时间应根据岗位操作的复杂程度确定，通常为1—2个月，人员培训工作一定要安排在设备调试前进行。</w:t>
      </w:r>
    </w:p>
    <w:p w14:paraId="09D4B25A">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bookmarkStart w:id="72" w:name="_Toc20554"/>
      <w:r>
        <w:rPr>
          <w:rFonts w:hint="eastAsia" w:ascii="宋体" w:hAnsi="宋体" w:eastAsia="宋体" w:cs="宋体"/>
          <w:b/>
          <w:bCs/>
          <w:sz w:val="28"/>
          <w:szCs w:val="28"/>
        </w:rPr>
        <w:t>5.</w:t>
      </w: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w:t>
      </w:r>
      <w:r>
        <w:rPr>
          <w:rFonts w:hint="eastAsia" w:ascii="宋体" w:hAnsi="宋体" w:eastAsia="宋体" w:cs="宋体"/>
          <w:b/>
          <w:bCs/>
          <w:sz w:val="28"/>
          <w:szCs w:val="28"/>
          <w:lang w:val="en-US" w:eastAsia="zh-CN"/>
        </w:rPr>
        <w:t>5</w:t>
      </w:r>
      <w:r>
        <w:rPr>
          <w:rFonts w:hint="eastAsia" w:ascii="宋体" w:hAnsi="宋体" w:eastAsia="宋体" w:cs="宋体"/>
          <w:b/>
          <w:bCs/>
          <w:sz w:val="28"/>
          <w:szCs w:val="28"/>
        </w:rPr>
        <w:t xml:space="preserve"> 安全生产责任制</w:t>
      </w:r>
      <w:bookmarkEnd w:id="72"/>
    </w:p>
    <w:p w14:paraId="200923C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安全生产责任制是确保企业安全生产的基础。企业应该设立安全生产管理机构，明确各级领导和员工的安全生产职责，并制定相应的安全生产规章制度。这样可以使各级管理者和员工都明确自己的安全生产职责，提高整个企业的安全管理水平。同时，企业还应加强对员工的安全教育培训，提高员工的安全意识和安全技能。</w:t>
      </w:r>
    </w:p>
    <w:p w14:paraId="10754D27">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w:t>
      </w: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w:t>
      </w:r>
      <w:r>
        <w:rPr>
          <w:rFonts w:hint="eastAsia" w:ascii="宋体" w:hAnsi="宋体" w:eastAsia="宋体" w:cs="宋体"/>
          <w:b/>
          <w:bCs/>
          <w:sz w:val="28"/>
          <w:szCs w:val="28"/>
          <w:lang w:val="en-US" w:eastAsia="zh-CN"/>
        </w:rPr>
        <w:t>6</w:t>
      </w:r>
      <w:r>
        <w:rPr>
          <w:rFonts w:hint="eastAsia" w:ascii="宋体" w:hAnsi="宋体" w:eastAsia="宋体" w:cs="宋体"/>
          <w:b/>
          <w:bCs/>
          <w:sz w:val="28"/>
          <w:szCs w:val="28"/>
        </w:rPr>
        <w:t xml:space="preserve"> 建立安全管理机构</w:t>
      </w:r>
    </w:p>
    <w:p w14:paraId="35A36E7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安全管理机构是负责安全管理的组织机构，在企业中起着至关重要的作用。企业应该设立专门的安全管理机构，主要负责安全管理制度的制定和实施、安全生产资料管理、安全生产监督和检查等方面的工作。安全管理机构应拥有足够的权力和资源，能够有效地履行安全管理职责。</w:t>
      </w:r>
    </w:p>
    <w:p w14:paraId="3448A813">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w:t>
      </w: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w:t>
      </w:r>
      <w:r>
        <w:rPr>
          <w:rFonts w:hint="eastAsia" w:ascii="宋体" w:hAnsi="宋体" w:eastAsia="宋体" w:cs="宋体"/>
          <w:b/>
          <w:bCs/>
          <w:sz w:val="28"/>
          <w:szCs w:val="28"/>
          <w:lang w:val="en-US" w:eastAsia="zh-CN"/>
        </w:rPr>
        <w:t>7</w:t>
      </w:r>
      <w:r>
        <w:rPr>
          <w:rFonts w:hint="eastAsia" w:ascii="宋体" w:hAnsi="宋体" w:eastAsia="宋体" w:cs="宋体"/>
          <w:b/>
          <w:bCs/>
          <w:sz w:val="28"/>
          <w:szCs w:val="28"/>
        </w:rPr>
        <w:t xml:space="preserve"> 建立安全管理体系</w:t>
      </w:r>
    </w:p>
    <w:p w14:paraId="1A735B2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安全管理体系是安全管理的重要组成部分，包括安全制度、安全防范、安全监控和安全救援等方面。通过建立完善的安全管理体系，企业可以加强对生产过程中的安全控制，有效预防和应对各种安全风险。安全管理体系应根据企业的实际情况进行设计，保证其完整、系统、有效。</w:t>
      </w:r>
    </w:p>
    <w:p w14:paraId="25000B44">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w:t>
      </w: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w:t>
      </w:r>
      <w:r>
        <w:rPr>
          <w:rFonts w:hint="eastAsia" w:ascii="宋体" w:hAnsi="宋体" w:eastAsia="宋体" w:cs="宋体"/>
          <w:b/>
          <w:bCs/>
          <w:sz w:val="28"/>
          <w:szCs w:val="28"/>
          <w:lang w:val="en-US" w:eastAsia="zh-CN"/>
        </w:rPr>
        <w:t>8</w:t>
      </w:r>
      <w:r>
        <w:rPr>
          <w:rFonts w:hint="eastAsia" w:ascii="宋体" w:hAnsi="宋体" w:eastAsia="宋体" w:cs="宋体"/>
          <w:b/>
          <w:bCs/>
          <w:sz w:val="28"/>
          <w:szCs w:val="28"/>
        </w:rPr>
        <w:t xml:space="preserve"> 安全防范措施</w:t>
      </w:r>
    </w:p>
    <w:p w14:paraId="330D319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1、环境监测与风险控制</w:t>
      </w:r>
    </w:p>
    <w:p w14:paraId="6897F9B5">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获嘉县在推进本项目时，需要强化环境监管，确保项目在建设和运营过程中符合环保要求，减少对生态环境的影响。</w:t>
      </w:r>
    </w:p>
    <w:p w14:paraId="3DD5116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2、技术与设施升级</w:t>
      </w:r>
    </w:p>
    <w:p w14:paraId="2504C68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采用先进的源网荷储理念，对园区内光伏和储能设备进行智能化管理，提高系统的安全性和可靠性。</w:t>
      </w:r>
    </w:p>
    <w:p w14:paraId="0037362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3、风险评估与管理</w:t>
      </w:r>
    </w:p>
    <w:p w14:paraId="11BD727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建立风险评估体系，对项目可能面临的技术风险、市场风险、财务风险等进行评估，并制定相应的应对措施。</w:t>
      </w:r>
    </w:p>
    <w:p w14:paraId="1B5980A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4、公众参与与宣传教育</w:t>
      </w:r>
    </w:p>
    <w:p w14:paraId="16B7D2E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提高公众对新能源电力及源网荷储模式的认知度，鼓励公众参与项目的监督和管理，同时通过宣传教育提高公众的环保意识和安全意识。</w:t>
      </w:r>
    </w:p>
    <w:p w14:paraId="3D5D554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5、加强员工培训和安全意识教育</w:t>
      </w:r>
    </w:p>
    <w:p w14:paraId="49ECE87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加强员工的安全培训和安全意识教育，确保操作人员能够正确的运用设备，并预防和处理安全事故。员工作业时提供必要的个人防护装备，如安全帽、防护眼镜、防滑鞋、防护服等。</w:t>
      </w:r>
    </w:p>
    <w:p w14:paraId="0662A39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6、信息化管理及加强信息安全保护</w:t>
      </w:r>
    </w:p>
    <w:p w14:paraId="5DE1A36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利用现代信息技术，建立智能化的管理系统，实现远程监控、数据分析和智能调度，提高管理效率和服务质量。采取多层次、多措施的信息安全保障体系，对数据进行分类备份、加密传输、审计监控等，防止数据被盗窃。</w:t>
      </w:r>
    </w:p>
    <w:p w14:paraId="5F978625">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w:t>
      </w:r>
      <w:r>
        <w:rPr>
          <w:rFonts w:hint="eastAsia" w:ascii="宋体" w:hAnsi="宋体" w:eastAsia="宋体" w:cs="宋体"/>
          <w:b/>
          <w:bCs/>
          <w:sz w:val="28"/>
          <w:szCs w:val="28"/>
          <w:lang w:val="en-US" w:eastAsia="zh-CN"/>
        </w:rPr>
        <w:t>3.9</w:t>
      </w:r>
      <w:r>
        <w:rPr>
          <w:rFonts w:hint="eastAsia" w:ascii="宋体" w:hAnsi="宋体" w:eastAsia="宋体" w:cs="宋体"/>
          <w:b/>
          <w:bCs/>
          <w:sz w:val="28"/>
          <w:szCs w:val="28"/>
        </w:rPr>
        <w:t xml:space="preserve"> 项目应急管理预案</w:t>
      </w:r>
    </w:p>
    <w:p w14:paraId="49A20FF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1、应急响应机制</w:t>
      </w:r>
    </w:p>
    <w:p w14:paraId="27962224">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实际情况建立应急响应机制。该机制包括应急组织架构、应急响应程序、应急调度指挥等方面。应急响应机制中要包括人员责任分工，产生应急事件时，每个应急小组成员要知道自己的职责和任务，并发挥自己的专业优势协助处理应急事件。</w:t>
      </w:r>
    </w:p>
    <w:p w14:paraId="63ED481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2、应急预案制定</w:t>
      </w:r>
    </w:p>
    <w:p w14:paraId="25DF1235">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在应急预案中对可能发生的应急事故进行分类、评估和判断。应急预案的制订要按照应急响应等级，明确应急工作的步骤和措施，以及一次性应急物资采购和物资储备计划、应急复工方案等。</w:t>
      </w:r>
    </w:p>
    <w:p w14:paraId="2EBDCB3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3、应急资源准备</w:t>
      </w:r>
    </w:p>
    <w:p w14:paraId="13913604">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提前申购和储备物资和设备，准备充分、有序的应急物资，及时更新物资库存数。在应急预案制定的基础上建立物资应急储备体系，合理分配应急物资储备、物资采购和供应商选择及沟通等。预防与应急响应物资有关的问题。</w:t>
      </w:r>
    </w:p>
    <w:p w14:paraId="0F51ADC8">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4、应急培训措施</w:t>
      </w:r>
    </w:p>
    <w:p w14:paraId="6B14634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组织企业内部的应急培训，针对不同岗位的员工，开展不同层次、不同内容的应急培训。企业应急培训内容可以包括防范知识、急救抢救技能、危机公关和虚拟疏散等。</w:t>
      </w:r>
    </w:p>
    <w:p w14:paraId="004A6CE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5、应急调度和信息化</w:t>
      </w:r>
    </w:p>
    <w:p w14:paraId="1362FB48">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建立应急调度与信息化系统，快速响应线上网络安全问题、IT设备故障问题等，并制定应急调度预案，明确应急处置的流程。同时应加强网络安全防御，利用信息化技术加强危险源信息预警和防范。</w:t>
      </w:r>
    </w:p>
    <w:p w14:paraId="3A9F101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6、应急演练</w:t>
      </w:r>
    </w:p>
    <w:p w14:paraId="15A8829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定期开展应急演练，包括突发事件处理、防火演练、应急疏散演练等，确保预案的可行性和使用性。演练中的细节和业务流程应与预案的实操情况配合，以最大程度地发挥出应急预案的价值和效果。</w:t>
      </w:r>
    </w:p>
    <w:p w14:paraId="4D35C650">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7、突发事件处理流程</w:t>
      </w:r>
    </w:p>
    <w:p w14:paraId="6BA46FA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在突发事件处理流程中提前设计应急响应步骤和具体实施方案，建立应急指挥体系，明确人员职责、应急调度、物资储备、应急通讯和技术保障等，确保应急传递的快捷与准确，应急处理的及时与有效性。</w:t>
      </w:r>
    </w:p>
    <w:p w14:paraId="34A876D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8、应急通讯和报警系统</w:t>
      </w:r>
    </w:p>
    <w:p w14:paraId="3010E8FB">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完备、连通的应急通讯和报警系统，综合利用网络通信设备、人员通讯设备等手段，确保应急信息及时传递，应急通讯系统的成功率和通畅度高。预警和警报的判断，能够准确和及时发布，为迅速响应和有效出击提供重要支持。</w:t>
      </w:r>
    </w:p>
    <w:p w14:paraId="45366E9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9、规范记录和督查</w:t>
      </w:r>
    </w:p>
    <w:p w14:paraId="6F28EFE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建立应急事件记录和督查制度，对应急情况进行详细记录，及时反馈和沟通。同时实时向管理层汇报应急事件情况，强化督查和检查效果，以不断完善具体的应急处置措施和应对经验。</w:t>
      </w:r>
    </w:p>
    <w:p w14:paraId="1DB4768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应急管理预案的详细性和全面性是保障企业安全的重要保障措施。企业应该认真执行应急管理预案，不断加强应急意识和应急响应能力，提高应急处置水平，以保障企业和人员的生命和资产安全。</w:t>
      </w:r>
    </w:p>
    <w:p w14:paraId="678D9FC7">
      <w:pPr>
        <w:rPr>
          <w:rFonts w:hint="eastAsia" w:ascii="宋体" w:hAnsi="宋体" w:eastAsia="宋体" w:cs="宋体"/>
          <w:b/>
          <w:i w:val="0"/>
          <w:strike w:val="0"/>
          <w:color w:val="000000"/>
          <w:spacing w:val="0"/>
          <w:sz w:val="36"/>
          <w:u w:val="none"/>
          <w:vertAlign w:val="baseline"/>
          <w:lang w:val="en-US" w:eastAsia="zh-CN"/>
        </w:rPr>
      </w:pPr>
      <w:r>
        <w:rPr>
          <w:rFonts w:hint="eastAsia" w:ascii="宋体" w:hAnsi="宋体" w:eastAsia="宋体" w:cs="宋体"/>
          <w:b/>
          <w:i w:val="0"/>
          <w:strike w:val="0"/>
          <w:color w:val="000000"/>
          <w:spacing w:val="0"/>
          <w:sz w:val="36"/>
          <w:u w:val="none"/>
          <w:vertAlign w:val="baseline"/>
          <w:lang w:val="en-US" w:eastAsia="zh-CN"/>
        </w:rPr>
        <w:br w:type="page"/>
      </w:r>
    </w:p>
    <w:p w14:paraId="153BD845">
      <w:pPr>
        <w:keepNext w:val="0"/>
        <w:keepLines w:val="0"/>
        <w:pageBreakBefore w:val="0"/>
        <w:widowControl/>
        <w:kinsoku w:val="0"/>
        <w:wordWrap/>
        <w:overflowPunct/>
        <w:topLinePunct w:val="0"/>
        <w:autoSpaceDE w:val="0"/>
        <w:autoSpaceDN w:val="0"/>
        <w:bidi w:val="0"/>
        <w:adjustRightInd/>
        <w:snapToGrid/>
        <w:spacing w:before="0" w:beforeLines="100" w:after="0" w:afterLines="100" w:line="360" w:lineRule="auto"/>
        <w:jc w:val="center"/>
        <w:textAlignment w:val="baseline"/>
        <w:outlineLvl w:val="0"/>
        <w:rPr>
          <w:rFonts w:hint="eastAsia" w:ascii="宋体" w:hAnsi="宋体" w:eastAsia="宋体" w:cs="宋体"/>
          <w:b/>
          <w:bCs/>
          <w:color w:val="auto"/>
          <w:sz w:val="36"/>
          <w:szCs w:val="36"/>
          <w:lang w:val="en-US" w:eastAsia="zh-CN"/>
        </w:rPr>
      </w:pPr>
      <w:bookmarkStart w:id="73" w:name="_Toc8006"/>
      <w:bookmarkStart w:id="74" w:name="_Toc19857"/>
      <w:bookmarkStart w:id="75" w:name="_Toc25672"/>
      <w:r>
        <w:rPr>
          <w:rFonts w:hint="eastAsia" w:ascii="宋体" w:hAnsi="宋体" w:eastAsia="宋体" w:cs="宋体"/>
          <w:b/>
          <w:bCs/>
          <w:color w:val="auto"/>
          <w:sz w:val="36"/>
          <w:szCs w:val="36"/>
          <w:lang w:val="en-US" w:eastAsia="zh-CN"/>
        </w:rPr>
        <w:t>第六章 项目投融资与财务方案</w:t>
      </w:r>
      <w:bookmarkEnd w:id="73"/>
      <w:bookmarkEnd w:id="74"/>
      <w:bookmarkEnd w:id="75"/>
    </w:p>
    <w:p w14:paraId="2C3A2033">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76" w:name="_Toc2334"/>
      <w:bookmarkStart w:id="77" w:name="_Toc11271"/>
      <w:bookmarkStart w:id="78" w:name="_Toc6231"/>
      <w:r>
        <w:rPr>
          <w:rFonts w:hint="eastAsia" w:ascii="宋体" w:hAnsi="宋体" w:eastAsia="宋体" w:cs="宋体"/>
          <w:b/>
          <w:bCs/>
          <w:sz w:val="28"/>
          <w:szCs w:val="28"/>
        </w:rPr>
        <w:t>6.1 项目投资估算及说明</w:t>
      </w:r>
      <w:bookmarkEnd w:id="76"/>
      <w:bookmarkEnd w:id="77"/>
      <w:bookmarkEnd w:id="78"/>
    </w:p>
    <w:p w14:paraId="7B807E31">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6.1.1 工程概况</w:t>
      </w:r>
    </w:p>
    <w:p w14:paraId="64A3A4FF">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ascii="宋体" w:hAnsi="宋体" w:eastAsia="宋体" w:cs="宋体"/>
          <w:i w:val="0"/>
          <w:strike w:val="0"/>
          <w:spacing w:val="0"/>
          <w:sz w:val="28"/>
          <w:u w:val="none"/>
        </w:rPr>
        <w:t>本项目在</w:t>
      </w:r>
      <w:r>
        <w:rPr>
          <w:rFonts w:hint="eastAsia" w:ascii="宋体" w:hAnsi="宋体" w:eastAsia="宋体" w:cs="宋体"/>
          <w:snapToGrid/>
          <w:color w:val="auto"/>
          <w:spacing w:val="0"/>
          <w:w w:val="100"/>
          <w:kern w:val="2"/>
          <w:position w:val="0"/>
          <w:sz w:val="28"/>
          <w:szCs w:val="28"/>
          <w:lang w:val="en-US" w:eastAsia="zh-CN" w:bidi="zh-CN"/>
        </w:rPr>
        <w:t>获嘉县产业集聚区创业孵化</w:t>
      </w:r>
      <w:r>
        <w:rPr>
          <w:rFonts w:ascii="宋体" w:hAnsi="宋体" w:eastAsia="宋体" w:cs="宋体"/>
          <w:i w:val="0"/>
          <w:strike w:val="0"/>
          <w:spacing w:val="0"/>
          <w:sz w:val="28"/>
          <w:u w:val="none"/>
        </w:rPr>
        <w:t>园区内工业厂房屋顶部署</w:t>
      </w:r>
      <w:r>
        <w:rPr>
          <w:rFonts w:hint="eastAsia" w:ascii="宋体" w:hAnsi="宋体" w:eastAsia="宋体" w:cs="宋体"/>
          <w:i w:val="0"/>
          <w:strike w:val="0"/>
          <w:spacing w:val="0"/>
          <w:sz w:val="28"/>
          <w:u w:val="none"/>
          <w:lang w:val="en-US" w:eastAsia="zh-CN"/>
        </w:rPr>
        <w:t>5956</w:t>
      </w:r>
      <w:r>
        <w:rPr>
          <w:rFonts w:ascii="宋体" w:hAnsi="宋体" w:eastAsia="宋体" w:cs="宋体"/>
          <w:i w:val="0"/>
          <w:strike w:val="0"/>
          <w:spacing w:val="0"/>
          <w:sz w:val="28"/>
          <w:u w:val="none"/>
        </w:rPr>
        <w:t>KW的分布式光伏发电系统，并配套安装用户侧储能设施，总规模达到</w:t>
      </w:r>
      <w:r>
        <w:rPr>
          <w:rFonts w:hint="eastAsia" w:ascii="宋体" w:hAnsi="宋体" w:eastAsia="宋体" w:cs="宋体"/>
          <w:i w:val="0"/>
          <w:strike w:val="0"/>
          <w:spacing w:val="0"/>
          <w:sz w:val="28"/>
          <w:u w:val="none"/>
          <w:lang w:val="en-US" w:eastAsia="zh-CN"/>
        </w:rPr>
        <w:t>20</w:t>
      </w:r>
      <w:r>
        <w:rPr>
          <w:rFonts w:ascii="宋体" w:hAnsi="宋体" w:eastAsia="宋体" w:cs="宋体"/>
          <w:i w:val="0"/>
          <w:strike w:val="0"/>
          <w:spacing w:val="0"/>
          <w:sz w:val="28"/>
          <w:u w:val="none"/>
        </w:rPr>
        <w:t>MW/</w:t>
      </w:r>
      <w:r>
        <w:rPr>
          <w:rFonts w:hint="eastAsia" w:ascii="宋体" w:hAnsi="宋体" w:eastAsia="宋体" w:cs="宋体"/>
          <w:i w:val="0"/>
          <w:strike w:val="0"/>
          <w:spacing w:val="0"/>
          <w:sz w:val="28"/>
          <w:u w:val="none"/>
          <w:lang w:val="en-US" w:eastAsia="zh-CN"/>
        </w:rPr>
        <w:t>40</w:t>
      </w:r>
      <w:r>
        <w:rPr>
          <w:rFonts w:ascii="宋体" w:hAnsi="宋体" w:eastAsia="宋体" w:cs="宋体"/>
          <w:i w:val="0"/>
          <w:strike w:val="0"/>
          <w:spacing w:val="0"/>
          <w:sz w:val="28"/>
          <w:u w:val="none"/>
        </w:rPr>
        <w:t>MWh（其中包含3MW储能换电模块）。此外，项目规划安装</w:t>
      </w:r>
      <w:r>
        <w:rPr>
          <w:rFonts w:hint="eastAsia" w:ascii="宋体" w:hAnsi="宋体" w:eastAsia="宋体" w:cs="宋体"/>
          <w:i w:val="0"/>
          <w:strike w:val="0"/>
          <w:spacing w:val="0"/>
          <w:sz w:val="28"/>
          <w:u w:val="none"/>
          <w:lang w:val="en-US" w:eastAsia="zh-CN"/>
        </w:rPr>
        <w:t>5</w:t>
      </w:r>
      <w:r>
        <w:rPr>
          <w:rFonts w:ascii="宋体" w:hAnsi="宋体" w:eastAsia="宋体" w:cs="宋体"/>
          <w:i w:val="0"/>
          <w:strike w:val="0"/>
          <w:spacing w:val="0"/>
          <w:sz w:val="28"/>
          <w:u w:val="none"/>
        </w:rPr>
        <w:t>个600kw液冷光储充电桩和其他等量充电桩，并同步实施其他相关配套工程。通过源网荷储一体化方案，本项目将直接将所发绿色电力供给河南大成包装材料有限公司。该企业采用此清洁能源后，不仅能有效降低自身污染排放，还将有力推动可再生能源的应用与发展。这一综合性项目对于提升资源利用效率、减轻环境负担、以及助力绿色可持续发展目标的实现具有重要意义</w:t>
      </w:r>
      <w:r>
        <w:rPr>
          <w:rFonts w:hint="eastAsia" w:ascii="宋体" w:hAnsi="宋体" w:eastAsia="宋体" w:cs="宋体"/>
          <w:snapToGrid/>
          <w:color w:val="auto"/>
          <w:spacing w:val="0"/>
          <w:w w:val="100"/>
          <w:kern w:val="2"/>
          <w:position w:val="0"/>
          <w:sz w:val="28"/>
          <w:szCs w:val="28"/>
          <w:lang w:val="en-US" w:eastAsia="zh-CN" w:bidi="zh-CN"/>
        </w:rPr>
        <w:t>。</w:t>
      </w:r>
    </w:p>
    <w:p w14:paraId="537006DC">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6.1.2 编制依据</w:t>
      </w:r>
    </w:p>
    <w:p w14:paraId="4A47323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《投资项目可行性研究报告》（计办投资〔2002〕15号）；</w:t>
      </w:r>
    </w:p>
    <w:p w14:paraId="3D79F7C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《投资项目经济咨询评估指南》（咨经〔1998〕11号）；</w:t>
      </w:r>
    </w:p>
    <w:p w14:paraId="5665249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《建设工程工程量清单计价规范》（GB50500-2013）；</w:t>
      </w:r>
    </w:p>
    <w:p w14:paraId="7586D630">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《河南省市政工程预算定额》（HAA1-31-2016）；</w:t>
      </w:r>
    </w:p>
    <w:p w14:paraId="63507A65">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《河南省房屋建筑与装饰工程预算定额》（HA01-31-2016）；</w:t>
      </w:r>
    </w:p>
    <w:p w14:paraId="1F58A650">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《河南省通用安装工程预算定额》（HA02-31-2016）；</w:t>
      </w:r>
    </w:p>
    <w:p w14:paraId="3F86B28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河南省有关造价文件。</w:t>
      </w:r>
    </w:p>
    <w:p w14:paraId="0956CEF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设备费用依据近期向制造厂询价计算。</w:t>
      </w:r>
    </w:p>
    <w:p w14:paraId="4C64987D">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6.1.3 投资构成与估算参数</w:t>
      </w:r>
    </w:p>
    <w:p w14:paraId="613C9448">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项目投资主要是固定资产投资，其中固定资产投资由工程费用、工程建设其他费用、预备费、建设期利息四部分组成，详细情况如下。</w:t>
      </w:r>
    </w:p>
    <w:p w14:paraId="5C21878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1、工程费用</w:t>
      </w:r>
    </w:p>
    <w:p w14:paraId="380BDA7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工程费用包括设备购置费，根据相同结构的类似工程计算，并参考现行市场材料价格和当地工程造价指数信息进行调整，以单方指标计入，具体如下。</w:t>
      </w:r>
    </w:p>
    <w:p w14:paraId="1B32A78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（1）设备购置费</w:t>
      </w:r>
    </w:p>
    <w:p w14:paraId="0D71916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光伏设备：该项目设备主要</w:t>
      </w:r>
      <w:r>
        <w:rPr>
          <w:rFonts w:ascii="宋体" w:hAnsi="宋体" w:eastAsia="宋体" w:cs="宋体"/>
          <w:i w:val="0"/>
          <w:strike w:val="0"/>
          <w:spacing w:val="0"/>
          <w:sz w:val="28"/>
          <w:u w:val="none"/>
        </w:rPr>
        <w:t>640Wp单晶N型</w:t>
      </w:r>
      <w:r>
        <w:rPr>
          <w:rFonts w:hint="eastAsia" w:ascii="宋体" w:hAnsi="宋体" w:eastAsia="宋体" w:cs="宋体"/>
          <w:snapToGrid/>
          <w:color w:val="auto"/>
          <w:spacing w:val="0"/>
          <w:w w:val="100"/>
          <w:kern w:val="2"/>
          <w:position w:val="0"/>
          <w:sz w:val="28"/>
          <w:szCs w:val="28"/>
          <w:lang w:val="en-US" w:eastAsia="zh-CN" w:bidi="zh-CN"/>
        </w:rPr>
        <w:t>、逆变器、交流汇流箱、光伏支架、光伏直流电缆、MC4连接器、交流电缆、干式变压器（箱变)、光伏接入柜、并网柜、站用变电柜、10kV动态无功补偿装置、高压电缆、组件、电气安装、辅材等其他辅助设备，本项目建设光伏电站5.956MW。预计费用1708.65万元。</w:t>
      </w:r>
    </w:p>
    <w:p w14:paraId="5000C360">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储能设备：电池系统5000KWH、储能变流器、集装箱柜体、温控系统、消防系统、储能EMS、</w:t>
      </w:r>
      <w:r>
        <w:rPr>
          <w:rFonts w:ascii="宋体" w:hAnsi="宋体" w:eastAsia="宋体" w:cs="宋体"/>
          <w:i w:val="0"/>
          <w:strike w:val="0"/>
          <w:spacing w:val="0"/>
          <w:sz w:val="28"/>
          <w:u w:val="none"/>
        </w:rPr>
        <w:t>15KWH换电系统(3000KWH)、</w:t>
      </w:r>
      <w:r>
        <w:rPr>
          <w:rFonts w:hint="eastAsia" w:ascii="宋体" w:hAnsi="宋体" w:eastAsia="宋体" w:cs="宋体"/>
          <w:snapToGrid/>
          <w:color w:val="auto"/>
          <w:spacing w:val="0"/>
          <w:w w:val="100"/>
          <w:kern w:val="2"/>
          <w:position w:val="0"/>
          <w:sz w:val="28"/>
          <w:szCs w:val="28"/>
          <w:lang w:val="en-US" w:eastAsia="zh-CN" w:bidi="zh-CN"/>
        </w:rPr>
        <w:t>储能箱基础及连接电缆及其他附件设备。预计费用5099.70万元。</w:t>
      </w:r>
    </w:p>
    <w:p w14:paraId="3E4CAB34">
      <w:pPr>
        <w:snapToGrid/>
        <w:spacing w:before="157" w:after="157" w:line="240" w:lineRule="auto"/>
        <w:ind w:firstLine="550"/>
      </w:pPr>
      <w:r>
        <w:rPr>
          <w:rFonts w:ascii="宋体" w:hAnsi="宋体" w:eastAsia="宋体" w:cs="宋体"/>
          <w:i w:val="0"/>
          <w:strike w:val="0"/>
          <w:color w:val="000000"/>
          <w:sz w:val="28"/>
          <w:u w:val="none"/>
        </w:rPr>
        <w:t>（2）园区配套工程</w:t>
      </w:r>
    </w:p>
    <w:p w14:paraId="4186BE35">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该项目室外工程主要包括：升压/降压变压器、中压输电电缆、绿化等相关配套工程、10kv储能变电站、中心配电室变压器2000KVA、</w:t>
      </w:r>
      <w:r>
        <w:rPr>
          <w:rFonts w:ascii="宋体" w:hAnsi="宋体" w:eastAsia="宋体" w:cs="宋体"/>
          <w:i w:val="0"/>
          <w:strike w:val="0"/>
          <w:spacing w:val="0"/>
          <w:sz w:val="28"/>
          <w:u w:val="none"/>
        </w:rPr>
        <w:t>光伏充电桩（600kw液冷）</w:t>
      </w:r>
      <w:r>
        <w:rPr>
          <w:rFonts w:hint="eastAsia" w:ascii="宋体" w:hAnsi="宋体" w:eastAsia="宋体" w:cs="宋体"/>
          <w:snapToGrid/>
          <w:color w:val="auto"/>
          <w:spacing w:val="0"/>
          <w:w w:val="100"/>
          <w:kern w:val="2"/>
          <w:position w:val="0"/>
          <w:sz w:val="28"/>
          <w:szCs w:val="28"/>
          <w:lang w:val="en-US" w:eastAsia="zh-CN" w:bidi="zh-CN"/>
        </w:rPr>
        <w:t>等，预计费用1094.22万元。</w:t>
      </w:r>
    </w:p>
    <w:p w14:paraId="740FE9E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2、工程建设其他费用</w:t>
      </w:r>
    </w:p>
    <w:p w14:paraId="3639695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本项目工程其他费用包括建设单位管理费、建设工程监理费、建设项目前期咨询费、工程勘察费、工程设计费、环境影响咨询服务费、场地准备及临时设施费、工程保险费、招标代理费、工程造价咨询费、</w:t>
      </w:r>
      <w:r>
        <w:rPr>
          <w:rFonts w:ascii="宋体" w:hAnsi="宋体" w:eastAsia="宋体" w:cs="宋体"/>
          <w:i w:val="0"/>
          <w:strike w:val="0"/>
          <w:spacing w:val="0"/>
          <w:sz w:val="28"/>
          <w:u w:val="none"/>
        </w:rPr>
        <w:t>屋顶荷载检测费</w:t>
      </w:r>
      <w:r>
        <w:rPr>
          <w:rFonts w:hint="eastAsia" w:ascii="宋体" w:hAnsi="宋体" w:eastAsia="宋体" w:cs="宋体"/>
          <w:snapToGrid/>
          <w:color w:val="auto"/>
          <w:spacing w:val="0"/>
          <w:w w:val="100"/>
          <w:kern w:val="2"/>
          <w:position w:val="0"/>
          <w:sz w:val="28"/>
          <w:szCs w:val="28"/>
          <w:lang w:val="en-US" w:eastAsia="zh-CN" w:bidi="zh-CN"/>
        </w:rPr>
        <w:t>等。具体情况如下：</w:t>
      </w:r>
    </w:p>
    <w:p w14:paraId="658FC5F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（1）建设单位管理费：</w:t>
      </w:r>
    </w:p>
    <w:p w14:paraId="054EC62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根据财建(2016)504号文结合实际情况计取按39.51万元计入。</w:t>
      </w:r>
    </w:p>
    <w:p w14:paraId="3F0E9B2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（2）建设工程监理费：</w:t>
      </w:r>
    </w:p>
    <w:p w14:paraId="4C70459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根据发改价格（2015）299号、豫建监协（2015）19号文并结合实际情况按47.42万元计取。</w:t>
      </w:r>
    </w:p>
    <w:p w14:paraId="0F7732A8">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（3）建设项目前期工作咨询费：</w:t>
      </w:r>
    </w:p>
    <w:p w14:paraId="0A5AFE8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根据参考豫发改收费[2011]627号并结合实际情况按39.51万元计取。</w:t>
      </w:r>
    </w:p>
    <w:p w14:paraId="31E83710">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（4）工程勘察费：</w:t>
      </w:r>
    </w:p>
    <w:p w14:paraId="5292257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根据国家计委、根据发改价格[2015]299号文并结合实际情况按26.17万元计取。</w:t>
      </w:r>
    </w:p>
    <w:p w14:paraId="7DCB375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（5）工程设计费：</w:t>
      </w:r>
    </w:p>
    <w:p w14:paraId="7DEF81C4">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根据国家计委、建设部计价格（2002）10号文及发改价格[2015]299号文并结合实际情况按79.03万元计取。</w:t>
      </w:r>
    </w:p>
    <w:p w14:paraId="383437E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（6）环境影响咨询服务费：</w:t>
      </w:r>
    </w:p>
    <w:p w14:paraId="57A45F8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根据发改价格[2015]299号及发改收费[2011]627号文并结合实际情况按7.90万元计取。</w:t>
      </w:r>
    </w:p>
    <w:p w14:paraId="0C0E7458">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（7）场地准备费及临时设施费：</w:t>
      </w:r>
    </w:p>
    <w:p w14:paraId="47C032E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根据《市政工程投资估算编制办法》（建标〔2007〕164号）文并结合实际情况按43.46万元计取。</w:t>
      </w:r>
    </w:p>
    <w:p w14:paraId="24E8BD4B">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（8）工程保险费：</w:t>
      </w:r>
    </w:p>
    <w:p w14:paraId="374BD1A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根据《保险法》《合同法》法律法规规定并结合实际情况按23.30万元计取。</w:t>
      </w:r>
    </w:p>
    <w:p w14:paraId="44D63CF4">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（9）招标代理服务费：</w:t>
      </w:r>
    </w:p>
    <w:p w14:paraId="2E869B04">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根据参考豫发改收费[2011]627号文并结合市场情况按26.87万元计取。</w:t>
      </w:r>
    </w:p>
    <w:p w14:paraId="1A0ED378">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（10）工程造价咨询费：</w:t>
      </w:r>
    </w:p>
    <w:p w14:paraId="6F64C11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根据中价协〔2013〕35号文并结合实际情况按23.71万元计取。</w:t>
      </w:r>
    </w:p>
    <w:p w14:paraId="31E23F7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（11）</w:t>
      </w:r>
      <w:r>
        <w:rPr>
          <w:rFonts w:ascii="宋体" w:hAnsi="宋体" w:eastAsia="宋体" w:cs="宋体"/>
          <w:i w:val="0"/>
          <w:strike w:val="0"/>
          <w:spacing w:val="0"/>
          <w:sz w:val="28"/>
          <w:u w:val="none"/>
        </w:rPr>
        <w:t>屋顶荷载检测费</w:t>
      </w:r>
    </w:p>
    <w:p w14:paraId="1193205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根据《关于规范房屋安全鉴定收费的通知》和《房屋安全鉴定收费标准》文件要求并结合实际情况按15.64万元。</w:t>
      </w:r>
    </w:p>
    <w:p w14:paraId="627FDECB">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14:paraId="54A72F5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3、预备费</w:t>
      </w:r>
    </w:p>
    <w:p w14:paraId="5B3B8D34">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基本预备费，以工程建设费与工程建设其他费用之和为基数，其中，基本预备费按照工程费用和工程其他费用之和5%计入，按413.75万元计取，涨价预备费按照0万元计取。</w:t>
      </w:r>
    </w:p>
    <w:p w14:paraId="14E72F9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4、建设期利息</w:t>
      </w:r>
    </w:p>
    <w:p w14:paraId="5F60684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本项目建设期为0.5年（含建设期准备工作），计划2025年8月开工，预计2026年2月竣工，利率4.50%，建设期内按金融机构计息计划投入。</w:t>
      </w:r>
    </w:p>
    <w:p w14:paraId="6EBE2B90">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6.1.4 投资估算和资金筹措</w:t>
      </w:r>
    </w:p>
    <w:p w14:paraId="3E1EC7E8">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1、投资估算</w:t>
      </w:r>
    </w:p>
    <w:p w14:paraId="4B07BBFE">
      <w:pPr>
        <w:pBdr>
          <w:bottom w:val="none" w:color="auto" w:sz="0" w:space="0"/>
        </w:pBdr>
        <w:snapToGrid/>
        <w:spacing w:line="240" w:lineRule="auto"/>
        <w:ind w:firstLineChars="200"/>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总投资8767.59万元，其中项目工程费用7902.57万元，占总投资的90.13%；工程建设其它费用372.52万元，占总投资的4.25%；预备费413.75万元，占总投资的4.72%；建设期利息78.75万元，占总投资的0.90%。项目投资构成如下表所示:</w:t>
      </w:r>
    </w:p>
    <w:p w14:paraId="740B12C6">
      <w:pPr>
        <w:keepNext w:val="0"/>
        <w:keepLines w:val="0"/>
        <w:pageBreakBefore w:val="0"/>
        <w:widowControl/>
        <w:pBdr>
          <w:bottom w:val="none" w:color="auto" w:sz="0" w:space="0"/>
        </w:pBdr>
        <w:kinsoku w:val="0"/>
        <w:wordWrap/>
        <w:overflowPunct/>
        <w:topLinePunct w:val="0"/>
        <w:autoSpaceDE w:val="0"/>
        <w:autoSpaceDN w:val="0"/>
        <w:bidi w:val="0"/>
        <w:adjustRightInd/>
        <w:snapToGrid/>
        <w:spacing w:before="0" w:beforeLines="50" w:after="0" w:afterLines="50" w:line="360" w:lineRule="auto"/>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rPr>
        <w:t>表6-</w:t>
      </w:r>
      <w:r>
        <w:rPr>
          <w:rFonts w:hint="eastAsia" w:ascii="宋体" w:hAnsi="宋体" w:eastAsia="宋体" w:cs="宋体"/>
          <w:b/>
          <w:bCs/>
          <w:sz w:val="28"/>
          <w:szCs w:val="28"/>
          <w:lang w:val="en-US" w:eastAsia="zh-CN"/>
        </w:rPr>
        <w:t>1</w:t>
      </w:r>
      <w:r>
        <w:rPr>
          <w:rFonts w:hint="eastAsia" w:ascii="宋体" w:hAnsi="宋体" w:eastAsia="宋体" w:cs="宋体"/>
          <w:b/>
          <w:bCs/>
          <w:sz w:val="28"/>
          <w:szCs w:val="28"/>
        </w:rPr>
        <w:t>项目投资构成一览表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2503"/>
        <w:gridCol w:w="1452"/>
        <w:gridCol w:w="822"/>
        <w:gridCol w:w="1382"/>
        <w:gridCol w:w="1435"/>
      </w:tblGrid>
      <w:tr w14:paraId="7C8D2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center"/>
          </w:tcPr>
          <w:p w14:paraId="339DE865">
            <w:pPr>
              <w:widowControl w:val="0"/>
              <w:snapToGrid/>
              <w:spacing w:before="0" w:after="0" w:line="240" w:lineRule="auto"/>
              <w:jc w:val="center"/>
            </w:pPr>
            <w:r>
              <w:rPr>
                <w:rFonts w:ascii="宋体" w:hAnsi="宋体" w:eastAsia="宋体" w:cs="宋体"/>
                <w:b/>
                <w:i w:val="0"/>
                <w:strike w:val="0"/>
                <w:color w:val="000000"/>
                <w:spacing w:val="0"/>
                <w:sz w:val="18"/>
                <w:u w:val="none"/>
              </w:rPr>
              <w:t>序号</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center"/>
          </w:tcPr>
          <w:p w14:paraId="68DA4037">
            <w:pPr>
              <w:widowControl w:val="0"/>
              <w:snapToGrid/>
              <w:spacing w:before="0" w:after="0" w:line="240" w:lineRule="auto"/>
              <w:jc w:val="center"/>
            </w:pPr>
            <w:r>
              <w:rPr>
                <w:rFonts w:ascii="宋体" w:hAnsi="宋体" w:eastAsia="宋体" w:cs="宋体"/>
                <w:b/>
                <w:i w:val="0"/>
                <w:strike w:val="0"/>
                <w:color w:val="000000"/>
                <w:spacing w:val="0"/>
                <w:sz w:val="18"/>
                <w:u w:val="none"/>
              </w:rPr>
              <w:t>工程或费用名称</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center"/>
          </w:tcPr>
          <w:p w14:paraId="780F2221">
            <w:pPr>
              <w:widowControl w:val="0"/>
              <w:snapToGrid/>
              <w:spacing w:before="0" w:after="0" w:line="240" w:lineRule="auto"/>
              <w:jc w:val="center"/>
            </w:pPr>
            <w:r>
              <w:rPr>
                <w:rFonts w:ascii="宋体" w:hAnsi="宋体" w:eastAsia="宋体" w:cs="宋体"/>
                <w:b/>
                <w:i w:val="0"/>
                <w:strike w:val="0"/>
                <w:color w:val="000000"/>
                <w:spacing w:val="0"/>
                <w:sz w:val="18"/>
                <w:u w:val="none"/>
              </w:rPr>
              <w:t>合计</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14:paraId="29B388B8">
            <w:pPr>
              <w:widowControl w:val="0"/>
              <w:snapToGrid/>
              <w:spacing w:before="0" w:after="0" w:line="240" w:lineRule="auto"/>
              <w:jc w:val="center"/>
            </w:pPr>
            <w:r>
              <w:rPr>
                <w:rFonts w:ascii="宋体" w:hAnsi="宋体" w:eastAsia="宋体" w:cs="宋体"/>
                <w:b/>
                <w:i w:val="0"/>
                <w:strike w:val="0"/>
                <w:color w:val="000000"/>
                <w:spacing w:val="0"/>
                <w:sz w:val="18"/>
                <w:u w:val="none"/>
              </w:rPr>
              <w:t>单位</w:t>
            </w:r>
          </w:p>
        </w:tc>
        <w:tc>
          <w:tcPr>
            <w:tcW w:w="1382" w:type="dxa"/>
            <w:tcBorders>
              <w:top w:val="single" w:color="000000" w:sz="6" w:space="0"/>
              <w:left w:val="single" w:color="000000" w:sz="6" w:space="0"/>
              <w:bottom w:val="single" w:color="000000" w:sz="6" w:space="0"/>
              <w:right w:val="single" w:color="000000" w:sz="6" w:space="0"/>
            </w:tcBorders>
            <w:tcMar>
              <w:bottom w:w="0" w:type="dxa"/>
            </w:tcMar>
            <w:vAlign w:val="center"/>
          </w:tcPr>
          <w:p w14:paraId="4567FBB5">
            <w:pPr>
              <w:widowControl w:val="0"/>
              <w:snapToGrid/>
              <w:spacing w:before="0" w:after="0" w:line="240" w:lineRule="auto"/>
              <w:jc w:val="center"/>
            </w:pPr>
            <w:r>
              <w:rPr>
                <w:rFonts w:ascii="宋体" w:hAnsi="宋体" w:eastAsia="宋体" w:cs="宋体"/>
                <w:b/>
                <w:i w:val="0"/>
                <w:strike w:val="0"/>
                <w:color w:val="000000"/>
                <w:spacing w:val="0"/>
                <w:sz w:val="18"/>
                <w:u w:val="none"/>
              </w:rPr>
              <w:t>数量</w:t>
            </w:r>
          </w:p>
        </w:tc>
        <w:tc>
          <w:tcPr>
            <w:tcW w:w="1435" w:type="dxa"/>
            <w:tcBorders>
              <w:top w:val="single" w:color="000000" w:sz="6" w:space="0"/>
              <w:left w:val="single" w:color="000000" w:sz="6" w:space="0"/>
              <w:bottom w:val="single" w:color="000000" w:sz="6" w:space="0"/>
              <w:right w:val="single" w:color="000000" w:sz="6" w:space="0"/>
            </w:tcBorders>
            <w:tcMar>
              <w:bottom w:w="0" w:type="dxa"/>
            </w:tcMar>
            <w:vAlign w:val="center"/>
          </w:tcPr>
          <w:p w14:paraId="733AD309">
            <w:pPr>
              <w:widowControl w:val="0"/>
              <w:snapToGrid/>
              <w:spacing w:before="0" w:after="0" w:line="240" w:lineRule="auto"/>
              <w:jc w:val="center"/>
            </w:pPr>
            <w:r>
              <w:rPr>
                <w:rFonts w:ascii="宋体" w:hAnsi="宋体" w:eastAsia="宋体" w:cs="宋体"/>
                <w:b/>
                <w:i w:val="0"/>
                <w:strike w:val="0"/>
                <w:color w:val="000000"/>
                <w:spacing w:val="0"/>
                <w:sz w:val="18"/>
                <w:u w:val="none"/>
              </w:rPr>
              <w:t>综合单价（万元）</w:t>
            </w:r>
          </w:p>
        </w:tc>
      </w:tr>
      <w:tr w14:paraId="577FE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77F48CC0">
            <w:pPr>
              <w:widowControl w:val="0"/>
              <w:snapToGrid/>
              <w:spacing w:before="0" w:after="0" w:line="240" w:lineRule="auto"/>
              <w:jc w:val="center"/>
            </w:pPr>
            <w:r>
              <w:rPr>
                <w:rFonts w:ascii="宋体" w:hAnsi="宋体" w:eastAsia="宋体" w:cs="宋体"/>
                <w:i w:val="0"/>
                <w:strike w:val="0"/>
                <w:color w:val="000000"/>
                <w:spacing w:val="0"/>
                <w:sz w:val="18"/>
                <w:u w:val="none"/>
              </w:rPr>
              <w:t>一</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5CCFC348">
            <w:pPr>
              <w:widowControl w:val="0"/>
              <w:snapToGrid/>
              <w:spacing w:before="0" w:after="0" w:line="240" w:lineRule="auto"/>
              <w:jc w:val="center"/>
            </w:pPr>
            <w:r>
              <w:rPr>
                <w:rFonts w:ascii="宋体" w:hAnsi="宋体" w:eastAsia="宋体" w:cs="宋体"/>
                <w:b/>
                <w:i w:val="0"/>
                <w:strike w:val="0"/>
                <w:color w:val="000000"/>
                <w:spacing w:val="0"/>
                <w:sz w:val="18"/>
                <w:u w:val="none"/>
              </w:rPr>
              <w:t>工程费用</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665AB663">
            <w:pPr>
              <w:widowControl w:val="0"/>
              <w:snapToGrid/>
              <w:spacing w:before="0" w:after="0" w:line="240" w:lineRule="auto"/>
              <w:jc w:val="center"/>
            </w:pPr>
            <w:r>
              <w:rPr>
                <w:rFonts w:ascii="Times New Roman" w:hAnsi="Times New Roman" w:cs="Times New Roman"/>
                <w:b/>
                <w:i w:val="0"/>
                <w:strike w:val="0"/>
                <w:color w:val="000000"/>
                <w:spacing w:val="0"/>
                <w:sz w:val="18"/>
                <w:u w:val="none"/>
              </w:rPr>
              <w:t xml:space="preserve">7902.57 </w:t>
            </w: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top"/>
          </w:tcPr>
          <w:p w14:paraId="40728963">
            <w:pPr>
              <w:widowControl w:val="0"/>
              <w:snapToGrid/>
              <w:spacing w:before="0" w:after="0" w:line="240" w:lineRule="auto"/>
              <w:jc w:val="center"/>
            </w:pPr>
            <w:r>
              <w:rPr>
                <w:rFonts w:ascii="Times New Roman" w:hAnsi="Times New Roman" w:cs="Times New Roman"/>
                <w:b/>
                <w:i w:val="0"/>
                <w:strike w:val="0"/>
                <w:color w:val="000000"/>
                <w:spacing w:val="0"/>
                <w:sz w:val="18"/>
                <w:u w:val="none"/>
              </w:rPr>
              <w:t>90.13%</w:t>
            </w:r>
          </w:p>
        </w:tc>
      </w:tr>
      <w:tr w14:paraId="49C7A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22153CD1">
            <w:pPr>
              <w:widowControl w:val="0"/>
              <w:snapToGrid/>
              <w:spacing w:before="0" w:after="0" w:line="240" w:lineRule="auto"/>
              <w:jc w:val="center"/>
            </w:pPr>
            <w:r>
              <w:rPr>
                <w:rFonts w:ascii="宋体" w:hAnsi="宋体" w:eastAsia="宋体" w:cs="宋体"/>
                <w:b/>
                <w:i w:val="0"/>
                <w:strike w:val="0"/>
                <w:color w:val="000000"/>
                <w:spacing w:val="0"/>
                <w:sz w:val="18"/>
                <w:u w:val="none"/>
              </w:rPr>
              <w:t>1</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1FF56489">
            <w:pPr>
              <w:widowControl w:val="0"/>
              <w:snapToGrid/>
              <w:spacing w:before="0" w:after="0" w:line="240" w:lineRule="auto"/>
              <w:jc w:val="center"/>
            </w:pPr>
            <w:r>
              <w:rPr>
                <w:rFonts w:ascii="宋体" w:hAnsi="宋体" w:eastAsia="宋体" w:cs="宋体"/>
                <w:b/>
                <w:i w:val="0"/>
                <w:strike w:val="0"/>
                <w:color w:val="000000"/>
                <w:spacing w:val="0"/>
                <w:sz w:val="18"/>
                <w:u w:val="none"/>
              </w:rPr>
              <w:t>光伏组件</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33FE9DD0">
            <w:pPr>
              <w:widowControl w:val="0"/>
              <w:snapToGrid/>
              <w:spacing w:before="0" w:after="0" w:line="240" w:lineRule="auto"/>
              <w:jc w:val="center"/>
            </w:pPr>
            <w:r>
              <w:rPr>
                <w:rFonts w:ascii="宋体" w:hAnsi="宋体" w:eastAsia="宋体" w:cs="宋体"/>
                <w:b/>
                <w:i w:val="0"/>
                <w:strike w:val="0"/>
                <w:color w:val="000000"/>
                <w:spacing w:val="0"/>
                <w:sz w:val="18"/>
                <w:u w:val="none"/>
              </w:rPr>
              <w:t xml:space="preserve">1708.65 </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14:paraId="4C8226E2">
            <w:pPr>
              <w:widowControl w:val="0"/>
              <w:snapToGrid/>
              <w:spacing w:before="0" w:after="0" w:line="240" w:lineRule="auto"/>
              <w:jc w:val="center"/>
            </w:pPr>
            <w:r>
              <w:rPr>
                <w:rFonts w:ascii="宋体" w:hAnsi="宋体" w:eastAsia="宋体" w:cs="宋体"/>
                <w:b/>
                <w:i w:val="0"/>
                <w:strike w:val="0"/>
                <w:color w:val="000000"/>
                <w:spacing w:val="0"/>
                <w:sz w:val="18"/>
                <w:u w:val="none"/>
              </w:rPr>
              <w:t>KW</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348F62F3">
            <w:pPr>
              <w:widowControl w:val="0"/>
              <w:snapToGrid/>
              <w:spacing w:before="0" w:after="0" w:line="240" w:lineRule="auto"/>
              <w:jc w:val="center"/>
            </w:pPr>
            <w:r>
              <w:rPr>
                <w:rFonts w:ascii="宋体" w:hAnsi="宋体" w:eastAsia="宋体" w:cs="宋体"/>
                <w:b/>
                <w:i w:val="0"/>
                <w:strike w:val="0"/>
                <w:color w:val="000000"/>
                <w:spacing w:val="0"/>
                <w:sz w:val="18"/>
                <w:u w:val="none"/>
              </w:rPr>
              <w:t>5956</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53193048">
            <w:pPr>
              <w:widowControl w:val="0"/>
              <w:snapToGrid/>
              <w:spacing w:before="0" w:after="0" w:line="240" w:lineRule="auto"/>
              <w:jc w:val="center"/>
            </w:pPr>
            <w:r>
              <w:rPr>
                <w:rFonts w:ascii="宋体" w:hAnsi="宋体" w:eastAsia="宋体" w:cs="宋体"/>
                <w:b/>
                <w:i w:val="0"/>
                <w:strike w:val="0"/>
                <w:color w:val="000000"/>
                <w:spacing w:val="0"/>
                <w:sz w:val="18"/>
                <w:u w:val="none"/>
              </w:rPr>
              <w:t xml:space="preserve">0.287 </w:t>
            </w:r>
          </w:p>
        </w:tc>
      </w:tr>
      <w:tr w14:paraId="1952D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37EA5188">
            <w:pPr>
              <w:widowControl w:val="0"/>
              <w:snapToGrid/>
              <w:spacing w:before="0" w:after="0" w:line="240" w:lineRule="auto"/>
              <w:jc w:val="center"/>
            </w:pPr>
            <w:r>
              <w:rPr>
                <w:rFonts w:ascii="宋体" w:hAnsi="宋体" w:eastAsia="宋体" w:cs="宋体"/>
                <w:i w:val="0"/>
                <w:strike w:val="0"/>
                <w:color w:val="000000"/>
                <w:spacing w:val="0"/>
                <w:sz w:val="18"/>
                <w:u w:val="none"/>
              </w:rPr>
              <w:t>1.1</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774037B8">
            <w:pPr>
              <w:widowControl w:val="0"/>
              <w:snapToGrid/>
              <w:spacing w:before="0" w:after="0" w:line="240" w:lineRule="auto"/>
              <w:jc w:val="center"/>
            </w:pPr>
            <w:r>
              <w:rPr>
                <w:rFonts w:ascii="宋体" w:hAnsi="宋体" w:eastAsia="宋体" w:cs="宋体"/>
                <w:i w:val="0"/>
                <w:strike w:val="0"/>
                <w:color w:val="000000"/>
                <w:spacing w:val="0"/>
                <w:sz w:val="18"/>
                <w:u w:val="none"/>
              </w:rPr>
              <w:t>640Wp单晶N型</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303FCB47">
            <w:pPr>
              <w:widowControl w:val="0"/>
              <w:snapToGrid/>
              <w:spacing w:before="0" w:after="0" w:line="240" w:lineRule="auto"/>
              <w:jc w:val="center"/>
            </w:pPr>
            <w:r>
              <w:rPr>
                <w:rFonts w:ascii="宋体" w:hAnsi="宋体" w:eastAsia="宋体" w:cs="宋体"/>
                <w:i w:val="0"/>
                <w:strike w:val="0"/>
                <w:color w:val="000000"/>
                <w:spacing w:val="0"/>
                <w:sz w:val="18"/>
                <w:u w:val="none"/>
              </w:rPr>
              <w:t>882.272</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14:paraId="1C728A2C">
            <w:pPr>
              <w:widowControl w:val="0"/>
              <w:snapToGrid/>
              <w:spacing w:before="0" w:after="0" w:line="240" w:lineRule="auto"/>
              <w:jc w:val="center"/>
            </w:pPr>
            <w:r>
              <w:rPr>
                <w:rFonts w:ascii="宋体" w:hAnsi="宋体" w:eastAsia="宋体" w:cs="宋体"/>
                <w:i w:val="0"/>
                <w:strike w:val="0"/>
                <w:color w:val="000000"/>
                <w:spacing w:val="0"/>
                <w:sz w:val="18"/>
                <w:u w:val="none"/>
              </w:rPr>
              <w:t>块</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5AADE780">
            <w:pPr>
              <w:widowControl w:val="0"/>
              <w:snapToGrid/>
              <w:spacing w:before="0" w:after="0" w:line="240" w:lineRule="auto"/>
              <w:jc w:val="center"/>
            </w:pPr>
            <w:r>
              <w:rPr>
                <w:rFonts w:ascii="宋体" w:hAnsi="宋体" w:eastAsia="宋体" w:cs="宋体"/>
                <w:i w:val="0"/>
                <w:strike w:val="0"/>
                <w:color w:val="000000"/>
                <w:spacing w:val="0"/>
                <w:sz w:val="18"/>
                <w:u w:val="none"/>
              </w:rPr>
              <w:t xml:space="preserve">11168.00 </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56A9E71B">
            <w:pPr>
              <w:widowControl w:val="0"/>
              <w:snapToGrid/>
              <w:spacing w:before="0" w:after="0" w:line="240" w:lineRule="auto"/>
              <w:jc w:val="center"/>
            </w:pPr>
            <w:r>
              <w:rPr>
                <w:rFonts w:ascii="宋体" w:hAnsi="宋体" w:eastAsia="宋体" w:cs="宋体"/>
                <w:i w:val="0"/>
                <w:strike w:val="0"/>
                <w:color w:val="000000"/>
                <w:spacing w:val="0"/>
                <w:sz w:val="18"/>
                <w:u w:val="none"/>
              </w:rPr>
              <w:t xml:space="preserve">0.079 </w:t>
            </w:r>
          </w:p>
        </w:tc>
      </w:tr>
      <w:tr w14:paraId="40F1B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7525215F">
            <w:pPr>
              <w:widowControl w:val="0"/>
              <w:snapToGrid/>
              <w:spacing w:before="0" w:after="0" w:line="240" w:lineRule="auto"/>
              <w:jc w:val="center"/>
            </w:pPr>
            <w:r>
              <w:rPr>
                <w:rFonts w:ascii="宋体" w:hAnsi="宋体" w:eastAsia="宋体" w:cs="宋体"/>
                <w:i w:val="0"/>
                <w:strike w:val="0"/>
                <w:color w:val="000000"/>
                <w:spacing w:val="0"/>
                <w:sz w:val="18"/>
                <w:u w:val="none"/>
              </w:rPr>
              <w:t>1.2</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521962C3">
            <w:pPr>
              <w:widowControl w:val="0"/>
              <w:snapToGrid/>
              <w:spacing w:before="0" w:after="0" w:line="240" w:lineRule="auto"/>
              <w:jc w:val="center"/>
            </w:pPr>
            <w:r>
              <w:rPr>
                <w:rFonts w:ascii="宋体" w:hAnsi="宋体" w:eastAsia="宋体" w:cs="宋体"/>
                <w:i w:val="0"/>
                <w:strike w:val="0"/>
                <w:color w:val="000000"/>
                <w:spacing w:val="0"/>
                <w:sz w:val="18"/>
                <w:u w:val="none"/>
              </w:rPr>
              <w:t>逆变器</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6E314628">
            <w:pPr>
              <w:widowControl w:val="0"/>
              <w:snapToGrid/>
              <w:spacing w:before="0" w:after="0" w:line="240" w:lineRule="auto"/>
              <w:jc w:val="center"/>
            </w:pPr>
            <w:r>
              <w:rPr>
                <w:rFonts w:ascii="宋体" w:hAnsi="宋体" w:eastAsia="宋体" w:cs="宋体"/>
                <w:i w:val="0"/>
                <w:strike w:val="0"/>
                <w:color w:val="000000"/>
                <w:spacing w:val="0"/>
                <w:sz w:val="18"/>
                <w:u w:val="none"/>
              </w:rPr>
              <w:t>81</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14:paraId="75633067">
            <w:pPr>
              <w:widowControl w:val="0"/>
              <w:snapToGrid/>
              <w:spacing w:before="0" w:after="0" w:line="240" w:lineRule="auto"/>
              <w:jc w:val="center"/>
            </w:pPr>
            <w:r>
              <w:rPr>
                <w:rFonts w:ascii="宋体" w:hAnsi="宋体" w:eastAsia="宋体" w:cs="宋体"/>
                <w:i w:val="0"/>
                <w:strike w:val="0"/>
                <w:color w:val="000000"/>
                <w:spacing w:val="0"/>
                <w:sz w:val="18"/>
                <w:u w:val="none"/>
              </w:rPr>
              <w:t>台</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5C18B9B3">
            <w:pPr>
              <w:widowControl w:val="0"/>
              <w:snapToGrid/>
              <w:spacing w:before="0" w:after="0" w:line="240" w:lineRule="auto"/>
              <w:jc w:val="center"/>
            </w:pPr>
            <w:r>
              <w:rPr>
                <w:rFonts w:ascii="宋体" w:hAnsi="宋体" w:eastAsia="宋体" w:cs="宋体"/>
                <w:i w:val="0"/>
                <w:strike w:val="0"/>
                <w:color w:val="000000"/>
                <w:spacing w:val="0"/>
                <w:sz w:val="18"/>
                <w:u w:val="none"/>
              </w:rPr>
              <w:t xml:space="preserve">57.00 </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64977DE4">
            <w:pPr>
              <w:widowControl w:val="0"/>
              <w:snapToGrid/>
              <w:spacing w:before="0" w:after="0" w:line="240" w:lineRule="auto"/>
              <w:jc w:val="center"/>
            </w:pPr>
            <w:r>
              <w:rPr>
                <w:rFonts w:ascii="宋体" w:hAnsi="宋体" w:eastAsia="宋体" w:cs="宋体"/>
                <w:i w:val="0"/>
                <w:strike w:val="0"/>
                <w:color w:val="000000"/>
                <w:spacing w:val="0"/>
                <w:sz w:val="18"/>
                <w:u w:val="none"/>
              </w:rPr>
              <w:t xml:space="preserve">1.420 </w:t>
            </w:r>
          </w:p>
        </w:tc>
      </w:tr>
      <w:tr w14:paraId="69199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7DC8B4E1">
            <w:pPr>
              <w:widowControl w:val="0"/>
              <w:snapToGrid/>
              <w:spacing w:before="0" w:after="0" w:line="240" w:lineRule="auto"/>
              <w:jc w:val="center"/>
            </w:pPr>
            <w:r>
              <w:rPr>
                <w:rFonts w:ascii="宋体" w:hAnsi="宋体" w:eastAsia="宋体" w:cs="宋体"/>
                <w:i w:val="0"/>
                <w:strike w:val="0"/>
                <w:color w:val="000000"/>
                <w:spacing w:val="0"/>
                <w:sz w:val="18"/>
                <w:u w:val="none"/>
              </w:rPr>
              <w:t>1.3</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7D3F1EDF">
            <w:pPr>
              <w:widowControl w:val="0"/>
              <w:snapToGrid/>
              <w:spacing w:before="0" w:after="0" w:line="240" w:lineRule="auto"/>
              <w:jc w:val="center"/>
            </w:pPr>
            <w:r>
              <w:rPr>
                <w:rFonts w:ascii="宋体" w:hAnsi="宋体" w:eastAsia="宋体" w:cs="宋体"/>
                <w:i w:val="0"/>
                <w:strike w:val="0"/>
                <w:color w:val="000000"/>
                <w:spacing w:val="0"/>
                <w:sz w:val="18"/>
                <w:u w:val="none"/>
              </w:rPr>
              <w:t>交流汇流箱</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6F64B819">
            <w:pPr>
              <w:widowControl w:val="0"/>
              <w:snapToGrid/>
              <w:spacing w:before="0" w:after="0" w:line="240" w:lineRule="auto"/>
              <w:jc w:val="center"/>
            </w:pPr>
            <w:r>
              <w:rPr>
                <w:rFonts w:ascii="宋体" w:hAnsi="宋体" w:eastAsia="宋体" w:cs="宋体"/>
                <w:i w:val="0"/>
                <w:strike w:val="0"/>
                <w:color w:val="000000"/>
                <w:spacing w:val="0"/>
                <w:sz w:val="18"/>
                <w:u w:val="none"/>
              </w:rPr>
              <w:t>9.32</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14:paraId="063AA750">
            <w:pPr>
              <w:widowControl w:val="0"/>
              <w:snapToGrid/>
              <w:spacing w:before="0" w:after="0" w:line="240" w:lineRule="auto"/>
              <w:jc w:val="center"/>
            </w:pPr>
            <w:r>
              <w:rPr>
                <w:rFonts w:ascii="宋体" w:hAnsi="宋体" w:eastAsia="宋体" w:cs="宋体"/>
                <w:i w:val="0"/>
                <w:strike w:val="0"/>
                <w:color w:val="000000"/>
                <w:spacing w:val="0"/>
                <w:sz w:val="18"/>
                <w:u w:val="none"/>
              </w:rPr>
              <w:t>台</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77018037">
            <w:pPr>
              <w:widowControl w:val="0"/>
              <w:snapToGrid/>
              <w:spacing w:before="0" w:after="0" w:line="240" w:lineRule="auto"/>
              <w:jc w:val="center"/>
            </w:pPr>
            <w:r>
              <w:rPr>
                <w:rFonts w:ascii="宋体" w:hAnsi="宋体" w:eastAsia="宋体" w:cs="宋体"/>
                <w:i w:val="0"/>
                <w:strike w:val="0"/>
                <w:color w:val="000000"/>
                <w:spacing w:val="0"/>
                <w:sz w:val="18"/>
                <w:u w:val="none"/>
              </w:rPr>
              <w:t xml:space="preserve">9.00 </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42506F02">
            <w:pPr>
              <w:widowControl w:val="0"/>
              <w:snapToGrid/>
              <w:spacing w:before="0" w:after="0" w:line="240" w:lineRule="auto"/>
              <w:jc w:val="center"/>
            </w:pPr>
            <w:r>
              <w:rPr>
                <w:rFonts w:ascii="宋体" w:hAnsi="宋体" w:eastAsia="宋体" w:cs="宋体"/>
                <w:i w:val="0"/>
                <w:strike w:val="0"/>
                <w:color w:val="000000"/>
                <w:spacing w:val="0"/>
                <w:sz w:val="18"/>
                <w:u w:val="none"/>
              </w:rPr>
              <w:t xml:space="preserve">1.036 </w:t>
            </w:r>
          </w:p>
        </w:tc>
      </w:tr>
      <w:tr w14:paraId="13914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10C85253">
            <w:pPr>
              <w:widowControl w:val="0"/>
              <w:snapToGrid/>
              <w:spacing w:before="0" w:after="0" w:line="240" w:lineRule="auto"/>
              <w:jc w:val="center"/>
            </w:pPr>
            <w:r>
              <w:rPr>
                <w:rFonts w:ascii="宋体" w:hAnsi="宋体" w:eastAsia="宋体" w:cs="宋体"/>
                <w:i w:val="0"/>
                <w:strike w:val="0"/>
                <w:color w:val="000000"/>
                <w:spacing w:val="0"/>
                <w:sz w:val="18"/>
                <w:u w:val="none"/>
              </w:rPr>
              <w:t>1.4</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7C437514">
            <w:pPr>
              <w:widowControl w:val="0"/>
              <w:snapToGrid/>
              <w:spacing w:before="0" w:after="0" w:line="240" w:lineRule="auto"/>
              <w:jc w:val="center"/>
            </w:pPr>
            <w:r>
              <w:rPr>
                <w:rFonts w:ascii="宋体" w:hAnsi="宋体" w:eastAsia="宋体" w:cs="宋体"/>
                <w:i w:val="0"/>
                <w:strike w:val="0"/>
                <w:color w:val="000000"/>
                <w:spacing w:val="0"/>
                <w:sz w:val="18"/>
                <w:u w:val="none"/>
              </w:rPr>
              <w:t>光伏支架及配件</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2625B039">
            <w:pPr>
              <w:widowControl w:val="0"/>
              <w:snapToGrid/>
              <w:spacing w:before="0" w:after="0" w:line="240" w:lineRule="auto"/>
              <w:jc w:val="center"/>
            </w:pPr>
            <w:r>
              <w:rPr>
                <w:rFonts w:ascii="宋体" w:hAnsi="宋体" w:eastAsia="宋体" w:cs="宋体"/>
                <w:i w:val="0"/>
                <w:strike w:val="0"/>
                <w:color w:val="000000"/>
                <w:spacing w:val="0"/>
                <w:sz w:val="18"/>
                <w:u w:val="none"/>
              </w:rPr>
              <w:t xml:space="preserve">157.03 </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14:paraId="2F27873F">
            <w:pPr>
              <w:widowControl w:val="0"/>
              <w:snapToGrid/>
              <w:spacing w:before="0" w:after="0" w:line="240" w:lineRule="auto"/>
              <w:jc w:val="center"/>
            </w:pPr>
            <w:r>
              <w:rPr>
                <w:rFonts w:ascii="宋体" w:hAnsi="宋体" w:eastAsia="宋体" w:cs="宋体"/>
                <w:i w:val="0"/>
                <w:strike w:val="0"/>
                <w:color w:val="000000"/>
                <w:spacing w:val="0"/>
                <w:sz w:val="18"/>
                <w:u w:val="none"/>
              </w:rPr>
              <w:t>km</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1A8113E9">
            <w:pPr>
              <w:widowControl w:val="0"/>
              <w:snapToGrid/>
              <w:spacing w:before="0" w:after="0" w:line="240" w:lineRule="auto"/>
              <w:jc w:val="center"/>
            </w:pPr>
            <w:r>
              <w:rPr>
                <w:rFonts w:ascii="宋体" w:hAnsi="宋体" w:eastAsia="宋体" w:cs="宋体"/>
                <w:i w:val="0"/>
                <w:strike w:val="0"/>
                <w:color w:val="000000"/>
                <w:spacing w:val="0"/>
                <w:sz w:val="18"/>
                <w:u w:val="none"/>
              </w:rPr>
              <w:t xml:space="preserve">87.29 </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446FE094">
            <w:pPr>
              <w:widowControl w:val="0"/>
              <w:snapToGrid/>
              <w:spacing w:before="0" w:after="0" w:line="240" w:lineRule="auto"/>
              <w:jc w:val="center"/>
            </w:pPr>
            <w:r>
              <w:rPr>
                <w:rFonts w:ascii="宋体" w:hAnsi="宋体" w:eastAsia="宋体" w:cs="宋体"/>
                <w:i w:val="0"/>
                <w:strike w:val="0"/>
                <w:color w:val="000000"/>
                <w:spacing w:val="0"/>
                <w:sz w:val="18"/>
                <w:u w:val="none"/>
              </w:rPr>
              <w:t xml:space="preserve">1.799 </w:t>
            </w:r>
          </w:p>
        </w:tc>
      </w:tr>
      <w:tr w14:paraId="451B7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6275EF59">
            <w:pPr>
              <w:widowControl w:val="0"/>
              <w:snapToGrid/>
              <w:spacing w:before="0" w:after="0" w:line="240" w:lineRule="auto"/>
              <w:jc w:val="center"/>
            </w:pPr>
            <w:r>
              <w:rPr>
                <w:rFonts w:ascii="宋体" w:hAnsi="宋体" w:eastAsia="宋体" w:cs="宋体"/>
                <w:i w:val="0"/>
                <w:strike w:val="0"/>
                <w:color w:val="000000"/>
                <w:spacing w:val="0"/>
                <w:sz w:val="18"/>
                <w:u w:val="none"/>
              </w:rPr>
              <w:t>1.5</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5AF1E9D8">
            <w:pPr>
              <w:widowControl w:val="0"/>
              <w:snapToGrid/>
              <w:spacing w:before="0" w:after="0" w:line="240" w:lineRule="auto"/>
              <w:jc w:val="center"/>
            </w:pPr>
            <w:r>
              <w:rPr>
                <w:rFonts w:ascii="宋体" w:hAnsi="宋体" w:eastAsia="宋体" w:cs="宋体"/>
                <w:i w:val="0"/>
                <w:strike w:val="0"/>
                <w:color w:val="000000"/>
                <w:spacing w:val="0"/>
                <w:sz w:val="18"/>
                <w:u w:val="none"/>
              </w:rPr>
              <w:t>光伏直流电缆</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48663984">
            <w:pPr>
              <w:widowControl w:val="0"/>
              <w:snapToGrid/>
              <w:spacing w:before="0" w:after="0" w:line="240" w:lineRule="auto"/>
              <w:jc w:val="center"/>
            </w:pPr>
            <w:r>
              <w:rPr>
                <w:rFonts w:ascii="宋体" w:hAnsi="宋体" w:eastAsia="宋体" w:cs="宋体"/>
                <w:i w:val="0"/>
                <w:strike w:val="0"/>
                <w:color w:val="000000"/>
                <w:spacing w:val="0"/>
                <w:sz w:val="18"/>
                <w:u w:val="none"/>
              </w:rPr>
              <w:t>11</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14:paraId="0968D027">
            <w:pPr>
              <w:widowControl w:val="0"/>
              <w:snapToGrid/>
              <w:spacing w:before="0" w:after="0" w:line="240" w:lineRule="auto"/>
              <w:jc w:val="center"/>
            </w:pPr>
            <w:r>
              <w:rPr>
                <w:rFonts w:ascii="宋体" w:hAnsi="宋体" w:eastAsia="宋体" w:cs="宋体"/>
                <w:i w:val="0"/>
                <w:strike w:val="0"/>
                <w:color w:val="000000"/>
                <w:spacing w:val="0"/>
                <w:sz w:val="18"/>
                <w:u w:val="none"/>
              </w:rPr>
              <w:t>km</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32DBC9B3">
            <w:pPr>
              <w:widowControl w:val="0"/>
              <w:snapToGrid/>
              <w:spacing w:before="0" w:after="0" w:line="240" w:lineRule="auto"/>
              <w:jc w:val="center"/>
            </w:pPr>
            <w:r>
              <w:rPr>
                <w:rFonts w:ascii="宋体" w:hAnsi="宋体" w:eastAsia="宋体" w:cs="宋体"/>
                <w:i w:val="0"/>
                <w:strike w:val="0"/>
                <w:color w:val="000000"/>
                <w:spacing w:val="0"/>
                <w:sz w:val="18"/>
                <w:u w:val="none"/>
              </w:rPr>
              <w:t xml:space="preserve">2.00 </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74FEEE1C">
            <w:pPr>
              <w:widowControl w:val="0"/>
              <w:snapToGrid/>
              <w:spacing w:before="0" w:after="0" w:line="240" w:lineRule="auto"/>
              <w:jc w:val="center"/>
            </w:pPr>
            <w:r>
              <w:rPr>
                <w:rFonts w:ascii="宋体" w:hAnsi="宋体" w:eastAsia="宋体" w:cs="宋体"/>
                <w:i w:val="0"/>
                <w:strike w:val="0"/>
                <w:color w:val="000000"/>
                <w:spacing w:val="0"/>
                <w:sz w:val="18"/>
                <w:u w:val="none"/>
              </w:rPr>
              <w:t xml:space="preserve">5.500 </w:t>
            </w:r>
          </w:p>
        </w:tc>
      </w:tr>
      <w:tr w14:paraId="27DDF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2A8B1C14">
            <w:pPr>
              <w:widowControl w:val="0"/>
              <w:snapToGrid/>
              <w:spacing w:before="0" w:after="0" w:line="240" w:lineRule="auto"/>
              <w:jc w:val="center"/>
            </w:pPr>
            <w:r>
              <w:rPr>
                <w:rFonts w:ascii="宋体" w:hAnsi="宋体" w:eastAsia="宋体" w:cs="宋体"/>
                <w:i w:val="0"/>
                <w:strike w:val="0"/>
                <w:color w:val="000000"/>
                <w:spacing w:val="0"/>
                <w:sz w:val="18"/>
                <w:u w:val="none"/>
              </w:rPr>
              <w:t>1.6</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2E621A4B">
            <w:pPr>
              <w:widowControl w:val="0"/>
              <w:snapToGrid/>
              <w:spacing w:before="0" w:after="0" w:line="240" w:lineRule="auto"/>
              <w:jc w:val="center"/>
            </w:pPr>
            <w:r>
              <w:rPr>
                <w:rFonts w:ascii="宋体" w:hAnsi="宋体" w:eastAsia="宋体" w:cs="宋体"/>
                <w:i w:val="0"/>
                <w:strike w:val="0"/>
                <w:color w:val="000000"/>
                <w:spacing w:val="0"/>
                <w:sz w:val="18"/>
                <w:u w:val="none"/>
              </w:rPr>
              <w:t>MC4连接器</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5F95AFF1">
            <w:pPr>
              <w:widowControl w:val="0"/>
              <w:snapToGrid/>
              <w:spacing w:before="0" w:after="0" w:line="240" w:lineRule="auto"/>
              <w:jc w:val="center"/>
            </w:pPr>
            <w:r>
              <w:rPr>
                <w:rFonts w:ascii="宋体" w:hAnsi="宋体" w:eastAsia="宋体" w:cs="宋体"/>
                <w:i w:val="0"/>
                <w:strike w:val="0"/>
                <w:color w:val="000000"/>
                <w:spacing w:val="0"/>
                <w:sz w:val="18"/>
                <w:u w:val="none"/>
              </w:rPr>
              <w:t>1.32</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14:paraId="350B73E7">
            <w:pPr>
              <w:widowControl w:val="0"/>
              <w:snapToGrid/>
              <w:spacing w:before="0" w:after="0" w:line="240" w:lineRule="auto"/>
              <w:jc w:val="center"/>
            </w:pPr>
            <w:r>
              <w:rPr>
                <w:rFonts w:ascii="宋体" w:hAnsi="宋体" w:eastAsia="宋体" w:cs="宋体"/>
                <w:i w:val="0"/>
                <w:strike w:val="0"/>
                <w:color w:val="000000"/>
                <w:spacing w:val="0"/>
                <w:sz w:val="18"/>
                <w:u w:val="none"/>
              </w:rPr>
              <w:t>套</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3A12E1B5">
            <w:pPr>
              <w:widowControl w:val="0"/>
              <w:snapToGrid/>
              <w:spacing w:before="0" w:after="0" w:line="240" w:lineRule="auto"/>
              <w:jc w:val="center"/>
            </w:pPr>
            <w:r>
              <w:rPr>
                <w:rFonts w:ascii="宋体" w:hAnsi="宋体" w:eastAsia="宋体" w:cs="宋体"/>
                <w:i w:val="0"/>
                <w:strike w:val="0"/>
                <w:color w:val="000000"/>
                <w:spacing w:val="0"/>
                <w:sz w:val="18"/>
                <w:u w:val="none"/>
              </w:rPr>
              <w:t xml:space="preserve">610.00 </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5DBA5C57">
            <w:pPr>
              <w:widowControl w:val="0"/>
              <w:snapToGrid/>
              <w:spacing w:before="0" w:after="0" w:line="240" w:lineRule="auto"/>
              <w:jc w:val="center"/>
            </w:pPr>
            <w:r>
              <w:rPr>
                <w:rFonts w:ascii="宋体" w:hAnsi="宋体" w:eastAsia="宋体" w:cs="宋体"/>
                <w:i w:val="0"/>
                <w:strike w:val="0"/>
                <w:color w:val="000000"/>
                <w:spacing w:val="0"/>
                <w:sz w:val="18"/>
                <w:u w:val="none"/>
              </w:rPr>
              <w:t xml:space="preserve">0.022 </w:t>
            </w:r>
          </w:p>
        </w:tc>
      </w:tr>
      <w:tr w14:paraId="4C76A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00B22FFD">
            <w:pPr>
              <w:widowControl w:val="0"/>
              <w:snapToGrid/>
              <w:spacing w:before="0" w:after="0" w:line="240" w:lineRule="auto"/>
              <w:jc w:val="center"/>
            </w:pPr>
            <w:r>
              <w:rPr>
                <w:rFonts w:ascii="宋体" w:hAnsi="宋体" w:eastAsia="宋体" w:cs="宋体"/>
                <w:i w:val="0"/>
                <w:strike w:val="0"/>
                <w:color w:val="000000"/>
                <w:spacing w:val="0"/>
                <w:sz w:val="18"/>
                <w:u w:val="none"/>
              </w:rPr>
              <w:t>1.7</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1CCDC5AE">
            <w:pPr>
              <w:widowControl w:val="0"/>
              <w:snapToGrid/>
              <w:spacing w:before="0" w:after="0" w:line="240" w:lineRule="auto"/>
              <w:jc w:val="center"/>
            </w:pPr>
            <w:r>
              <w:rPr>
                <w:rFonts w:ascii="宋体" w:hAnsi="宋体" w:eastAsia="宋体" w:cs="宋体"/>
                <w:i w:val="0"/>
                <w:strike w:val="0"/>
                <w:color w:val="000000"/>
                <w:spacing w:val="0"/>
                <w:sz w:val="18"/>
                <w:u w:val="none"/>
              </w:rPr>
              <w:t>交流电缆</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03D92BFB">
            <w:pPr>
              <w:widowControl w:val="0"/>
              <w:snapToGrid/>
              <w:spacing w:before="0" w:after="0" w:line="240" w:lineRule="auto"/>
              <w:jc w:val="center"/>
            </w:pPr>
            <w:r>
              <w:rPr>
                <w:rFonts w:ascii="宋体" w:hAnsi="宋体" w:eastAsia="宋体" w:cs="宋体"/>
                <w:i w:val="0"/>
                <w:strike w:val="0"/>
                <w:color w:val="000000"/>
                <w:spacing w:val="0"/>
                <w:sz w:val="18"/>
                <w:u w:val="none"/>
              </w:rPr>
              <w:t>147.62</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14:paraId="40CCD1D2">
            <w:pPr>
              <w:widowControl w:val="0"/>
              <w:snapToGrid/>
              <w:spacing w:before="0" w:after="0" w:line="240" w:lineRule="auto"/>
              <w:jc w:val="center"/>
            </w:pPr>
            <w:r>
              <w:rPr>
                <w:rFonts w:ascii="宋体" w:hAnsi="宋体" w:eastAsia="宋体" w:cs="宋体"/>
                <w:i w:val="0"/>
                <w:strike w:val="0"/>
                <w:color w:val="000000"/>
                <w:spacing w:val="0"/>
                <w:sz w:val="18"/>
                <w:u w:val="none"/>
              </w:rPr>
              <w:t>km</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58D41C32">
            <w:pPr>
              <w:widowControl w:val="0"/>
              <w:snapToGrid/>
              <w:spacing w:before="0" w:after="0" w:line="240" w:lineRule="auto"/>
              <w:jc w:val="center"/>
            </w:pPr>
            <w:r>
              <w:rPr>
                <w:rFonts w:ascii="宋体" w:hAnsi="宋体" w:eastAsia="宋体" w:cs="宋体"/>
                <w:i w:val="0"/>
                <w:strike w:val="0"/>
                <w:color w:val="000000"/>
                <w:spacing w:val="0"/>
                <w:sz w:val="18"/>
                <w:u w:val="none"/>
              </w:rPr>
              <w:t xml:space="preserve">8.10 </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41C289A5">
            <w:pPr>
              <w:widowControl w:val="0"/>
              <w:snapToGrid/>
              <w:spacing w:before="0" w:after="0" w:line="240" w:lineRule="auto"/>
              <w:jc w:val="center"/>
            </w:pPr>
            <w:r>
              <w:rPr>
                <w:rFonts w:ascii="宋体" w:hAnsi="宋体" w:eastAsia="宋体" w:cs="宋体"/>
                <w:i w:val="0"/>
                <w:strike w:val="0"/>
                <w:color w:val="000000"/>
                <w:spacing w:val="0"/>
                <w:sz w:val="18"/>
                <w:u w:val="none"/>
              </w:rPr>
              <w:t xml:space="preserve">18.225 </w:t>
            </w:r>
          </w:p>
        </w:tc>
      </w:tr>
      <w:tr w14:paraId="30AED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39B8A4A8">
            <w:pPr>
              <w:widowControl w:val="0"/>
              <w:snapToGrid/>
              <w:spacing w:before="0" w:after="0" w:line="240" w:lineRule="auto"/>
              <w:jc w:val="center"/>
            </w:pPr>
            <w:r>
              <w:rPr>
                <w:rFonts w:ascii="宋体" w:hAnsi="宋体" w:eastAsia="宋体" w:cs="宋体"/>
                <w:i w:val="0"/>
                <w:strike w:val="0"/>
                <w:color w:val="000000"/>
                <w:spacing w:val="0"/>
                <w:sz w:val="18"/>
                <w:u w:val="none"/>
              </w:rPr>
              <w:t>1.8</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44E9F4FD">
            <w:pPr>
              <w:widowControl w:val="0"/>
              <w:snapToGrid/>
              <w:spacing w:before="0" w:after="0" w:line="240" w:lineRule="auto"/>
              <w:jc w:val="center"/>
            </w:pPr>
            <w:r>
              <w:rPr>
                <w:rFonts w:ascii="宋体" w:hAnsi="宋体" w:eastAsia="宋体" w:cs="宋体"/>
                <w:i w:val="0"/>
                <w:strike w:val="0"/>
                <w:color w:val="000000"/>
                <w:spacing w:val="0"/>
                <w:sz w:val="18"/>
                <w:u w:val="none"/>
              </w:rPr>
              <w:t>干式变压器（箱变)</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1CECB577">
            <w:pPr>
              <w:widowControl w:val="0"/>
              <w:snapToGrid/>
              <w:spacing w:before="0" w:after="0" w:line="240" w:lineRule="auto"/>
              <w:jc w:val="center"/>
            </w:pPr>
            <w:r>
              <w:rPr>
                <w:rFonts w:ascii="宋体" w:hAnsi="宋体" w:eastAsia="宋体" w:cs="宋体"/>
                <w:i w:val="0"/>
                <w:strike w:val="0"/>
                <w:color w:val="000000"/>
                <w:spacing w:val="0"/>
                <w:sz w:val="18"/>
                <w:u w:val="none"/>
              </w:rPr>
              <w:t>25.26</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14:paraId="76E45FCD">
            <w:pPr>
              <w:widowControl w:val="0"/>
              <w:snapToGrid/>
              <w:spacing w:before="0" w:after="0" w:line="240" w:lineRule="auto"/>
              <w:jc w:val="center"/>
            </w:pPr>
            <w:r>
              <w:rPr>
                <w:rFonts w:ascii="宋体" w:hAnsi="宋体" w:eastAsia="宋体" w:cs="宋体"/>
                <w:i w:val="0"/>
                <w:strike w:val="0"/>
                <w:color w:val="000000"/>
                <w:spacing w:val="0"/>
                <w:sz w:val="18"/>
                <w:u w:val="none"/>
              </w:rPr>
              <w:t>台</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4683E3E9">
            <w:pPr>
              <w:widowControl w:val="0"/>
              <w:snapToGrid/>
              <w:spacing w:before="0" w:after="0" w:line="240" w:lineRule="auto"/>
              <w:jc w:val="center"/>
            </w:pPr>
            <w:r>
              <w:rPr>
                <w:rFonts w:ascii="宋体" w:hAnsi="宋体" w:eastAsia="宋体" w:cs="宋体"/>
                <w:i w:val="0"/>
                <w:strike w:val="0"/>
                <w:color w:val="000000"/>
                <w:spacing w:val="0"/>
                <w:sz w:val="18"/>
                <w:u w:val="none"/>
              </w:rPr>
              <w:t xml:space="preserve">1.00 </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5BC7A379">
            <w:pPr>
              <w:widowControl w:val="0"/>
              <w:snapToGrid/>
              <w:spacing w:before="0" w:after="0" w:line="240" w:lineRule="auto"/>
              <w:jc w:val="center"/>
            </w:pPr>
            <w:r>
              <w:rPr>
                <w:rFonts w:ascii="宋体" w:hAnsi="宋体" w:eastAsia="宋体" w:cs="宋体"/>
                <w:i w:val="0"/>
                <w:strike w:val="0"/>
                <w:color w:val="000000"/>
                <w:spacing w:val="0"/>
                <w:sz w:val="18"/>
                <w:u w:val="none"/>
              </w:rPr>
              <w:t xml:space="preserve">20.260 </w:t>
            </w:r>
          </w:p>
        </w:tc>
      </w:tr>
      <w:tr w14:paraId="330C8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37BDFB85">
            <w:pPr>
              <w:widowControl w:val="0"/>
              <w:snapToGrid/>
              <w:spacing w:before="0" w:after="0" w:line="240" w:lineRule="auto"/>
              <w:jc w:val="center"/>
            </w:pPr>
            <w:r>
              <w:rPr>
                <w:rFonts w:ascii="宋体" w:hAnsi="宋体" w:eastAsia="宋体" w:cs="宋体"/>
                <w:i w:val="0"/>
                <w:strike w:val="0"/>
                <w:color w:val="000000"/>
                <w:spacing w:val="0"/>
                <w:sz w:val="18"/>
                <w:u w:val="none"/>
              </w:rPr>
              <w:t>1.9</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30AC2BF0">
            <w:pPr>
              <w:widowControl w:val="0"/>
              <w:snapToGrid/>
              <w:spacing w:before="0" w:after="0" w:line="240" w:lineRule="auto"/>
              <w:jc w:val="center"/>
            </w:pPr>
            <w:r>
              <w:rPr>
                <w:rFonts w:ascii="宋体" w:hAnsi="宋体" w:eastAsia="宋体" w:cs="宋体"/>
                <w:i w:val="0"/>
                <w:strike w:val="0"/>
                <w:color w:val="000000"/>
                <w:spacing w:val="0"/>
                <w:sz w:val="18"/>
                <w:u w:val="none"/>
              </w:rPr>
              <w:t>光伏接入柜</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25F00C83">
            <w:pPr>
              <w:widowControl w:val="0"/>
              <w:snapToGrid/>
              <w:spacing w:before="0" w:after="0" w:line="240" w:lineRule="auto"/>
              <w:jc w:val="center"/>
            </w:pPr>
            <w:r>
              <w:rPr>
                <w:rFonts w:ascii="宋体" w:hAnsi="宋体" w:eastAsia="宋体" w:cs="宋体"/>
                <w:i w:val="0"/>
                <w:strike w:val="0"/>
                <w:color w:val="000000"/>
                <w:spacing w:val="0"/>
                <w:sz w:val="18"/>
                <w:u w:val="none"/>
              </w:rPr>
              <w:t>5.13</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14:paraId="6B4F0FFB">
            <w:pPr>
              <w:widowControl w:val="0"/>
              <w:snapToGrid/>
              <w:spacing w:before="0" w:after="0" w:line="240" w:lineRule="auto"/>
              <w:jc w:val="center"/>
            </w:pPr>
            <w:r>
              <w:rPr>
                <w:rFonts w:ascii="宋体" w:hAnsi="宋体" w:eastAsia="宋体" w:cs="宋体"/>
                <w:i w:val="0"/>
                <w:strike w:val="0"/>
                <w:color w:val="000000"/>
                <w:spacing w:val="0"/>
                <w:sz w:val="18"/>
                <w:u w:val="none"/>
              </w:rPr>
              <w:t>台</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05AF8484">
            <w:pPr>
              <w:widowControl w:val="0"/>
              <w:snapToGrid/>
              <w:spacing w:before="0" w:after="0" w:line="240" w:lineRule="auto"/>
              <w:jc w:val="center"/>
            </w:pPr>
            <w:r>
              <w:rPr>
                <w:rFonts w:ascii="宋体" w:hAnsi="宋体" w:eastAsia="宋体" w:cs="宋体"/>
                <w:i w:val="0"/>
                <w:strike w:val="0"/>
                <w:color w:val="000000"/>
                <w:spacing w:val="0"/>
                <w:sz w:val="18"/>
                <w:u w:val="none"/>
              </w:rPr>
              <w:t xml:space="preserve">1.00 </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50C820CD">
            <w:pPr>
              <w:widowControl w:val="0"/>
              <w:snapToGrid/>
              <w:spacing w:before="0" w:after="0" w:line="240" w:lineRule="auto"/>
              <w:jc w:val="center"/>
            </w:pPr>
            <w:r>
              <w:rPr>
                <w:rFonts w:ascii="宋体" w:hAnsi="宋体" w:eastAsia="宋体" w:cs="宋体"/>
                <w:i w:val="0"/>
                <w:strike w:val="0"/>
                <w:color w:val="000000"/>
                <w:spacing w:val="0"/>
                <w:sz w:val="18"/>
                <w:u w:val="none"/>
              </w:rPr>
              <w:t xml:space="preserve">5.132 </w:t>
            </w:r>
          </w:p>
        </w:tc>
      </w:tr>
      <w:tr w14:paraId="19132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0F9278A2">
            <w:pPr>
              <w:widowControl w:val="0"/>
              <w:snapToGrid/>
              <w:spacing w:before="0" w:after="0" w:line="240" w:lineRule="auto"/>
              <w:jc w:val="center"/>
            </w:pPr>
            <w:r>
              <w:rPr>
                <w:rFonts w:ascii="宋体" w:hAnsi="宋体" w:eastAsia="宋体" w:cs="宋体"/>
                <w:i w:val="0"/>
                <w:strike w:val="0"/>
                <w:color w:val="000000"/>
                <w:spacing w:val="0"/>
                <w:sz w:val="18"/>
                <w:u w:val="none"/>
              </w:rPr>
              <w:t>2</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2A22DEB1">
            <w:pPr>
              <w:widowControl w:val="0"/>
              <w:snapToGrid/>
              <w:spacing w:before="0" w:after="0" w:line="240" w:lineRule="auto"/>
              <w:jc w:val="center"/>
            </w:pPr>
            <w:r>
              <w:rPr>
                <w:rFonts w:ascii="宋体" w:hAnsi="宋体" w:eastAsia="宋体" w:cs="宋体"/>
                <w:i w:val="0"/>
                <w:strike w:val="0"/>
                <w:color w:val="000000"/>
                <w:spacing w:val="0"/>
                <w:sz w:val="18"/>
                <w:u w:val="none"/>
              </w:rPr>
              <w:t>并网柜</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1E4B9F4D">
            <w:pPr>
              <w:widowControl w:val="0"/>
              <w:snapToGrid/>
              <w:spacing w:before="0" w:after="0" w:line="240" w:lineRule="auto"/>
              <w:jc w:val="center"/>
            </w:pPr>
            <w:r>
              <w:rPr>
                <w:rFonts w:ascii="宋体" w:hAnsi="宋体" w:eastAsia="宋体" w:cs="宋体"/>
                <w:i w:val="0"/>
                <w:strike w:val="0"/>
                <w:color w:val="000000"/>
                <w:spacing w:val="0"/>
                <w:sz w:val="18"/>
                <w:u w:val="none"/>
              </w:rPr>
              <w:t>5</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14:paraId="3B36371F">
            <w:pPr>
              <w:widowControl w:val="0"/>
              <w:snapToGrid/>
              <w:spacing w:before="0" w:after="0" w:line="240" w:lineRule="auto"/>
              <w:jc w:val="center"/>
            </w:pPr>
            <w:r>
              <w:rPr>
                <w:rFonts w:ascii="宋体" w:hAnsi="宋体" w:eastAsia="宋体" w:cs="宋体"/>
                <w:i w:val="0"/>
                <w:strike w:val="0"/>
                <w:color w:val="000000"/>
                <w:spacing w:val="0"/>
                <w:sz w:val="18"/>
                <w:u w:val="none"/>
              </w:rPr>
              <w:t>台</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74CC43FD">
            <w:pPr>
              <w:widowControl w:val="0"/>
              <w:snapToGrid/>
              <w:spacing w:before="0" w:after="0" w:line="240" w:lineRule="auto"/>
              <w:jc w:val="center"/>
            </w:pPr>
            <w:r>
              <w:rPr>
                <w:rFonts w:ascii="宋体" w:hAnsi="宋体" w:eastAsia="宋体" w:cs="宋体"/>
                <w:i w:val="0"/>
                <w:strike w:val="0"/>
                <w:color w:val="000000"/>
                <w:spacing w:val="0"/>
                <w:sz w:val="18"/>
                <w:u w:val="none"/>
              </w:rPr>
              <w:t xml:space="preserve">1.00 </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1B79E1DB">
            <w:pPr>
              <w:widowControl w:val="0"/>
              <w:snapToGrid/>
              <w:spacing w:before="0" w:after="0" w:line="240" w:lineRule="auto"/>
              <w:jc w:val="center"/>
            </w:pPr>
            <w:r>
              <w:rPr>
                <w:rFonts w:ascii="宋体" w:hAnsi="宋体" w:eastAsia="宋体" w:cs="宋体"/>
                <w:i w:val="0"/>
                <w:strike w:val="0"/>
                <w:color w:val="000000"/>
                <w:spacing w:val="0"/>
                <w:sz w:val="18"/>
                <w:u w:val="none"/>
              </w:rPr>
              <w:t xml:space="preserve">5.000 </w:t>
            </w:r>
          </w:p>
        </w:tc>
      </w:tr>
      <w:tr w14:paraId="4389E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08DDE199">
            <w:pPr>
              <w:widowControl w:val="0"/>
              <w:snapToGrid/>
              <w:spacing w:before="0" w:after="0" w:line="240" w:lineRule="auto"/>
              <w:jc w:val="center"/>
            </w:pPr>
            <w:r>
              <w:rPr>
                <w:rFonts w:ascii="宋体" w:hAnsi="宋体" w:eastAsia="宋体" w:cs="宋体"/>
                <w:i w:val="0"/>
                <w:strike w:val="0"/>
                <w:color w:val="000000"/>
                <w:spacing w:val="0"/>
                <w:sz w:val="18"/>
                <w:u w:val="none"/>
              </w:rPr>
              <w:t>2.1</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189B89C1">
            <w:pPr>
              <w:widowControl w:val="0"/>
              <w:snapToGrid/>
              <w:spacing w:before="0" w:after="0" w:line="240" w:lineRule="auto"/>
              <w:jc w:val="center"/>
            </w:pPr>
            <w:r>
              <w:rPr>
                <w:rFonts w:ascii="宋体" w:hAnsi="宋体" w:eastAsia="宋体" w:cs="宋体"/>
                <w:i w:val="0"/>
                <w:strike w:val="0"/>
                <w:color w:val="000000"/>
                <w:spacing w:val="0"/>
                <w:sz w:val="18"/>
                <w:u w:val="none"/>
              </w:rPr>
              <w:t>站用变电柜</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1FEEF6C2">
            <w:pPr>
              <w:widowControl w:val="0"/>
              <w:snapToGrid/>
              <w:spacing w:before="0" w:after="0" w:line="240" w:lineRule="auto"/>
              <w:jc w:val="center"/>
            </w:pPr>
            <w:r>
              <w:rPr>
                <w:rFonts w:ascii="宋体" w:hAnsi="宋体" w:eastAsia="宋体" w:cs="宋体"/>
                <w:i w:val="0"/>
                <w:strike w:val="0"/>
                <w:color w:val="000000"/>
                <w:spacing w:val="0"/>
                <w:sz w:val="18"/>
                <w:u w:val="none"/>
              </w:rPr>
              <w:t>4.71</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14:paraId="59AAF007">
            <w:pPr>
              <w:widowControl w:val="0"/>
              <w:snapToGrid/>
              <w:spacing w:before="0" w:after="0" w:line="240" w:lineRule="auto"/>
              <w:jc w:val="center"/>
            </w:pPr>
            <w:r>
              <w:rPr>
                <w:rFonts w:ascii="宋体" w:hAnsi="宋体" w:eastAsia="宋体" w:cs="宋体"/>
                <w:i w:val="0"/>
                <w:strike w:val="0"/>
                <w:color w:val="000000"/>
                <w:spacing w:val="0"/>
                <w:sz w:val="18"/>
                <w:u w:val="none"/>
              </w:rPr>
              <w:t>台</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4904B794">
            <w:pPr>
              <w:widowControl w:val="0"/>
              <w:snapToGrid/>
              <w:spacing w:before="0" w:after="0" w:line="240" w:lineRule="auto"/>
              <w:jc w:val="center"/>
            </w:pPr>
            <w:r>
              <w:rPr>
                <w:rFonts w:ascii="宋体" w:hAnsi="宋体" w:eastAsia="宋体" w:cs="宋体"/>
                <w:i w:val="0"/>
                <w:strike w:val="0"/>
                <w:color w:val="000000"/>
                <w:spacing w:val="0"/>
                <w:sz w:val="18"/>
                <w:u w:val="none"/>
              </w:rPr>
              <w:t xml:space="preserve">1.00 </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166D0DA8">
            <w:pPr>
              <w:widowControl w:val="0"/>
              <w:snapToGrid/>
              <w:spacing w:before="0" w:after="0" w:line="240" w:lineRule="auto"/>
              <w:jc w:val="center"/>
            </w:pPr>
            <w:r>
              <w:rPr>
                <w:rFonts w:ascii="宋体" w:hAnsi="宋体" w:eastAsia="宋体" w:cs="宋体"/>
                <w:i w:val="0"/>
                <w:strike w:val="0"/>
                <w:color w:val="000000"/>
                <w:spacing w:val="0"/>
                <w:sz w:val="18"/>
                <w:u w:val="none"/>
              </w:rPr>
              <w:t xml:space="preserve">4.711 </w:t>
            </w:r>
          </w:p>
        </w:tc>
      </w:tr>
      <w:tr w14:paraId="7A6DB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2DC8F0A9">
            <w:pPr>
              <w:widowControl w:val="0"/>
              <w:snapToGrid/>
              <w:spacing w:before="0" w:after="0" w:line="240" w:lineRule="auto"/>
              <w:jc w:val="center"/>
            </w:pPr>
            <w:r>
              <w:rPr>
                <w:rFonts w:ascii="宋体" w:hAnsi="宋体" w:eastAsia="宋体" w:cs="宋体"/>
                <w:i w:val="0"/>
                <w:strike w:val="0"/>
                <w:color w:val="000000"/>
                <w:spacing w:val="0"/>
                <w:sz w:val="18"/>
                <w:u w:val="none"/>
              </w:rPr>
              <w:t>2.2</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13733840">
            <w:pPr>
              <w:widowControl w:val="0"/>
              <w:snapToGrid/>
              <w:spacing w:before="0" w:after="0" w:line="240" w:lineRule="auto"/>
              <w:jc w:val="center"/>
            </w:pPr>
            <w:r>
              <w:rPr>
                <w:rFonts w:ascii="宋体" w:hAnsi="宋体" w:eastAsia="宋体" w:cs="宋体"/>
                <w:i w:val="0"/>
                <w:strike w:val="0"/>
                <w:color w:val="000000"/>
                <w:spacing w:val="0"/>
                <w:sz w:val="18"/>
                <w:u w:val="none"/>
              </w:rPr>
              <w:t>10kV动态无功补偿装置</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6399728F">
            <w:pPr>
              <w:widowControl w:val="0"/>
              <w:snapToGrid/>
              <w:spacing w:before="0" w:after="0" w:line="240" w:lineRule="auto"/>
              <w:jc w:val="center"/>
            </w:pPr>
            <w:r>
              <w:rPr>
                <w:rFonts w:ascii="宋体" w:hAnsi="宋体" w:eastAsia="宋体" w:cs="宋体"/>
                <w:i w:val="0"/>
                <w:strike w:val="0"/>
                <w:color w:val="000000"/>
                <w:spacing w:val="0"/>
                <w:sz w:val="18"/>
                <w:u w:val="none"/>
              </w:rPr>
              <w:t>39.07</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14:paraId="16E99F71">
            <w:pPr>
              <w:widowControl w:val="0"/>
              <w:snapToGrid/>
              <w:spacing w:before="0" w:after="0" w:line="240" w:lineRule="auto"/>
              <w:jc w:val="center"/>
            </w:pPr>
            <w:r>
              <w:rPr>
                <w:rFonts w:ascii="宋体" w:hAnsi="宋体" w:eastAsia="宋体" w:cs="宋体"/>
                <w:i w:val="0"/>
                <w:strike w:val="0"/>
                <w:color w:val="000000"/>
                <w:spacing w:val="0"/>
                <w:sz w:val="18"/>
                <w:u w:val="none"/>
              </w:rPr>
              <w:t>台</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26BEF6D3">
            <w:pPr>
              <w:widowControl w:val="0"/>
              <w:snapToGrid/>
              <w:spacing w:before="0" w:after="0" w:line="240" w:lineRule="auto"/>
              <w:jc w:val="center"/>
            </w:pPr>
            <w:r>
              <w:rPr>
                <w:rFonts w:ascii="宋体" w:hAnsi="宋体" w:eastAsia="宋体" w:cs="宋体"/>
                <w:i w:val="0"/>
                <w:strike w:val="0"/>
                <w:color w:val="000000"/>
                <w:spacing w:val="0"/>
                <w:sz w:val="18"/>
                <w:u w:val="none"/>
              </w:rPr>
              <w:t xml:space="preserve">1.00 </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2A2FB042">
            <w:pPr>
              <w:widowControl w:val="0"/>
              <w:snapToGrid/>
              <w:spacing w:before="0" w:after="0" w:line="240" w:lineRule="auto"/>
              <w:jc w:val="center"/>
            </w:pPr>
            <w:r>
              <w:rPr>
                <w:rFonts w:ascii="宋体" w:hAnsi="宋体" w:eastAsia="宋体" w:cs="宋体"/>
                <w:i w:val="0"/>
                <w:strike w:val="0"/>
                <w:color w:val="000000"/>
                <w:spacing w:val="0"/>
                <w:sz w:val="18"/>
                <w:u w:val="none"/>
              </w:rPr>
              <w:t xml:space="preserve">35.000 </w:t>
            </w:r>
          </w:p>
        </w:tc>
      </w:tr>
      <w:tr w14:paraId="130D1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05EC0E2F">
            <w:pPr>
              <w:widowControl w:val="0"/>
              <w:snapToGrid/>
              <w:spacing w:before="0" w:after="0" w:line="240" w:lineRule="auto"/>
              <w:jc w:val="center"/>
            </w:pPr>
            <w:r>
              <w:rPr>
                <w:rFonts w:ascii="宋体" w:hAnsi="宋体" w:eastAsia="宋体" w:cs="宋体"/>
                <w:i w:val="0"/>
                <w:strike w:val="0"/>
                <w:color w:val="000000"/>
                <w:spacing w:val="0"/>
                <w:sz w:val="18"/>
                <w:u w:val="none"/>
              </w:rPr>
              <w:t>2.3</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45D832D3">
            <w:pPr>
              <w:widowControl w:val="0"/>
              <w:snapToGrid/>
              <w:spacing w:before="0" w:after="0" w:line="240" w:lineRule="auto"/>
              <w:jc w:val="center"/>
            </w:pPr>
            <w:r>
              <w:rPr>
                <w:rFonts w:ascii="宋体" w:hAnsi="宋体" w:eastAsia="宋体" w:cs="宋体"/>
                <w:i w:val="0"/>
                <w:strike w:val="0"/>
                <w:color w:val="000000"/>
                <w:spacing w:val="0"/>
                <w:sz w:val="18"/>
                <w:u w:val="none"/>
              </w:rPr>
              <w:t>高压电缆</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261B4992">
            <w:pPr>
              <w:widowControl w:val="0"/>
              <w:snapToGrid/>
              <w:spacing w:before="0" w:after="0" w:line="240" w:lineRule="auto"/>
              <w:jc w:val="center"/>
            </w:pPr>
            <w:r>
              <w:rPr>
                <w:rFonts w:ascii="宋体" w:hAnsi="宋体" w:eastAsia="宋体" w:cs="宋体"/>
                <w:i w:val="0"/>
                <w:strike w:val="0"/>
                <w:color w:val="000000"/>
                <w:spacing w:val="0"/>
                <w:sz w:val="18"/>
                <w:u w:val="none"/>
              </w:rPr>
              <w:t>82.51</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14:paraId="2A12236D">
            <w:pPr>
              <w:widowControl w:val="0"/>
              <w:snapToGrid/>
              <w:spacing w:before="0" w:after="0" w:line="240" w:lineRule="auto"/>
              <w:jc w:val="center"/>
            </w:pPr>
            <w:r>
              <w:rPr>
                <w:rFonts w:ascii="宋体" w:hAnsi="宋体" w:eastAsia="宋体" w:cs="宋体"/>
                <w:i w:val="0"/>
                <w:strike w:val="0"/>
                <w:color w:val="000000"/>
                <w:spacing w:val="0"/>
                <w:sz w:val="18"/>
                <w:u w:val="none"/>
              </w:rPr>
              <w:t>km</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4CA94D31">
            <w:pPr>
              <w:widowControl w:val="0"/>
              <w:snapToGrid/>
              <w:spacing w:before="0" w:after="0" w:line="240" w:lineRule="auto"/>
              <w:jc w:val="center"/>
            </w:pPr>
            <w:r>
              <w:rPr>
                <w:rFonts w:ascii="宋体" w:hAnsi="宋体" w:eastAsia="宋体" w:cs="宋体"/>
                <w:i w:val="0"/>
                <w:strike w:val="0"/>
                <w:color w:val="000000"/>
                <w:spacing w:val="0"/>
                <w:sz w:val="18"/>
                <w:u w:val="none"/>
              </w:rPr>
              <w:t xml:space="preserve">2.00 </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726D1D83">
            <w:pPr>
              <w:widowControl w:val="0"/>
              <w:snapToGrid/>
              <w:spacing w:before="0" w:after="0" w:line="240" w:lineRule="auto"/>
              <w:jc w:val="center"/>
            </w:pPr>
            <w:r>
              <w:rPr>
                <w:rFonts w:ascii="宋体" w:hAnsi="宋体" w:eastAsia="宋体" w:cs="宋体"/>
                <w:i w:val="0"/>
                <w:strike w:val="0"/>
                <w:color w:val="000000"/>
                <w:spacing w:val="0"/>
                <w:sz w:val="18"/>
                <w:u w:val="none"/>
              </w:rPr>
              <w:t xml:space="preserve">41.300 </w:t>
            </w:r>
          </w:p>
        </w:tc>
      </w:tr>
      <w:tr w14:paraId="2CFDB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4D805F40">
            <w:pPr>
              <w:widowControl w:val="0"/>
              <w:snapToGrid/>
              <w:spacing w:before="0" w:after="0" w:line="240" w:lineRule="auto"/>
              <w:jc w:val="center"/>
            </w:pPr>
            <w:r>
              <w:rPr>
                <w:rFonts w:ascii="宋体" w:hAnsi="宋体" w:eastAsia="宋体" w:cs="宋体"/>
                <w:i w:val="0"/>
                <w:strike w:val="0"/>
                <w:color w:val="000000"/>
                <w:spacing w:val="0"/>
                <w:sz w:val="18"/>
                <w:u w:val="none"/>
              </w:rPr>
              <w:t>2.4</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4DABE931">
            <w:pPr>
              <w:widowControl w:val="0"/>
              <w:snapToGrid/>
              <w:spacing w:before="0" w:after="0" w:line="240" w:lineRule="auto"/>
              <w:jc w:val="center"/>
            </w:pPr>
            <w:r>
              <w:rPr>
                <w:rFonts w:ascii="宋体" w:hAnsi="宋体" w:eastAsia="宋体" w:cs="宋体"/>
                <w:i w:val="0"/>
                <w:strike w:val="0"/>
                <w:color w:val="000000"/>
                <w:spacing w:val="0"/>
                <w:sz w:val="18"/>
                <w:u w:val="none"/>
              </w:rPr>
              <w:t>土建基础</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1DE8C86A">
            <w:pPr>
              <w:widowControl w:val="0"/>
              <w:snapToGrid/>
              <w:spacing w:before="0" w:after="0" w:line="240" w:lineRule="auto"/>
              <w:jc w:val="center"/>
            </w:pPr>
            <w:r>
              <w:rPr>
                <w:rFonts w:ascii="宋体" w:hAnsi="宋体" w:eastAsia="宋体" w:cs="宋体"/>
                <w:i w:val="0"/>
                <w:strike w:val="0"/>
                <w:color w:val="000000"/>
                <w:spacing w:val="0"/>
                <w:sz w:val="18"/>
                <w:u w:val="none"/>
              </w:rPr>
              <w:t>96.75</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14:paraId="20FDBA52">
            <w:pPr>
              <w:widowControl w:val="0"/>
              <w:snapToGrid/>
              <w:spacing w:before="0" w:after="0" w:line="240" w:lineRule="auto"/>
              <w:jc w:val="center"/>
            </w:pPr>
            <w:r>
              <w:rPr>
                <w:rFonts w:ascii="宋体" w:hAnsi="宋体" w:eastAsia="宋体" w:cs="宋体"/>
                <w:i w:val="0"/>
                <w:strike w:val="0"/>
                <w:color w:val="000000"/>
                <w:spacing w:val="0"/>
                <w:sz w:val="18"/>
                <w:u w:val="none"/>
              </w:rPr>
              <w:t>项</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7F52E3A6">
            <w:pPr>
              <w:widowControl w:val="0"/>
              <w:snapToGrid/>
              <w:spacing w:before="0" w:after="0" w:line="240" w:lineRule="auto"/>
              <w:jc w:val="center"/>
            </w:pPr>
            <w:r>
              <w:rPr>
                <w:rFonts w:ascii="宋体" w:hAnsi="宋体" w:eastAsia="宋体" w:cs="宋体"/>
                <w:i w:val="0"/>
                <w:strike w:val="0"/>
                <w:color w:val="000000"/>
                <w:spacing w:val="0"/>
                <w:sz w:val="18"/>
                <w:u w:val="none"/>
              </w:rPr>
              <w:t xml:space="preserve">1.00 </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7EB67DD7">
            <w:pPr>
              <w:widowControl w:val="0"/>
              <w:snapToGrid/>
              <w:spacing w:before="0" w:after="0" w:line="240" w:lineRule="auto"/>
              <w:jc w:val="center"/>
            </w:pPr>
            <w:r>
              <w:rPr>
                <w:rFonts w:ascii="宋体" w:hAnsi="宋体" w:eastAsia="宋体" w:cs="宋体"/>
                <w:i w:val="0"/>
                <w:strike w:val="0"/>
                <w:color w:val="000000"/>
                <w:spacing w:val="0"/>
                <w:sz w:val="18"/>
                <w:u w:val="none"/>
              </w:rPr>
              <w:t xml:space="preserve">80.250 </w:t>
            </w:r>
          </w:p>
        </w:tc>
      </w:tr>
      <w:tr w14:paraId="7BDE1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5DCBFF02">
            <w:pPr>
              <w:widowControl w:val="0"/>
              <w:snapToGrid/>
              <w:spacing w:before="0" w:after="0" w:line="240" w:lineRule="auto"/>
              <w:jc w:val="center"/>
            </w:pPr>
            <w:r>
              <w:rPr>
                <w:rFonts w:ascii="宋体" w:hAnsi="宋体" w:eastAsia="宋体" w:cs="宋体"/>
                <w:i w:val="0"/>
                <w:strike w:val="0"/>
                <w:color w:val="000000"/>
                <w:spacing w:val="0"/>
                <w:sz w:val="18"/>
                <w:u w:val="none"/>
              </w:rPr>
              <w:t>2.5</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4C14A51E">
            <w:pPr>
              <w:widowControl w:val="0"/>
              <w:snapToGrid/>
              <w:spacing w:before="0" w:after="0" w:line="240" w:lineRule="auto"/>
              <w:jc w:val="center"/>
            </w:pPr>
            <w:r>
              <w:rPr>
                <w:rFonts w:ascii="宋体" w:hAnsi="宋体" w:eastAsia="宋体" w:cs="宋体"/>
                <w:i w:val="0"/>
                <w:strike w:val="0"/>
                <w:color w:val="000000"/>
                <w:spacing w:val="0"/>
                <w:sz w:val="18"/>
                <w:u w:val="none"/>
              </w:rPr>
              <w:t>组件、电气安装、辅材等</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0D061365">
            <w:pPr>
              <w:widowControl w:val="0"/>
              <w:snapToGrid/>
              <w:spacing w:before="0" w:after="0" w:line="240" w:lineRule="auto"/>
              <w:jc w:val="center"/>
            </w:pPr>
            <w:r>
              <w:rPr>
                <w:rFonts w:ascii="宋体" w:hAnsi="宋体" w:eastAsia="宋体" w:cs="宋体"/>
                <w:i w:val="0"/>
                <w:strike w:val="0"/>
                <w:color w:val="000000"/>
                <w:spacing w:val="0"/>
                <w:sz w:val="18"/>
                <w:u w:val="none"/>
              </w:rPr>
              <w:t xml:space="preserve">160.65 </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14:paraId="7A572066">
            <w:pPr>
              <w:widowControl w:val="0"/>
              <w:snapToGrid/>
              <w:spacing w:before="0" w:after="0" w:line="240" w:lineRule="auto"/>
              <w:jc w:val="center"/>
            </w:pPr>
            <w:r>
              <w:rPr>
                <w:rFonts w:ascii="宋体" w:hAnsi="宋体" w:eastAsia="宋体" w:cs="宋体"/>
                <w:i w:val="0"/>
                <w:strike w:val="0"/>
                <w:color w:val="000000"/>
                <w:spacing w:val="0"/>
                <w:sz w:val="18"/>
                <w:u w:val="none"/>
              </w:rPr>
              <w:t>KW</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091EDA7F">
            <w:pPr>
              <w:widowControl w:val="0"/>
              <w:snapToGrid/>
              <w:spacing w:before="0" w:after="0" w:line="240" w:lineRule="auto"/>
              <w:jc w:val="center"/>
            </w:pPr>
            <w:r>
              <w:rPr>
                <w:rFonts w:ascii="宋体" w:hAnsi="宋体" w:eastAsia="宋体" w:cs="宋体"/>
                <w:i w:val="0"/>
                <w:strike w:val="0"/>
                <w:color w:val="000000"/>
                <w:spacing w:val="0"/>
                <w:sz w:val="18"/>
                <w:u w:val="none"/>
              </w:rPr>
              <w:t xml:space="preserve">5950.00 </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67E3F920">
            <w:pPr>
              <w:widowControl w:val="0"/>
              <w:snapToGrid/>
              <w:spacing w:before="0" w:after="0" w:line="240" w:lineRule="auto"/>
              <w:jc w:val="center"/>
            </w:pPr>
            <w:r>
              <w:rPr>
                <w:rFonts w:ascii="宋体" w:hAnsi="宋体" w:eastAsia="宋体" w:cs="宋体"/>
                <w:i w:val="0"/>
                <w:strike w:val="0"/>
                <w:color w:val="000000"/>
                <w:spacing w:val="0"/>
                <w:sz w:val="18"/>
                <w:u w:val="none"/>
              </w:rPr>
              <w:t xml:space="preserve">0.027 </w:t>
            </w:r>
          </w:p>
        </w:tc>
      </w:tr>
      <w:tr w14:paraId="3542E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01D73949">
            <w:pPr>
              <w:widowControl w:val="0"/>
              <w:snapToGrid/>
              <w:spacing w:before="0" w:after="0" w:line="240" w:lineRule="auto"/>
              <w:jc w:val="center"/>
            </w:pPr>
            <w:r>
              <w:rPr>
                <w:rFonts w:ascii="宋体" w:hAnsi="宋体" w:eastAsia="宋体" w:cs="宋体"/>
                <w:b/>
                <w:i w:val="0"/>
                <w:strike w:val="0"/>
                <w:color w:val="000000"/>
                <w:spacing w:val="0"/>
                <w:sz w:val="18"/>
                <w:u w:val="none"/>
              </w:rPr>
              <w:t>2</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4E30C567">
            <w:pPr>
              <w:widowControl w:val="0"/>
              <w:snapToGrid/>
              <w:spacing w:before="0" w:after="0" w:line="240" w:lineRule="auto"/>
              <w:jc w:val="center"/>
            </w:pPr>
            <w:r>
              <w:rPr>
                <w:rFonts w:ascii="宋体" w:hAnsi="宋体" w:eastAsia="宋体" w:cs="宋体"/>
                <w:b/>
                <w:i w:val="0"/>
                <w:strike w:val="0"/>
                <w:color w:val="000000"/>
                <w:spacing w:val="0"/>
                <w:sz w:val="18"/>
                <w:u w:val="none"/>
              </w:rPr>
              <w:t>电池储能</w:t>
            </w:r>
          </w:p>
          <w:p w14:paraId="3F1F0191">
            <w:pPr>
              <w:widowControl w:val="0"/>
              <w:snapToGrid/>
              <w:spacing w:before="0" w:after="0" w:line="240" w:lineRule="auto"/>
              <w:jc w:val="center"/>
            </w:pPr>
            <w:r>
              <w:rPr>
                <w:rFonts w:ascii="宋体" w:hAnsi="宋体" w:eastAsia="宋体" w:cs="宋体"/>
                <w:b/>
                <w:i w:val="0"/>
                <w:strike w:val="0"/>
                <w:color w:val="000000"/>
                <w:spacing w:val="0"/>
                <w:sz w:val="18"/>
                <w:u w:val="none"/>
              </w:rPr>
              <w:t>集装箱</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34EDF694">
            <w:pPr>
              <w:widowControl w:val="0"/>
              <w:snapToGrid/>
              <w:spacing w:before="0" w:after="0" w:line="240" w:lineRule="auto"/>
              <w:jc w:val="center"/>
            </w:pPr>
            <w:r>
              <w:rPr>
                <w:rFonts w:ascii="宋体" w:hAnsi="宋体" w:eastAsia="宋体" w:cs="宋体"/>
                <w:b/>
                <w:i w:val="0"/>
                <w:strike w:val="0"/>
                <w:color w:val="000000"/>
                <w:spacing w:val="0"/>
                <w:sz w:val="18"/>
                <w:u w:val="none"/>
              </w:rPr>
              <w:t>5099.7</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14:paraId="44006511">
            <w:pPr>
              <w:widowControl w:val="0"/>
              <w:snapToGrid/>
              <w:spacing w:before="0" w:after="0" w:line="240" w:lineRule="auto"/>
              <w:jc w:val="center"/>
            </w:pPr>
            <w:r>
              <w:rPr>
                <w:rFonts w:ascii="宋体" w:hAnsi="宋体" w:eastAsia="宋体" w:cs="宋体"/>
                <w:b/>
                <w:i w:val="0"/>
                <w:strike w:val="0"/>
                <w:color w:val="000000"/>
                <w:spacing w:val="0"/>
                <w:sz w:val="18"/>
                <w:u w:val="none"/>
              </w:rPr>
              <w:t>KWH</w:t>
            </w:r>
          </w:p>
        </w:tc>
        <w:tc>
          <w:tcPr>
            <w:tcW w:w="1382" w:type="dxa"/>
            <w:tcBorders>
              <w:top w:val="single" w:color="000000" w:sz="6" w:space="0"/>
              <w:left w:val="single" w:color="000000" w:sz="6" w:space="0"/>
              <w:bottom w:val="single" w:color="000000" w:sz="6" w:space="0"/>
              <w:right w:val="single" w:color="000000" w:sz="6" w:space="0"/>
            </w:tcBorders>
            <w:tcMar>
              <w:bottom w:w="0" w:type="dxa"/>
            </w:tcMar>
            <w:vAlign w:val="center"/>
          </w:tcPr>
          <w:p w14:paraId="3D5C2E9D">
            <w:pPr>
              <w:widowControl w:val="0"/>
              <w:snapToGrid/>
              <w:spacing w:before="0" w:after="0" w:line="240" w:lineRule="auto"/>
              <w:jc w:val="center"/>
            </w:pPr>
            <w:r>
              <w:rPr>
                <w:rFonts w:ascii="宋体" w:hAnsi="宋体" w:eastAsia="宋体" w:cs="宋体"/>
                <w:b/>
                <w:i w:val="0"/>
                <w:strike w:val="0"/>
                <w:color w:val="000000"/>
                <w:spacing w:val="0"/>
                <w:sz w:val="18"/>
                <w:u w:val="none"/>
              </w:rPr>
              <w:t>40000</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32067138">
            <w:pPr>
              <w:widowControl w:val="0"/>
              <w:snapToGrid/>
              <w:spacing w:before="0" w:after="0" w:line="240" w:lineRule="auto"/>
              <w:jc w:val="center"/>
            </w:pPr>
            <w:r>
              <w:rPr>
                <w:rFonts w:ascii="宋体" w:hAnsi="宋体" w:eastAsia="宋体" w:cs="宋体"/>
                <w:b/>
                <w:i w:val="0"/>
                <w:strike w:val="0"/>
                <w:color w:val="000000"/>
                <w:spacing w:val="0"/>
                <w:sz w:val="18"/>
                <w:u w:val="none"/>
              </w:rPr>
              <w:t xml:space="preserve">0.127 </w:t>
            </w:r>
          </w:p>
        </w:tc>
      </w:tr>
      <w:tr w14:paraId="13733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7359EAE5">
            <w:pPr>
              <w:widowControl w:val="0"/>
              <w:snapToGrid/>
              <w:spacing w:before="0" w:after="0" w:line="240" w:lineRule="auto"/>
              <w:jc w:val="center"/>
            </w:pPr>
            <w:r>
              <w:rPr>
                <w:rFonts w:ascii="宋体" w:hAnsi="宋体" w:eastAsia="宋体" w:cs="宋体"/>
                <w:i w:val="0"/>
                <w:strike w:val="0"/>
                <w:color w:val="000000"/>
                <w:spacing w:val="0"/>
                <w:sz w:val="18"/>
                <w:u w:val="none"/>
              </w:rPr>
              <w:t>2.1</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5882E1B3">
            <w:pPr>
              <w:widowControl w:val="0"/>
              <w:snapToGrid/>
              <w:spacing w:before="0" w:after="0" w:line="240" w:lineRule="auto"/>
              <w:jc w:val="center"/>
            </w:pPr>
            <w:r>
              <w:rPr>
                <w:rFonts w:ascii="宋体" w:hAnsi="宋体" w:eastAsia="宋体" w:cs="宋体"/>
                <w:i w:val="0"/>
                <w:strike w:val="0"/>
                <w:color w:val="000000"/>
                <w:spacing w:val="0"/>
                <w:sz w:val="18"/>
                <w:u w:val="none"/>
              </w:rPr>
              <w:t>电池系统 5000KWH</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6EC1252F">
            <w:pPr>
              <w:widowControl w:val="0"/>
              <w:snapToGrid/>
              <w:spacing w:before="0" w:after="0" w:line="240" w:lineRule="auto"/>
              <w:jc w:val="center"/>
            </w:pPr>
            <w:r>
              <w:rPr>
                <w:rFonts w:ascii="宋体" w:hAnsi="宋体" w:eastAsia="宋体" w:cs="宋体"/>
                <w:i w:val="0"/>
                <w:strike w:val="0"/>
                <w:color w:val="000000"/>
                <w:spacing w:val="0"/>
                <w:sz w:val="18"/>
                <w:u w:val="none"/>
              </w:rPr>
              <w:t>3200.5</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14:paraId="69402A84">
            <w:pPr>
              <w:widowControl w:val="0"/>
              <w:snapToGrid/>
              <w:spacing w:before="0" w:after="0" w:line="240" w:lineRule="auto"/>
              <w:jc w:val="center"/>
            </w:pPr>
            <w:r>
              <w:rPr>
                <w:rFonts w:ascii="宋体" w:hAnsi="宋体" w:eastAsia="宋体" w:cs="宋体"/>
                <w:i w:val="0"/>
                <w:strike w:val="0"/>
                <w:color w:val="000000"/>
                <w:spacing w:val="0"/>
                <w:sz w:val="18"/>
                <w:u w:val="none"/>
              </w:rPr>
              <w:t>个</w:t>
            </w:r>
          </w:p>
        </w:tc>
        <w:tc>
          <w:tcPr>
            <w:tcW w:w="1382" w:type="dxa"/>
            <w:tcBorders>
              <w:top w:val="single" w:color="000000" w:sz="6" w:space="0"/>
              <w:left w:val="single" w:color="000000" w:sz="6" w:space="0"/>
              <w:bottom w:val="single" w:color="000000" w:sz="6" w:space="0"/>
              <w:right w:val="single" w:color="000000" w:sz="6" w:space="0"/>
            </w:tcBorders>
            <w:tcMar>
              <w:bottom w:w="0" w:type="dxa"/>
            </w:tcMar>
            <w:vAlign w:val="center"/>
          </w:tcPr>
          <w:p w14:paraId="1DFABAB8">
            <w:pPr>
              <w:widowControl w:val="0"/>
              <w:snapToGrid/>
              <w:spacing w:before="0" w:after="0" w:line="240" w:lineRule="auto"/>
              <w:jc w:val="center"/>
            </w:pPr>
            <w:r>
              <w:rPr>
                <w:rFonts w:ascii="宋体" w:hAnsi="宋体" w:eastAsia="宋体" w:cs="宋体"/>
                <w:i w:val="0"/>
                <w:strike w:val="0"/>
                <w:color w:val="000000"/>
                <w:spacing w:val="0"/>
                <w:sz w:val="18"/>
                <w:u w:val="none"/>
              </w:rPr>
              <w:t>7.4</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167C4F58">
            <w:pPr>
              <w:widowControl w:val="0"/>
              <w:snapToGrid/>
              <w:spacing w:before="0" w:after="0" w:line="240" w:lineRule="auto"/>
              <w:jc w:val="center"/>
            </w:pPr>
            <w:r>
              <w:rPr>
                <w:rFonts w:ascii="宋体" w:hAnsi="宋体" w:eastAsia="宋体" w:cs="宋体"/>
                <w:i w:val="0"/>
                <w:strike w:val="0"/>
                <w:color w:val="000000"/>
                <w:spacing w:val="0"/>
                <w:sz w:val="18"/>
                <w:u w:val="none"/>
              </w:rPr>
              <w:t xml:space="preserve">432.50 </w:t>
            </w:r>
          </w:p>
        </w:tc>
      </w:tr>
      <w:tr w14:paraId="56847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03F421AE">
            <w:pPr>
              <w:widowControl w:val="0"/>
              <w:snapToGrid/>
              <w:spacing w:before="0" w:after="0" w:line="240" w:lineRule="auto"/>
              <w:jc w:val="center"/>
            </w:pPr>
            <w:r>
              <w:rPr>
                <w:rFonts w:ascii="宋体" w:hAnsi="宋体" w:eastAsia="宋体" w:cs="宋体"/>
                <w:i w:val="0"/>
                <w:strike w:val="0"/>
                <w:color w:val="000000"/>
                <w:spacing w:val="0"/>
                <w:sz w:val="18"/>
                <w:u w:val="none"/>
              </w:rPr>
              <w:t>2.2</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07597006">
            <w:pPr>
              <w:widowControl w:val="0"/>
              <w:snapToGrid/>
              <w:spacing w:before="0" w:after="0" w:line="240" w:lineRule="auto"/>
              <w:jc w:val="center"/>
            </w:pPr>
            <w:r>
              <w:rPr>
                <w:rFonts w:ascii="宋体" w:hAnsi="宋体" w:eastAsia="宋体" w:cs="宋体"/>
                <w:i w:val="0"/>
                <w:strike w:val="0"/>
                <w:color w:val="000000"/>
                <w:spacing w:val="0"/>
                <w:sz w:val="18"/>
                <w:u w:val="none"/>
              </w:rPr>
              <w:t>储能变流器</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768E0D65">
            <w:pPr>
              <w:widowControl w:val="0"/>
              <w:snapToGrid/>
              <w:spacing w:before="0" w:after="0" w:line="240" w:lineRule="auto"/>
              <w:jc w:val="center"/>
            </w:pPr>
            <w:r>
              <w:rPr>
                <w:rFonts w:ascii="宋体" w:hAnsi="宋体" w:eastAsia="宋体" w:cs="宋体"/>
                <w:i w:val="0"/>
                <w:strike w:val="0"/>
                <w:color w:val="000000"/>
                <w:spacing w:val="0"/>
                <w:sz w:val="18"/>
                <w:u w:val="none"/>
              </w:rPr>
              <w:t>370</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14:paraId="4D2D7ED1">
            <w:pPr>
              <w:widowControl w:val="0"/>
              <w:snapToGrid/>
              <w:spacing w:before="0" w:after="0" w:line="240" w:lineRule="auto"/>
              <w:jc w:val="center"/>
            </w:pPr>
            <w:r>
              <w:rPr>
                <w:rFonts w:ascii="宋体" w:hAnsi="宋体" w:eastAsia="宋体" w:cs="宋体"/>
                <w:i w:val="0"/>
                <w:strike w:val="0"/>
                <w:color w:val="000000"/>
                <w:spacing w:val="0"/>
                <w:sz w:val="18"/>
                <w:u w:val="none"/>
              </w:rPr>
              <w:t>个</w:t>
            </w:r>
          </w:p>
        </w:tc>
        <w:tc>
          <w:tcPr>
            <w:tcW w:w="1382" w:type="dxa"/>
            <w:tcBorders>
              <w:top w:val="single" w:color="000000" w:sz="6" w:space="0"/>
              <w:left w:val="single" w:color="000000" w:sz="6" w:space="0"/>
              <w:bottom w:val="single" w:color="000000" w:sz="6" w:space="0"/>
              <w:right w:val="single" w:color="000000" w:sz="6" w:space="0"/>
            </w:tcBorders>
            <w:tcMar>
              <w:bottom w:w="0" w:type="dxa"/>
            </w:tcMar>
            <w:vAlign w:val="center"/>
          </w:tcPr>
          <w:p w14:paraId="32DBEBCE">
            <w:pPr>
              <w:widowControl w:val="0"/>
              <w:snapToGrid/>
              <w:spacing w:before="0" w:after="0" w:line="240" w:lineRule="auto"/>
              <w:jc w:val="center"/>
            </w:pPr>
            <w:r>
              <w:rPr>
                <w:rFonts w:ascii="宋体" w:hAnsi="宋体" w:eastAsia="宋体" w:cs="宋体"/>
                <w:i w:val="0"/>
                <w:strike w:val="0"/>
                <w:color w:val="000000"/>
                <w:spacing w:val="0"/>
                <w:sz w:val="18"/>
                <w:u w:val="none"/>
              </w:rPr>
              <w:t>7.4</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28B2244D">
            <w:pPr>
              <w:widowControl w:val="0"/>
              <w:snapToGrid/>
              <w:spacing w:before="0" w:after="0" w:line="240" w:lineRule="auto"/>
              <w:jc w:val="center"/>
            </w:pPr>
            <w:r>
              <w:rPr>
                <w:rFonts w:ascii="宋体" w:hAnsi="宋体" w:eastAsia="宋体" w:cs="宋体"/>
                <w:i w:val="0"/>
                <w:strike w:val="0"/>
                <w:color w:val="000000"/>
                <w:spacing w:val="0"/>
                <w:sz w:val="18"/>
                <w:u w:val="none"/>
              </w:rPr>
              <w:t xml:space="preserve">50.00 </w:t>
            </w:r>
          </w:p>
        </w:tc>
      </w:tr>
      <w:tr w14:paraId="655E4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0FA1E4FD">
            <w:pPr>
              <w:widowControl w:val="0"/>
              <w:snapToGrid/>
              <w:spacing w:before="0" w:after="0" w:line="240" w:lineRule="auto"/>
              <w:jc w:val="center"/>
            </w:pPr>
            <w:r>
              <w:rPr>
                <w:rFonts w:ascii="宋体" w:hAnsi="宋体" w:eastAsia="宋体" w:cs="宋体"/>
                <w:i w:val="0"/>
                <w:strike w:val="0"/>
                <w:color w:val="000000"/>
                <w:spacing w:val="0"/>
                <w:sz w:val="18"/>
                <w:u w:val="none"/>
              </w:rPr>
              <w:t>2.3</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5B59EB5F">
            <w:pPr>
              <w:widowControl w:val="0"/>
              <w:snapToGrid/>
              <w:spacing w:before="0" w:after="0" w:line="240" w:lineRule="auto"/>
              <w:jc w:val="center"/>
            </w:pPr>
            <w:r>
              <w:rPr>
                <w:rFonts w:ascii="宋体" w:hAnsi="宋体" w:eastAsia="宋体" w:cs="宋体"/>
                <w:i w:val="0"/>
                <w:strike w:val="0"/>
                <w:color w:val="000000"/>
                <w:spacing w:val="0"/>
                <w:sz w:val="18"/>
                <w:u w:val="none"/>
              </w:rPr>
              <w:t>集装箱柜体</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671F28AE">
            <w:pPr>
              <w:widowControl w:val="0"/>
              <w:snapToGrid/>
              <w:spacing w:before="0" w:after="0" w:line="240" w:lineRule="auto"/>
              <w:jc w:val="center"/>
            </w:pPr>
            <w:r>
              <w:rPr>
                <w:rFonts w:ascii="宋体" w:hAnsi="宋体" w:eastAsia="宋体" w:cs="宋体"/>
                <w:i w:val="0"/>
                <w:strike w:val="0"/>
                <w:color w:val="000000"/>
                <w:spacing w:val="0"/>
                <w:sz w:val="18"/>
                <w:u w:val="none"/>
              </w:rPr>
              <w:t>111</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14:paraId="73B1214E">
            <w:pPr>
              <w:widowControl w:val="0"/>
              <w:snapToGrid/>
              <w:spacing w:before="0" w:after="0" w:line="240" w:lineRule="auto"/>
              <w:jc w:val="center"/>
            </w:pPr>
            <w:r>
              <w:rPr>
                <w:rFonts w:ascii="宋体" w:hAnsi="宋体" w:eastAsia="宋体" w:cs="宋体"/>
                <w:i w:val="0"/>
                <w:strike w:val="0"/>
                <w:color w:val="000000"/>
                <w:spacing w:val="0"/>
                <w:sz w:val="18"/>
                <w:u w:val="none"/>
              </w:rPr>
              <w:t>个</w:t>
            </w:r>
          </w:p>
        </w:tc>
        <w:tc>
          <w:tcPr>
            <w:tcW w:w="1382" w:type="dxa"/>
            <w:tcBorders>
              <w:top w:val="single" w:color="000000" w:sz="6" w:space="0"/>
              <w:left w:val="single" w:color="000000" w:sz="6" w:space="0"/>
              <w:bottom w:val="single" w:color="000000" w:sz="6" w:space="0"/>
              <w:right w:val="single" w:color="000000" w:sz="6" w:space="0"/>
            </w:tcBorders>
            <w:tcMar>
              <w:bottom w:w="0" w:type="dxa"/>
            </w:tcMar>
            <w:vAlign w:val="center"/>
          </w:tcPr>
          <w:p w14:paraId="055AB5D5">
            <w:pPr>
              <w:widowControl w:val="0"/>
              <w:snapToGrid/>
              <w:spacing w:before="0" w:after="0" w:line="240" w:lineRule="auto"/>
              <w:jc w:val="center"/>
            </w:pPr>
            <w:r>
              <w:rPr>
                <w:rFonts w:ascii="宋体" w:hAnsi="宋体" w:eastAsia="宋体" w:cs="宋体"/>
                <w:i w:val="0"/>
                <w:strike w:val="0"/>
                <w:color w:val="000000"/>
                <w:spacing w:val="0"/>
                <w:sz w:val="18"/>
                <w:u w:val="none"/>
              </w:rPr>
              <w:t>7.4</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70A774ED">
            <w:pPr>
              <w:widowControl w:val="0"/>
              <w:snapToGrid/>
              <w:spacing w:before="0" w:after="0" w:line="240" w:lineRule="auto"/>
              <w:jc w:val="center"/>
            </w:pPr>
            <w:r>
              <w:rPr>
                <w:rFonts w:ascii="宋体" w:hAnsi="宋体" w:eastAsia="宋体" w:cs="宋体"/>
                <w:i w:val="0"/>
                <w:strike w:val="0"/>
                <w:color w:val="000000"/>
                <w:spacing w:val="0"/>
                <w:sz w:val="18"/>
                <w:u w:val="none"/>
              </w:rPr>
              <w:t xml:space="preserve">15.00 </w:t>
            </w:r>
          </w:p>
        </w:tc>
      </w:tr>
      <w:tr w14:paraId="33505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151EF637">
            <w:pPr>
              <w:widowControl w:val="0"/>
              <w:snapToGrid/>
              <w:spacing w:before="0" w:after="0" w:line="240" w:lineRule="auto"/>
              <w:jc w:val="center"/>
            </w:pPr>
            <w:r>
              <w:rPr>
                <w:rFonts w:ascii="宋体" w:hAnsi="宋体" w:eastAsia="宋体" w:cs="宋体"/>
                <w:i w:val="0"/>
                <w:strike w:val="0"/>
                <w:color w:val="000000"/>
                <w:spacing w:val="0"/>
                <w:sz w:val="18"/>
                <w:u w:val="none"/>
              </w:rPr>
              <w:t>2.4</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701DC5BB">
            <w:pPr>
              <w:widowControl w:val="0"/>
              <w:snapToGrid/>
              <w:spacing w:before="0" w:after="0" w:line="240" w:lineRule="auto"/>
              <w:jc w:val="center"/>
            </w:pPr>
            <w:r>
              <w:rPr>
                <w:rFonts w:ascii="宋体" w:hAnsi="宋体" w:eastAsia="宋体" w:cs="宋体"/>
                <w:i w:val="0"/>
                <w:strike w:val="0"/>
                <w:color w:val="000000"/>
                <w:spacing w:val="0"/>
                <w:sz w:val="18"/>
                <w:u w:val="none"/>
              </w:rPr>
              <w:t>温控系统</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2EF8B14F">
            <w:pPr>
              <w:widowControl w:val="0"/>
              <w:snapToGrid/>
              <w:spacing w:before="0" w:after="0" w:line="240" w:lineRule="auto"/>
              <w:jc w:val="center"/>
            </w:pPr>
            <w:r>
              <w:rPr>
                <w:rFonts w:ascii="宋体" w:hAnsi="宋体" w:eastAsia="宋体" w:cs="宋体"/>
                <w:i w:val="0"/>
                <w:strike w:val="0"/>
                <w:color w:val="000000"/>
                <w:spacing w:val="0"/>
                <w:sz w:val="18"/>
                <w:u w:val="none"/>
              </w:rPr>
              <w:t>148</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14:paraId="04FF32BC">
            <w:pPr>
              <w:widowControl w:val="0"/>
              <w:snapToGrid/>
              <w:spacing w:before="0" w:after="0" w:line="240" w:lineRule="auto"/>
              <w:jc w:val="center"/>
            </w:pPr>
            <w:r>
              <w:rPr>
                <w:rFonts w:ascii="宋体" w:hAnsi="宋体" w:eastAsia="宋体" w:cs="宋体"/>
                <w:i w:val="0"/>
                <w:strike w:val="0"/>
                <w:color w:val="000000"/>
                <w:spacing w:val="0"/>
                <w:sz w:val="18"/>
                <w:u w:val="none"/>
              </w:rPr>
              <w:t>个</w:t>
            </w:r>
          </w:p>
        </w:tc>
        <w:tc>
          <w:tcPr>
            <w:tcW w:w="1382" w:type="dxa"/>
            <w:tcBorders>
              <w:top w:val="single" w:color="000000" w:sz="6" w:space="0"/>
              <w:left w:val="single" w:color="000000" w:sz="6" w:space="0"/>
              <w:bottom w:val="single" w:color="000000" w:sz="6" w:space="0"/>
              <w:right w:val="single" w:color="000000" w:sz="6" w:space="0"/>
            </w:tcBorders>
            <w:tcMar>
              <w:bottom w:w="0" w:type="dxa"/>
            </w:tcMar>
            <w:vAlign w:val="center"/>
          </w:tcPr>
          <w:p w14:paraId="6C811F13">
            <w:pPr>
              <w:widowControl w:val="0"/>
              <w:snapToGrid/>
              <w:spacing w:before="0" w:after="0" w:line="240" w:lineRule="auto"/>
              <w:jc w:val="center"/>
            </w:pPr>
            <w:r>
              <w:rPr>
                <w:rFonts w:ascii="宋体" w:hAnsi="宋体" w:eastAsia="宋体" w:cs="宋体"/>
                <w:i w:val="0"/>
                <w:strike w:val="0"/>
                <w:color w:val="000000"/>
                <w:spacing w:val="0"/>
                <w:sz w:val="18"/>
                <w:u w:val="none"/>
              </w:rPr>
              <w:t>7.4</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36B7D1A0">
            <w:pPr>
              <w:widowControl w:val="0"/>
              <w:snapToGrid/>
              <w:spacing w:before="0" w:after="0" w:line="240" w:lineRule="auto"/>
              <w:jc w:val="center"/>
            </w:pPr>
            <w:r>
              <w:rPr>
                <w:rFonts w:ascii="宋体" w:hAnsi="宋体" w:eastAsia="宋体" w:cs="宋体"/>
                <w:i w:val="0"/>
                <w:strike w:val="0"/>
                <w:color w:val="000000"/>
                <w:spacing w:val="0"/>
                <w:sz w:val="18"/>
                <w:u w:val="none"/>
              </w:rPr>
              <w:t xml:space="preserve">20.00 </w:t>
            </w:r>
          </w:p>
        </w:tc>
      </w:tr>
      <w:tr w14:paraId="06536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7E5EDA30">
            <w:pPr>
              <w:widowControl w:val="0"/>
              <w:snapToGrid/>
              <w:spacing w:before="0" w:after="0" w:line="240" w:lineRule="auto"/>
              <w:jc w:val="center"/>
            </w:pPr>
            <w:r>
              <w:rPr>
                <w:rFonts w:ascii="宋体" w:hAnsi="宋体" w:eastAsia="宋体" w:cs="宋体"/>
                <w:i w:val="0"/>
                <w:strike w:val="0"/>
                <w:color w:val="000000"/>
                <w:spacing w:val="0"/>
                <w:sz w:val="18"/>
                <w:u w:val="none"/>
              </w:rPr>
              <w:t>2.5</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11DA927C">
            <w:pPr>
              <w:widowControl w:val="0"/>
              <w:snapToGrid/>
              <w:spacing w:before="0" w:after="0" w:line="240" w:lineRule="auto"/>
              <w:jc w:val="center"/>
            </w:pPr>
            <w:r>
              <w:rPr>
                <w:rFonts w:ascii="宋体" w:hAnsi="宋体" w:eastAsia="宋体" w:cs="宋体"/>
                <w:i w:val="0"/>
                <w:strike w:val="0"/>
                <w:color w:val="000000"/>
                <w:spacing w:val="0"/>
                <w:sz w:val="18"/>
                <w:u w:val="none"/>
              </w:rPr>
              <w:t>消防系统</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5D3572DF">
            <w:pPr>
              <w:widowControl w:val="0"/>
              <w:snapToGrid/>
              <w:spacing w:before="0" w:after="0" w:line="240" w:lineRule="auto"/>
              <w:jc w:val="center"/>
            </w:pPr>
            <w:r>
              <w:rPr>
                <w:rFonts w:ascii="宋体" w:hAnsi="宋体" w:eastAsia="宋体" w:cs="宋体"/>
                <w:i w:val="0"/>
                <w:strike w:val="0"/>
                <w:color w:val="000000"/>
                <w:spacing w:val="0"/>
                <w:sz w:val="18"/>
                <w:u w:val="none"/>
              </w:rPr>
              <w:t>111</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14:paraId="50CD111A">
            <w:pPr>
              <w:widowControl w:val="0"/>
              <w:snapToGrid/>
              <w:spacing w:before="0" w:after="0" w:line="240" w:lineRule="auto"/>
              <w:jc w:val="center"/>
            </w:pPr>
            <w:r>
              <w:rPr>
                <w:rFonts w:ascii="宋体" w:hAnsi="宋体" w:eastAsia="宋体" w:cs="宋体"/>
                <w:i w:val="0"/>
                <w:strike w:val="0"/>
                <w:color w:val="000000"/>
                <w:spacing w:val="0"/>
                <w:sz w:val="18"/>
                <w:u w:val="none"/>
              </w:rPr>
              <w:t>个</w:t>
            </w:r>
          </w:p>
        </w:tc>
        <w:tc>
          <w:tcPr>
            <w:tcW w:w="1382" w:type="dxa"/>
            <w:tcBorders>
              <w:top w:val="single" w:color="000000" w:sz="6" w:space="0"/>
              <w:left w:val="single" w:color="000000" w:sz="6" w:space="0"/>
              <w:bottom w:val="single" w:color="000000" w:sz="6" w:space="0"/>
              <w:right w:val="single" w:color="000000" w:sz="6" w:space="0"/>
            </w:tcBorders>
            <w:tcMar>
              <w:bottom w:w="0" w:type="dxa"/>
            </w:tcMar>
            <w:vAlign w:val="center"/>
          </w:tcPr>
          <w:p w14:paraId="1B1F131D">
            <w:pPr>
              <w:widowControl w:val="0"/>
              <w:snapToGrid/>
              <w:spacing w:before="0" w:after="0" w:line="240" w:lineRule="auto"/>
              <w:jc w:val="center"/>
            </w:pPr>
            <w:r>
              <w:rPr>
                <w:rFonts w:ascii="宋体" w:hAnsi="宋体" w:eastAsia="宋体" w:cs="宋体"/>
                <w:i w:val="0"/>
                <w:strike w:val="0"/>
                <w:color w:val="000000"/>
                <w:spacing w:val="0"/>
                <w:sz w:val="18"/>
                <w:u w:val="none"/>
              </w:rPr>
              <w:t>7.4</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1ECB129A">
            <w:pPr>
              <w:widowControl w:val="0"/>
              <w:snapToGrid/>
              <w:spacing w:before="0" w:after="0" w:line="240" w:lineRule="auto"/>
              <w:jc w:val="center"/>
            </w:pPr>
            <w:r>
              <w:rPr>
                <w:rFonts w:ascii="宋体" w:hAnsi="宋体" w:eastAsia="宋体" w:cs="宋体"/>
                <w:i w:val="0"/>
                <w:strike w:val="0"/>
                <w:color w:val="000000"/>
                <w:spacing w:val="0"/>
                <w:sz w:val="18"/>
                <w:u w:val="none"/>
              </w:rPr>
              <w:t xml:space="preserve">15.00 </w:t>
            </w:r>
          </w:p>
        </w:tc>
      </w:tr>
      <w:tr w14:paraId="46F7C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1C79C688">
            <w:pPr>
              <w:widowControl w:val="0"/>
              <w:snapToGrid/>
              <w:spacing w:before="0" w:after="0" w:line="240" w:lineRule="auto"/>
              <w:jc w:val="center"/>
            </w:pPr>
            <w:r>
              <w:rPr>
                <w:rFonts w:ascii="宋体" w:hAnsi="宋体" w:eastAsia="宋体" w:cs="宋体"/>
                <w:i w:val="0"/>
                <w:strike w:val="0"/>
                <w:color w:val="000000"/>
                <w:spacing w:val="0"/>
                <w:sz w:val="18"/>
                <w:u w:val="none"/>
              </w:rPr>
              <w:t>2.6</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0BC0AFEB">
            <w:pPr>
              <w:widowControl w:val="0"/>
              <w:snapToGrid/>
              <w:spacing w:before="0" w:after="0" w:line="240" w:lineRule="auto"/>
              <w:jc w:val="center"/>
            </w:pPr>
            <w:r>
              <w:rPr>
                <w:rFonts w:ascii="宋体" w:hAnsi="宋体" w:eastAsia="宋体" w:cs="宋体"/>
                <w:i w:val="0"/>
                <w:strike w:val="0"/>
                <w:color w:val="000000"/>
                <w:spacing w:val="0"/>
                <w:sz w:val="18"/>
                <w:u w:val="none"/>
              </w:rPr>
              <w:t>储能EMS</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75A3CE0D">
            <w:pPr>
              <w:widowControl w:val="0"/>
              <w:snapToGrid/>
              <w:spacing w:before="0" w:after="0" w:line="240" w:lineRule="auto"/>
              <w:jc w:val="center"/>
            </w:pPr>
            <w:r>
              <w:rPr>
                <w:rFonts w:ascii="宋体" w:hAnsi="宋体" w:eastAsia="宋体" w:cs="宋体"/>
                <w:i w:val="0"/>
                <w:strike w:val="0"/>
                <w:color w:val="000000"/>
                <w:spacing w:val="0"/>
                <w:sz w:val="18"/>
                <w:u w:val="none"/>
              </w:rPr>
              <w:t>370</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14:paraId="46A55F0A">
            <w:pPr>
              <w:widowControl w:val="0"/>
              <w:snapToGrid/>
              <w:spacing w:before="0" w:after="0" w:line="240" w:lineRule="auto"/>
              <w:jc w:val="center"/>
            </w:pPr>
            <w:r>
              <w:rPr>
                <w:rFonts w:ascii="宋体" w:hAnsi="宋体" w:eastAsia="宋体" w:cs="宋体"/>
                <w:i w:val="0"/>
                <w:strike w:val="0"/>
                <w:color w:val="000000"/>
                <w:spacing w:val="0"/>
                <w:sz w:val="18"/>
                <w:u w:val="none"/>
              </w:rPr>
              <w:t>个</w:t>
            </w:r>
          </w:p>
        </w:tc>
        <w:tc>
          <w:tcPr>
            <w:tcW w:w="1382" w:type="dxa"/>
            <w:tcBorders>
              <w:top w:val="single" w:color="000000" w:sz="6" w:space="0"/>
              <w:left w:val="single" w:color="000000" w:sz="6" w:space="0"/>
              <w:bottom w:val="single" w:color="000000" w:sz="6" w:space="0"/>
              <w:right w:val="single" w:color="000000" w:sz="6" w:space="0"/>
            </w:tcBorders>
            <w:tcMar>
              <w:bottom w:w="0" w:type="dxa"/>
            </w:tcMar>
            <w:vAlign w:val="center"/>
          </w:tcPr>
          <w:p w14:paraId="57D7DD16">
            <w:pPr>
              <w:widowControl w:val="0"/>
              <w:snapToGrid/>
              <w:spacing w:before="0" w:after="0" w:line="240" w:lineRule="auto"/>
              <w:jc w:val="center"/>
            </w:pPr>
            <w:r>
              <w:rPr>
                <w:rFonts w:ascii="宋体" w:hAnsi="宋体" w:eastAsia="宋体" w:cs="宋体"/>
                <w:i w:val="0"/>
                <w:strike w:val="0"/>
                <w:color w:val="000000"/>
                <w:spacing w:val="0"/>
                <w:sz w:val="18"/>
                <w:u w:val="none"/>
              </w:rPr>
              <w:t>7.4</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00D3213E">
            <w:pPr>
              <w:widowControl w:val="0"/>
              <w:snapToGrid/>
              <w:spacing w:before="0" w:after="0" w:line="240" w:lineRule="auto"/>
              <w:jc w:val="center"/>
            </w:pPr>
            <w:r>
              <w:rPr>
                <w:rFonts w:ascii="宋体" w:hAnsi="宋体" w:eastAsia="宋体" w:cs="宋体"/>
                <w:i w:val="0"/>
                <w:strike w:val="0"/>
                <w:color w:val="000000"/>
                <w:spacing w:val="0"/>
                <w:sz w:val="18"/>
                <w:u w:val="none"/>
              </w:rPr>
              <w:t xml:space="preserve">50.00 </w:t>
            </w:r>
          </w:p>
        </w:tc>
      </w:tr>
      <w:tr w14:paraId="658C6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0F0DCC55">
            <w:pPr>
              <w:widowControl w:val="0"/>
              <w:snapToGrid/>
              <w:spacing w:before="0" w:after="0" w:line="240" w:lineRule="auto"/>
              <w:jc w:val="center"/>
            </w:pPr>
            <w:r>
              <w:rPr>
                <w:rFonts w:ascii="宋体" w:hAnsi="宋体" w:eastAsia="宋体" w:cs="宋体"/>
                <w:i w:val="0"/>
                <w:strike w:val="0"/>
                <w:color w:val="000000"/>
                <w:spacing w:val="0"/>
                <w:sz w:val="18"/>
                <w:u w:val="none"/>
              </w:rPr>
              <w:t>2.7</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374F7008">
            <w:pPr>
              <w:widowControl w:val="0"/>
              <w:snapToGrid/>
              <w:spacing w:before="0" w:after="0" w:line="240" w:lineRule="auto"/>
              <w:jc w:val="center"/>
            </w:pPr>
            <w:r>
              <w:rPr>
                <w:rFonts w:ascii="宋体" w:hAnsi="宋体" w:eastAsia="宋体" w:cs="宋体"/>
                <w:i w:val="0"/>
                <w:strike w:val="0"/>
                <w:color w:val="000000"/>
                <w:spacing w:val="0"/>
                <w:sz w:val="18"/>
                <w:u w:val="none"/>
              </w:rPr>
              <w:t>附件</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01694CD7">
            <w:pPr>
              <w:widowControl w:val="0"/>
              <w:snapToGrid/>
              <w:spacing w:before="0" w:after="0" w:line="240" w:lineRule="auto"/>
              <w:jc w:val="center"/>
            </w:pPr>
            <w:r>
              <w:rPr>
                <w:rFonts w:ascii="宋体" w:hAnsi="宋体" w:eastAsia="宋体" w:cs="宋体"/>
                <w:i w:val="0"/>
                <w:strike w:val="0"/>
                <w:color w:val="000000"/>
                <w:spacing w:val="0"/>
                <w:sz w:val="18"/>
                <w:u w:val="none"/>
              </w:rPr>
              <w:t>59.2</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14:paraId="200C5BBD">
            <w:pPr>
              <w:widowControl w:val="0"/>
              <w:snapToGrid/>
              <w:spacing w:before="0" w:after="0" w:line="240" w:lineRule="auto"/>
              <w:jc w:val="center"/>
            </w:pPr>
            <w:r>
              <w:rPr>
                <w:rFonts w:ascii="宋体" w:hAnsi="宋体" w:eastAsia="宋体" w:cs="宋体"/>
                <w:i w:val="0"/>
                <w:strike w:val="0"/>
                <w:color w:val="000000"/>
                <w:spacing w:val="0"/>
                <w:sz w:val="18"/>
                <w:u w:val="none"/>
              </w:rPr>
              <w:t>个</w:t>
            </w:r>
          </w:p>
        </w:tc>
        <w:tc>
          <w:tcPr>
            <w:tcW w:w="1382" w:type="dxa"/>
            <w:tcBorders>
              <w:top w:val="single" w:color="000000" w:sz="6" w:space="0"/>
              <w:left w:val="single" w:color="000000" w:sz="6" w:space="0"/>
              <w:bottom w:val="single" w:color="000000" w:sz="6" w:space="0"/>
              <w:right w:val="single" w:color="000000" w:sz="6" w:space="0"/>
            </w:tcBorders>
            <w:tcMar>
              <w:bottom w:w="0" w:type="dxa"/>
            </w:tcMar>
            <w:vAlign w:val="center"/>
          </w:tcPr>
          <w:p w14:paraId="0DFB7BFD">
            <w:pPr>
              <w:widowControl w:val="0"/>
              <w:snapToGrid/>
              <w:spacing w:before="0" w:after="0" w:line="240" w:lineRule="auto"/>
              <w:jc w:val="center"/>
            </w:pPr>
            <w:r>
              <w:rPr>
                <w:rFonts w:ascii="宋体" w:hAnsi="宋体" w:eastAsia="宋体" w:cs="宋体"/>
                <w:i w:val="0"/>
                <w:strike w:val="0"/>
                <w:color w:val="000000"/>
                <w:spacing w:val="0"/>
                <w:sz w:val="18"/>
                <w:u w:val="none"/>
              </w:rPr>
              <w:t>7.4</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5FADAE6F">
            <w:pPr>
              <w:widowControl w:val="0"/>
              <w:snapToGrid/>
              <w:spacing w:before="0" w:after="0" w:line="240" w:lineRule="auto"/>
              <w:jc w:val="center"/>
            </w:pPr>
            <w:r>
              <w:rPr>
                <w:rFonts w:ascii="宋体" w:hAnsi="宋体" w:eastAsia="宋体" w:cs="宋体"/>
                <w:i w:val="0"/>
                <w:strike w:val="0"/>
                <w:color w:val="000000"/>
                <w:spacing w:val="0"/>
                <w:sz w:val="18"/>
                <w:u w:val="none"/>
              </w:rPr>
              <w:t xml:space="preserve">8.00 </w:t>
            </w:r>
          </w:p>
        </w:tc>
      </w:tr>
      <w:tr w14:paraId="54EBD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2C4035FD">
            <w:pPr>
              <w:widowControl w:val="0"/>
              <w:snapToGrid/>
              <w:spacing w:before="0" w:after="0" w:line="240" w:lineRule="auto"/>
              <w:jc w:val="center"/>
            </w:pPr>
            <w:r>
              <w:rPr>
                <w:rFonts w:ascii="宋体" w:hAnsi="宋体" w:eastAsia="宋体" w:cs="宋体"/>
                <w:i w:val="0"/>
                <w:strike w:val="0"/>
                <w:color w:val="000000"/>
                <w:spacing w:val="0"/>
                <w:sz w:val="18"/>
                <w:u w:val="none"/>
              </w:rPr>
              <w:t>2.8</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70C7BDAF">
            <w:pPr>
              <w:widowControl w:val="0"/>
              <w:snapToGrid/>
              <w:spacing w:before="0" w:after="0" w:line="240" w:lineRule="auto"/>
              <w:jc w:val="center"/>
            </w:pPr>
            <w:r>
              <w:rPr>
                <w:rFonts w:ascii="宋体" w:hAnsi="宋体" w:eastAsia="宋体" w:cs="宋体"/>
                <w:i w:val="0"/>
                <w:strike w:val="0"/>
                <w:color w:val="000000"/>
                <w:spacing w:val="0"/>
                <w:sz w:val="18"/>
                <w:u w:val="none"/>
              </w:rPr>
              <w:t>储能箱基础及连接电缆</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59F98540">
            <w:pPr>
              <w:widowControl w:val="0"/>
              <w:snapToGrid/>
              <w:spacing w:before="0" w:after="0" w:line="240" w:lineRule="auto"/>
              <w:jc w:val="center"/>
            </w:pPr>
            <w:r>
              <w:rPr>
                <w:rFonts w:ascii="宋体" w:hAnsi="宋体" w:eastAsia="宋体" w:cs="宋体"/>
                <w:i w:val="0"/>
                <w:strike w:val="0"/>
                <w:color w:val="000000"/>
                <w:spacing w:val="0"/>
                <w:sz w:val="18"/>
                <w:u w:val="none"/>
              </w:rPr>
              <w:t>130</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14:paraId="1826B2EF">
            <w:pPr>
              <w:widowControl w:val="0"/>
              <w:snapToGrid/>
              <w:spacing w:before="0" w:after="0" w:line="240" w:lineRule="auto"/>
              <w:jc w:val="center"/>
            </w:pPr>
            <w:r>
              <w:rPr>
                <w:rFonts w:ascii="宋体" w:hAnsi="宋体" w:eastAsia="宋体" w:cs="宋体"/>
                <w:i w:val="0"/>
                <w:strike w:val="0"/>
                <w:color w:val="000000"/>
                <w:spacing w:val="0"/>
                <w:sz w:val="18"/>
                <w:u w:val="none"/>
              </w:rPr>
              <w:t>个</w:t>
            </w:r>
          </w:p>
        </w:tc>
        <w:tc>
          <w:tcPr>
            <w:tcW w:w="1382" w:type="dxa"/>
            <w:tcBorders>
              <w:top w:val="single" w:color="000000" w:sz="6" w:space="0"/>
              <w:left w:val="single" w:color="000000" w:sz="6" w:space="0"/>
              <w:bottom w:val="single" w:color="000000" w:sz="6" w:space="0"/>
              <w:right w:val="single" w:color="000000" w:sz="6" w:space="0"/>
            </w:tcBorders>
            <w:tcMar>
              <w:bottom w:w="0" w:type="dxa"/>
            </w:tcMar>
            <w:vAlign w:val="center"/>
          </w:tcPr>
          <w:p w14:paraId="326FFF49">
            <w:pPr>
              <w:widowControl w:val="0"/>
              <w:snapToGrid/>
              <w:spacing w:before="0" w:after="0" w:line="240" w:lineRule="auto"/>
              <w:jc w:val="center"/>
            </w:pPr>
            <w:r>
              <w:rPr>
                <w:rFonts w:ascii="宋体" w:hAnsi="宋体" w:eastAsia="宋体" w:cs="宋体"/>
                <w:i w:val="0"/>
                <w:strike w:val="0"/>
                <w:color w:val="000000"/>
                <w:spacing w:val="0"/>
                <w:sz w:val="18"/>
                <w:u w:val="none"/>
              </w:rPr>
              <w:t>7.4</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4EB37394">
            <w:pPr>
              <w:widowControl w:val="0"/>
              <w:snapToGrid/>
              <w:spacing w:before="0" w:after="0" w:line="240" w:lineRule="auto"/>
              <w:jc w:val="center"/>
            </w:pPr>
            <w:r>
              <w:rPr>
                <w:rFonts w:ascii="宋体" w:hAnsi="宋体" w:eastAsia="宋体" w:cs="宋体"/>
                <w:i w:val="0"/>
                <w:strike w:val="0"/>
                <w:color w:val="000000"/>
                <w:spacing w:val="0"/>
                <w:sz w:val="18"/>
                <w:u w:val="none"/>
              </w:rPr>
              <w:t xml:space="preserve">25.00 </w:t>
            </w:r>
          </w:p>
        </w:tc>
      </w:tr>
      <w:tr w14:paraId="301B7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5E2618E8">
            <w:pPr>
              <w:widowControl w:val="0"/>
              <w:snapToGrid/>
              <w:spacing w:before="0" w:after="0" w:line="240" w:lineRule="auto"/>
              <w:jc w:val="center"/>
            </w:pPr>
            <w:r>
              <w:rPr>
                <w:rFonts w:ascii="宋体" w:hAnsi="宋体" w:eastAsia="宋体" w:cs="宋体"/>
                <w:i w:val="0"/>
                <w:strike w:val="0"/>
                <w:color w:val="000000"/>
                <w:spacing w:val="0"/>
                <w:sz w:val="18"/>
                <w:u w:val="none"/>
              </w:rPr>
              <w:t>2.9</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460C5B03">
            <w:pPr>
              <w:widowControl w:val="0"/>
              <w:snapToGrid/>
              <w:spacing w:before="0" w:after="0" w:line="240" w:lineRule="auto"/>
              <w:jc w:val="center"/>
            </w:pPr>
            <w:r>
              <w:rPr>
                <w:rFonts w:ascii="宋体" w:hAnsi="宋体" w:eastAsia="宋体" w:cs="宋体"/>
                <w:i w:val="0"/>
                <w:strike w:val="0"/>
                <w:color w:val="000000"/>
                <w:spacing w:val="0"/>
                <w:sz w:val="18"/>
                <w:u w:val="none"/>
              </w:rPr>
              <w:t>15KWH换电系统(3000KWH)</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4A565326">
            <w:pPr>
              <w:widowControl w:val="0"/>
              <w:snapToGrid/>
              <w:spacing w:before="0" w:after="0" w:line="240" w:lineRule="auto"/>
              <w:jc w:val="center"/>
            </w:pPr>
            <w:r>
              <w:rPr>
                <w:rFonts w:ascii="宋体" w:hAnsi="宋体" w:eastAsia="宋体" w:cs="宋体"/>
                <w:i w:val="0"/>
                <w:strike w:val="0"/>
                <w:color w:val="000000"/>
                <w:spacing w:val="0"/>
                <w:sz w:val="18"/>
                <w:u w:val="none"/>
              </w:rPr>
              <w:t>600</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14:paraId="5FFCFF45">
            <w:pPr>
              <w:widowControl w:val="0"/>
              <w:snapToGrid/>
              <w:spacing w:before="0" w:after="0" w:line="240" w:lineRule="auto"/>
              <w:jc w:val="center"/>
            </w:pPr>
            <w:r>
              <w:rPr>
                <w:rFonts w:ascii="宋体" w:hAnsi="宋体" w:eastAsia="宋体" w:cs="宋体"/>
                <w:i w:val="0"/>
                <w:strike w:val="0"/>
                <w:color w:val="000000"/>
                <w:spacing w:val="0"/>
                <w:sz w:val="18"/>
                <w:u w:val="none"/>
              </w:rPr>
              <w:t>个</w:t>
            </w:r>
          </w:p>
        </w:tc>
        <w:tc>
          <w:tcPr>
            <w:tcW w:w="1382" w:type="dxa"/>
            <w:tcBorders>
              <w:top w:val="single" w:color="000000" w:sz="6" w:space="0"/>
              <w:left w:val="single" w:color="000000" w:sz="6" w:space="0"/>
              <w:bottom w:val="single" w:color="000000" w:sz="6" w:space="0"/>
              <w:right w:val="single" w:color="000000" w:sz="6" w:space="0"/>
            </w:tcBorders>
            <w:tcMar>
              <w:bottom w:w="0" w:type="dxa"/>
            </w:tcMar>
            <w:vAlign w:val="center"/>
          </w:tcPr>
          <w:p w14:paraId="1093A8BF">
            <w:pPr>
              <w:widowControl w:val="0"/>
              <w:snapToGrid/>
              <w:spacing w:before="0" w:after="0" w:line="240" w:lineRule="auto"/>
              <w:jc w:val="center"/>
            </w:pPr>
            <w:r>
              <w:rPr>
                <w:rFonts w:ascii="宋体" w:hAnsi="宋体" w:eastAsia="宋体" w:cs="宋体"/>
                <w:i w:val="0"/>
                <w:strike w:val="0"/>
                <w:color w:val="000000"/>
                <w:spacing w:val="0"/>
                <w:sz w:val="18"/>
                <w:u w:val="none"/>
              </w:rPr>
              <w:t>200</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363E4A89">
            <w:pPr>
              <w:widowControl w:val="0"/>
              <w:snapToGrid/>
              <w:spacing w:before="0" w:after="0" w:line="240" w:lineRule="auto"/>
              <w:jc w:val="center"/>
            </w:pPr>
            <w:r>
              <w:rPr>
                <w:rFonts w:ascii="宋体" w:hAnsi="宋体" w:eastAsia="宋体" w:cs="宋体"/>
                <w:i w:val="0"/>
                <w:strike w:val="0"/>
                <w:color w:val="000000"/>
                <w:spacing w:val="0"/>
                <w:sz w:val="18"/>
                <w:u w:val="none"/>
              </w:rPr>
              <w:t xml:space="preserve">3.00 </w:t>
            </w:r>
          </w:p>
        </w:tc>
      </w:tr>
      <w:tr w14:paraId="12B3B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4D5F0734">
            <w:pPr>
              <w:widowControl w:val="0"/>
              <w:snapToGrid/>
              <w:spacing w:before="0" w:after="0" w:line="240" w:lineRule="auto"/>
              <w:jc w:val="center"/>
            </w:pPr>
            <w:r>
              <w:rPr>
                <w:rFonts w:ascii="宋体" w:hAnsi="宋体" w:eastAsia="宋体" w:cs="宋体"/>
                <w:b/>
                <w:i w:val="0"/>
                <w:strike w:val="0"/>
                <w:color w:val="000000"/>
                <w:spacing w:val="0"/>
                <w:sz w:val="18"/>
                <w:u w:val="none"/>
              </w:rPr>
              <w:t>3</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136928B6">
            <w:pPr>
              <w:widowControl w:val="0"/>
              <w:snapToGrid/>
              <w:spacing w:before="0" w:after="0" w:line="240" w:lineRule="auto"/>
              <w:jc w:val="center"/>
            </w:pPr>
            <w:r>
              <w:rPr>
                <w:rFonts w:ascii="宋体" w:hAnsi="宋体" w:eastAsia="宋体" w:cs="宋体"/>
                <w:b/>
                <w:i w:val="0"/>
                <w:strike w:val="0"/>
                <w:color w:val="000000"/>
                <w:spacing w:val="0"/>
                <w:sz w:val="18"/>
                <w:u w:val="none"/>
              </w:rPr>
              <w:t>园区配套工程</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42351CC3">
            <w:pPr>
              <w:widowControl w:val="0"/>
              <w:snapToGrid/>
              <w:spacing w:before="0" w:after="0" w:line="240" w:lineRule="auto"/>
              <w:jc w:val="center"/>
            </w:pPr>
            <w:r>
              <w:rPr>
                <w:rFonts w:ascii="宋体" w:hAnsi="宋体" w:eastAsia="宋体" w:cs="宋体"/>
                <w:b/>
                <w:i w:val="0"/>
                <w:strike w:val="0"/>
                <w:color w:val="000000"/>
                <w:spacing w:val="0"/>
                <w:sz w:val="18"/>
                <w:u w:val="none"/>
              </w:rPr>
              <w:t xml:space="preserve">1094.22 </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14:paraId="06EFCAD3">
            <w:pPr>
              <w:widowControl w:val="0"/>
              <w:snapToGrid/>
              <w:spacing w:before="0" w:after="0" w:line="240" w:lineRule="auto"/>
              <w:jc w:val="center"/>
            </w:pPr>
            <w:r>
              <w:rPr>
                <w:rFonts w:ascii="宋体" w:hAnsi="宋体" w:eastAsia="宋体" w:cs="宋体"/>
                <w:i w:val="0"/>
                <w:strike w:val="0"/>
                <w:color w:val="000000"/>
                <w:spacing w:val="0"/>
                <w:sz w:val="18"/>
                <w:u w:val="none"/>
              </w:rPr>
              <w:t>㎡</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21AB3684">
            <w:pPr>
              <w:widowControl w:val="0"/>
              <w:snapToGrid/>
              <w:spacing w:before="0" w:after="0" w:line="240" w:lineRule="auto"/>
              <w:jc w:val="center"/>
            </w:pPr>
            <w:r>
              <w:rPr>
                <w:rFonts w:ascii="宋体" w:hAnsi="宋体" w:eastAsia="宋体" w:cs="宋体"/>
                <w:i w:val="0"/>
                <w:strike w:val="0"/>
                <w:color w:val="000000"/>
                <w:spacing w:val="0"/>
                <w:sz w:val="18"/>
                <w:u w:val="none"/>
              </w:rPr>
              <w:t>5551.3</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7380F20B">
            <w:pPr>
              <w:widowControl w:val="0"/>
              <w:snapToGrid/>
              <w:spacing w:before="0" w:after="0" w:line="240" w:lineRule="auto"/>
              <w:jc w:val="center"/>
            </w:pPr>
            <w:r>
              <w:rPr>
                <w:rFonts w:ascii="宋体" w:hAnsi="宋体" w:eastAsia="宋体" w:cs="宋体"/>
                <w:i w:val="0"/>
                <w:strike w:val="0"/>
                <w:color w:val="000000"/>
                <w:spacing w:val="0"/>
                <w:sz w:val="18"/>
                <w:u w:val="none"/>
              </w:rPr>
              <w:t>0.227</w:t>
            </w:r>
          </w:p>
        </w:tc>
      </w:tr>
      <w:tr w14:paraId="7EF66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2FD69E11">
            <w:pPr>
              <w:widowControl w:val="0"/>
              <w:snapToGrid/>
              <w:spacing w:before="0" w:after="0" w:line="240" w:lineRule="auto"/>
              <w:jc w:val="center"/>
            </w:pPr>
            <w:r>
              <w:rPr>
                <w:rFonts w:ascii="宋体" w:hAnsi="宋体" w:eastAsia="宋体" w:cs="宋体"/>
                <w:i w:val="0"/>
                <w:strike w:val="0"/>
                <w:color w:val="000000"/>
                <w:spacing w:val="0"/>
                <w:sz w:val="18"/>
                <w:u w:val="none"/>
              </w:rPr>
              <w:t>3.1</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3502594F">
            <w:pPr>
              <w:widowControl w:val="0"/>
              <w:snapToGrid/>
              <w:spacing w:before="0" w:after="0" w:line="240" w:lineRule="auto"/>
              <w:jc w:val="center"/>
            </w:pPr>
            <w:r>
              <w:rPr>
                <w:rFonts w:ascii="宋体" w:hAnsi="宋体" w:eastAsia="宋体" w:cs="宋体"/>
                <w:i w:val="0"/>
                <w:strike w:val="0"/>
                <w:color w:val="000000"/>
                <w:spacing w:val="0"/>
                <w:sz w:val="18"/>
                <w:u w:val="none"/>
              </w:rPr>
              <w:t>升压/降压变压器</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39B51A7E">
            <w:pPr>
              <w:widowControl w:val="0"/>
              <w:snapToGrid/>
              <w:spacing w:before="0" w:after="0" w:line="240" w:lineRule="auto"/>
              <w:jc w:val="center"/>
            </w:pPr>
            <w:r>
              <w:rPr>
                <w:rFonts w:ascii="宋体" w:hAnsi="宋体" w:eastAsia="宋体" w:cs="宋体"/>
                <w:i w:val="0"/>
                <w:strike w:val="0"/>
                <w:color w:val="000000"/>
                <w:spacing w:val="0"/>
                <w:sz w:val="18"/>
                <w:u w:val="none"/>
              </w:rPr>
              <w:t>80</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14:paraId="7DD3BD5F">
            <w:pPr>
              <w:widowControl w:val="0"/>
              <w:snapToGrid/>
              <w:spacing w:before="0" w:after="0" w:line="240" w:lineRule="auto"/>
              <w:jc w:val="center"/>
            </w:pPr>
            <w:r>
              <w:rPr>
                <w:rFonts w:ascii="宋体" w:hAnsi="宋体" w:eastAsia="宋体" w:cs="宋体"/>
                <w:i w:val="0"/>
                <w:strike w:val="0"/>
                <w:color w:val="000000"/>
                <w:spacing w:val="0"/>
                <w:sz w:val="18"/>
                <w:u w:val="none"/>
              </w:rPr>
              <w:t>台</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3735FCC0">
            <w:pPr>
              <w:widowControl w:val="0"/>
              <w:snapToGrid/>
              <w:spacing w:before="0" w:after="0" w:line="240" w:lineRule="auto"/>
              <w:jc w:val="center"/>
            </w:pPr>
            <w:r>
              <w:rPr>
                <w:rFonts w:ascii="宋体" w:hAnsi="宋体" w:eastAsia="宋体" w:cs="宋体"/>
                <w:i w:val="0"/>
                <w:strike w:val="0"/>
                <w:color w:val="000000"/>
                <w:spacing w:val="0"/>
                <w:sz w:val="18"/>
                <w:u w:val="none"/>
              </w:rPr>
              <w:t>2</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2E316FD3">
            <w:pPr>
              <w:widowControl w:val="0"/>
              <w:snapToGrid/>
              <w:spacing w:before="0" w:after="0" w:line="240" w:lineRule="auto"/>
              <w:jc w:val="center"/>
            </w:pPr>
            <w:r>
              <w:rPr>
                <w:rFonts w:ascii="宋体" w:hAnsi="宋体" w:eastAsia="宋体" w:cs="宋体"/>
                <w:i w:val="0"/>
                <w:strike w:val="0"/>
                <w:color w:val="000000"/>
                <w:spacing w:val="0"/>
                <w:sz w:val="18"/>
                <w:u w:val="none"/>
              </w:rPr>
              <w:t>40</w:t>
            </w:r>
          </w:p>
        </w:tc>
      </w:tr>
      <w:tr w14:paraId="03644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25A6DF09">
            <w:pPr>
              <w:widowControl w:val="0"/>
              <w:snapToGrid/>
              <w:spacing w:before="0" w:after="0" w:line="240" w:lineRule="auto"/>
              <w:jc w:val="center"/>
            </w:pPr>
            <w:r>
              <w:rPr>
                <w:rFonts w:ascii="宋体" w:hAnsi="宋体" w:eastAsia="宋体" w:cs="宋体"/>
                <w:i w:val="0"/>
                <w:strike w:val="0"/>
                <w:color w:val="000000"/>
                <w:spacing w:val="0"/>
                <w:sz w:val="18"/>
                <w:u w:val="none"/>
              </w:rPr>
              <w:t>3.2</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1651EB4A">
            <w:pPr>
              <w:widowControl w:val="0"/>
              <w:snapToGrid/>
              <w:spacing w:before="0" w:after="0" w:line="240" w:lineRule="auto"/>
              <w:jc w:val="center"/>
            </w:pPr>
            <w:r>
              <w:rPr>
                <w:rFonts w:ascii="宋体" w:hAnsi="宋体" w:eastAsia="宋体" w:cs="宋体"/>
                <w:i w:val="0"/>
                <w:strike w:val="0"/>
                <w:color w:val="000000"/>
                <w:spacing w:val="0"/>
                <w:sz w:val="18"/>
                <w:u w:val="none"/>
              </w:rPr>
              <w:t>中压输电电缆</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3A1703D3">
            <w:pPr>
              <w:widowControl w:val="0"/>
              <w:snapToGrid/>
              <w:spacing w:before="0" w:after="0" w:line="240" w:lineRule="auto"/>
              <w:jc w:val="center"/>
            </w:pPr>
            <w:r>
              <w:rPr>
                <w:rFonts w:ascii="宋体" w:hAnsi="宋体" w:eastAsia="宋体" w:cs="宋体"/>
                <w:i w:val="0"/>
                <w:strike w:val="0"/>
                <w:color w:val="000000"/>
                <w:spacing w:val="0"/>
                <w:sz w:val="18"/>
                <w:u w:val="none"/>
              </w:rPr>
              <w:t>150</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14:paraId="2D9179FC">
            <w:pPr>
              <w:widowControl w:val="0"/>
              <w:snapToGrid/>
              <w:spacing w:before="0" w:after="0" w:line="240" w:lineRule="auto"/>
              <w:jc w:val="center"/>
            </w:pPr>
            <w:r>
              <w:rPr>
                <w:rFonts w:ascii="宋体" w:hAnsi="宋体" w:eastAsia="宋体" w:cs="宋体"/>
                <w:i w:val="0"/>
                <w:strike w:val="0"/>
                <w:color w:val="000000"/>
                <w:spacing w:val="0"/>
                <w:sz w:val="18"/>
                <w:u w:val="none"/>
              </w:rPr>
              <w:t>m</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0C184F2B">
            <w:pPr>
              <w:widowControl w:val="0"/>
              <w:snapToGrid/>
              <w:spacing w:before="0" w:after="0" w:line="240" w:lineRule="auto"/>
              <w:jc w:val="center"/>
            </w:pPr>
            <w:r>
              <w:rPr>
                <w:rFonts w:ascii="宋体" w:hAnsi="宋体" w:eastAsia="宋体" w:cs="宋体"/>
                <w:i w:val="0"/>
                <w:strike w:val="0"/>
                <w:color w:val="000000"/>
                <w:spacing w:val="0"/>
                <w:sz w:val="18"/>
                <w:u w:val="none"/>
              </w:rPr>
              <w:t>3000</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6F13F748">
            <w:pPr>
              <w:widowControl w:val="0"/>
              <w:snapToGrid/>
              <w:spacing w:before="0" w:after="0" w:line="240" w:lineRule="auto"/>
              <w:jc w:val="center"/>
            </w:pPr>
            <w:r>
              <w:rPr>
                <w:rFonts w:ascii="宋体" w:hAnsi="宋体" w:eastAsia="宋体" w:cs="宋体"/>
                <w:i w:val="0"/>
                <w:strike w:val="0"/>
                <w:color w:val="000000"/>
                <w:spacing w:val="0"/>
                <w:sz w:val="18"/>
                <w:u w:val="none"/>
              </w:rPr>
              <w:t>0.05</w:t>
            </w:r>
          </w:p>
        </w:tc>
      </w:tr>
      <w:tr w14:paraId="70989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28AC93FD">
            <w:pPr>
              <w:widowControl w:val="0"/>
              <w:snapToGrid/>
              <w:spacing w:before="0" w:after="0" w:line="240" w:lineRule="auto"/>
              <w:jc w:val="center"/>
            </w:pPr>
            <w:r>
              <w:rPr>
                <w:rFonts w:ascii="宋体" w:hAnsi="宋体" w:eastAsia="宋体" w:cs="宋体"/>
                <w:i w:val="0"/>
                <w:strike w:val="0"/>
                <w:color w:val="000000"/>
                <w:spacing w:val="0"/>
                <w:sz w:val="18"/>
                <w:u w:val="none"/>
              </w:rPr>
              <w:t>3.3</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0727FDB9">
            <w:pPr>
              <w:widowControl w:val="0"/>
              <w:snapToGrid/>
              <w:spacing w:before="0" w:after="0" w:line="240" w:lineRule="auto"/>
              <w:jc w:val="center"/>
            </w:pPr>
            <w:r>
              <w:rPr>
                <w:rFonts w:ascii="宋体" w:hAnsi="宋体" w:eastAsia="宋体" w:cs="宋体"/>
                <w:i w:val="0"/>
                <w:strike w:val="0"/>
                <w:color w:val="000000"/>
                <w:spacing w:val="0"/>
                <w:sz w:val="18"/>
                <w:u w:val="none"/>
              </w:rPr>
              <w:t>绿化等相关配套工程</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123D9036">
            <w:pPr>
              <w:widowControl w:val="0"/>
              <w:snapToGrid/>
              <w:spacing w:before="0" w:after="0" w:line="240" w:lineRule="auto"/>
              <w:jc w:val="center"/>
            </w:pPr>
            <w:r>
              <w:rPr>
                <w:rFonts w:ascii="宋体" w:hAnsi="宋体" w:eastAsia="宋体" w:cs="宋体"/>
                <w:i w:val="0"/>
                <w:strike w:val="0"/>
                <w:color w:val="000000"/>
                <w:spacing w:val="0"/>
                <w:sz w:val="18"/>
                <w:u w:val="none"/>
              </w:rPr>
              <w:t xml:space="preserve">41.84 </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14:paraId="16C9A4B4">
            <w:pPr>
              <w:widowControl w:val="0"/>
              <w:snapToGrid/>
              <w:spacing w:before="0" w:after="0" w:line="240" w:lineRule="auto"/>
              <w:jc w:val="center"/>
            </w:pPr>
            <w:r>
              <w:rPr>
                <w:rFonts w:ascii="宋体" w:hAnsi="宋体" w:eastAsia="宋体" w:cs="宋体"/>
                <w:i w:val="0"/>
                <w:strike w:val="0"/>
                <w:color w:val="000000"/>
                <w:spacing w:val="0"/>
                <w:sz w:val="18"/>
                <w:u w:val="none"/>
              </w:rPr>
              <w:t>㎡</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1CB40C96">
            <w:pPr>
              <w:widowControl w:val="0"/>
              <w:snapToGrid/>
              <w:spacing w:before="0" w:after="0" w:line="240" w:lineRule="auto"/>
              <w:jc w:val="center"/>
            </w:pPr>
            <w:r>
              <w:rPr>
                <w:rFonts w:ascii="宋体" w:hAnsi="宋体" w:eastAsia="宋体" w:cs="宋体"/>
                <w:i w:val="0"/>
                <w:strike w:val="0"/>
                <w:color w:val="000000"/>
                <w:spacing w:val="0"/>
                <w:sz w:val="18"/>
                <w:u w:val="none"/>
              </w:rPr>
              <w:t>132</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0F5D5F33">
            <w:pPr>
              <w:widowControl w:val="0"/>
              <w:snapToGrid/>
              <w:spacing w:before="0" w:after="0" w:line="240" w:lineRule="auto"/>
              <w:jc w:val="center"/>
            </w:pPr>
            <w:r>
              <w:rPr>
                <w:rFonts w:ascii="宋体" w:hAnsi="宋体" w:eastAsia="宋体" w:cs="宋体"/>
                <w:i w:val="0"/>
                <w:strike w:val="0"/>
                <w:color w:val="000000"/>
                <w:spacing w:val="0"/>
                <w:sz w:val="18"/>
                <w:u w:val="none"/>
              </w:rPr>
              <w:t>0.317</w:t>
            </w:r>
          </w:p>
        </w:tc>
      </w:tr>
      <w:tr w14:paraId="00687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0E9C374D">
            <w:pPr>
              <w:widowControl w:val="0"/>
              <w:snapToGrid/>
              <w:spacing w:before="0" w:after="0" w:line="240" w:lineRule="auto"/>
              <w:jc w:val="center"/>
            </w:pPr>
            <w:r>
              <w:rPr>
                <w:rFonts w:ascii="宋体" w:hAnsi="宋体" w:eastAsia="宋体" w:cs="宋体"/>
                <w:i w:val="0"/>
                <w:strike w:val="0"/>
                <w:color w:val="000000"/>
                <w:spacing w:val="0"/>
                <w:sz w:val="18"/>
                <w:u w:val="none"/>
              </w:rPr>
              <w:t>3.4</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299E621F">
            <w:pPr>
              <w:widowControl w:val="0"/>
              <w:snapToGrid/>
              <w:spacing w:before="0" w:after="0" w:line="240" w:lineRule="auto"/>
              <w:jc w:val="center"/>
            </w:pPr>
            <w:r>
              <w:rPr>
                <w:rFonts w:ascii="宋体" w:hAnsi="宋体" w:eastAsia="宋体" w:cs="宋体"/>
                <w:i w:val="0"/>
                <w:strike w:val="0"/>
                <w:color w:val="000000"/>
                <w:spacing w:val="0"/>
                <w:sz w:val="18"/>
                <w:u w:val="none"/>
              </w:rPr>
              <w:t>10kv储能变电站</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0475AC5E">
            <w:pPr>
              <w:widowControl w:val="0"/>
              <w:snapToGrid/>
              <w:spacing w:before="0" w:after="0" w:line="240" w:lineRule="auto"/>
              <w:jc w:val="center"/>
            </w:pPr>
            <w:r>
              <w:rPr>
                <w:rFonts w:ascii="宋体" w:hAnsi="宋体" w:eastAsia="宋体" w:cs="宋体"/>
                <w:i w:val="0"/>
                <w:strike w:val="0"/>
                <w:color w:val="000000"/>
                <w:spacing w:val="0"/>
                <w:sz w:val="18"/>
                <w:u w:val="none"/>
              </w:rPr>
              <w:t xml:space="preserve">247.38 </w:t>
            </w:r>
          </w:p>
        </w:tc>
        <w:tc>
          <w:tcPr>
            <w:tcW w:w="82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3895DA1C">
            <w:pPr>
              <w:widowControl w:val="0"/>
              <w:snapToGrid/>
              <w:spacing w:before="0" w:after="0" w:line="240" w:lineRule="auto"/>
              <w:jc w:val="center"/>
            </w:pPr>
            <w:r>
              <w:rPr>
                <w:rFonts w:ascii="宋体" w:hAnsi="宋体" w:eastAsia="宋体" w:cs="宋体"/>
                <w:i w:val="0"/>
                <w:strike w:val="0"/>
                <w:color w:val="000000"/>
                <w:spacing w:val="0"/>
                <w:sz w:val="18"/>
                <w:u w:val="none"/>
              </w:rPr>
              <w:t>㎡</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762F1E18">
            <w:pPr>
              <w:widowControl w:val="0"/>
              <w:snapToGrid/>
              <w:spacing w:before="0" w:after="0" w:line="240" w:lineRule="auto"/>
              <w:jc w:val="center"/>
            </w:pPr>
            <w:r>
              <w:rPr>
                <w:rFonts w:ascii="宋体" w:hAnsi="宋体" w:eastAsia="宋体" w:cs="宋体"/>
                <w:i w:val="0"/>
                <w:strike w:val="0"/>
                <w:color w:val="000000"/>
                <w:spacing w:val="0"/>
                <w:sz w:val="18"/>
                <w:u w:val="none"/>
              </w:rPr>
              <w:t>179</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169D3FE2">
            <w:pPr>
              <w:widowControl w:val="0"/>
              <w:snapToGrid/>
              <w:spacing w:before="0" w:after="0" w:line="240" w:lineRule="auto"/>
              <w:jc w:val="center"/>
            </w:pPr>
            <w:r>
              <w:rPr>
                <w:rFonts w:ascii="宋体" w:hAnsi="宋体" w:eastAsia="宋体" w:cs="宋体"/>
                <w:i w:val="0"/>
                <w:strike w:val="0"/>
                <w:color w:val="000000"/>
                <w:spacing w:val="0"/>
                <w:sz w:val="18"/>
                <w:u w:val="none"/>
              </w:rPr>
              <w:t>1.382</w:t>
            </w:r>
          </w:p>
        </w:tc>
      </w:tr>
      <w:tr w14:paraId="03C0E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0DE91FFC">
            <w:pPr>
              <w:widowControl w:val="0"/>
              <w:snapToGrid/>
              <w:spacing w:before="0" w:after="0" w:line="240" w:lineRule="auto"/>
              <w:jc w:val="center"/>
            </w:pPr>
            <w:r>
              <w:rPr>
                <w:rFonts w:ascii="宋体" w:hAnsi="宋体" w:eastAsia="宋体" w:cs="宋体"/>
                <w:i w:val="0"/>
                <w:strike w:val="0"/>
                <w:color w:val="000000"/>
                <w:spacing w:val="0"/>
                <w:sz w:val="18"/>
                <w:u w:val="none"/>
              </w:rPr>
              <w:t>3.5</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113C1C9E">
            <w:pPr>
              <w:widowControl w:val="0"/>
              <w:snapToGrid/>
              <w:spacing w:before="0" w:after="0" w:line="240" w:lineRule="auto"/>
              <w:jc w:val="center"/>
            </w:pPr>
            <w:r>
              <w:rPr>
                <w:rFonts w:ascii="宋体" w:hAnsi="宋体" w:eastAsia="宋体" w:cs="宋体"/>
                <w:i w:val="0"/>
                <w:strike w:val="0"/>
                <w:color w:val="000000"/>
                <w:spacing w:val="0"/>
                <w:sz w:val="18"/>
                <w:u w:val="none"/>
              </w:rPr>
              <w:t>中心配电室变压器2000KVA</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0EDAA9A9">
            <w:pPr>
              <w:widowControl w:val="0"/>
              <w:snapToGrid/>
              <w:spacing w:before="0" w:after="0" w:line="240" w:lineRule="auto"/>
              <w:jc w:val="center"/>
            </w:pPr>
            <w:r>
              <w:rPr>
                <w:rFonts w:ascii="宋体" w:hAnsi="宋体" w:eastAsia="宋体" w:cs="宋体"/>
                <w:i w:val="0"/>
                <w:strike w:val="0"/>
                <w:color w:val="000000"/>
                <w:spacing w:val="0"/>
                <w:sz w:val="18"/>
                <w:u w:val="none"/>
              </w:rPr>
              <w:t>25</w:t>
            </w:r>
          </w:p>
        </w:tc>
        <w:tc>
          <w:tcPr>
            <w:tcW w:w="82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2927394C">
            <w:pPr>
              <w:widowControl w:val="0"/>
              <w:snapToGrid/>
              <w:spacing w:before="0" w:after="0" w:line="240" w:lineRule="auto"/>
              <w:jc w:val="center"/>
            </w:pPr>
            <w:r>
              <w:rPr>
                <w:rFonts w:ascii="宋体" w:hAnsi="宋体" w:eastAsia="宋体" w:cs="宋体"/>
                <w:i w:val="0"/>
                <w:strike w:val="0"/>
                <w:color w:val="000000"/>
                <w:spacing w:val="0"/>
                <w:sz w:val="18"/>
                <w:u w:val="none"/>
              </w:rPr>
              <w:t>台</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3E718DFC">
            <w:pPr>
              <w:widowControl w:val="0"/>
              <w:snapToGrid/>
              <w:spacing w:before="0" w:after="0" w:line="240" w:lineRule="auto"/>
              <w:jc w:val="center"/>
            </w:pPr>
            <w:r>
              <w:rPr>
                <w:rFonts w:ascii="宋体" w:hAnsi="宋体" w:eastAsia="宋体" w:cs="宋体"/>
                <w:i w:val="0"/>
                <w:strike w:val="0"/>
                <w:color w:val="000000"/>
                <w:spacing w:val="0"/>
                <w:sz w:val="18"/>
                <w:u w:val="none"/>
              </w:rPr>
              <w:t>1</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67973153">
            <w:pPr>
              <w:widowControl w:val="0"/>
              <w:snapToGrid/>
              <w:spacing w:before="0" w:after="0" w:line="240" w:lineRule="auto"/>
              <w:jc w:val="center"/>
            </w:pPr>
            <w:r>
              <w:rPr>
                <w:rFonts w:ascii="宋体" w:hAnsi="宋体" w:eastAsia="宋体" w:cs="宋体"/>
                <w:i w:val="0"/>
                <w:strike w:val="0"/>
                <w:color w:val="000000"/>
                <w:spacing w:val="0"/>
                <w:sz w:val="18"/>
                <w:u w:val="none"/>
              </w:rPr>
              <w:t>25</w:t>
            </w:r>
          </w:p>
        </w:tc>
      </w:tr>
      <w:tr w14:paraId="0CB3A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669FF45E">
            <w:pPr>
              <w:widowControl w:val="0"/>
              <w:snapToGrid/>
              <w:spacing w:before="0" w:after="0" w:line="240" w:lineRule="auto"/>
              <w:jc w:val="center"/>
            </w:pPr>
            <w:r>
              <w:rPr>
                <w:rFonts w:ascii="宋体" w:hAnsi="宋体" w:eastAsia="宋体" w:cs="宋体"/>
                <w:i w:val="0"/>
                <w:strike w:val="0"/>
                <w:color w:val="000000"/>
                <w:spacing w:val="0"/>
                <w:sz w:val="18"/>
                <w:u w:val="none"/>
              </w:rPr>
              <w:t>3.6</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679FA17B">
            <w:pPr>
              <w:widowControl w:val="0"/>
              <w:snapToGrid/>
              <w:spacing w:before="0" w:after="0" w:line="240" w:lineRule="auto"/>
              <w:jc w:val="center"/>
            </w:pPr>
            <w:r>
              <w:rPr>
                <w:rFonts w:ascii="宋体" w:hAnsi="宋体" w:eastAsia="宋体" w:cs="宋体"/>
                <w:i w:val="0"/>
                <w:strike w:val="0"/>
                <w:color w:val="000000"/>
                <w:spacing w:val="0"/>
                <w:sz w:val="18"/>
                <w:u w:val="none"/>
              </w:rPr>
              <w:t>光伏充电桩（600kw液冷）</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2831C9AC">
            <w:pPr>
              <w:widowControl w:val="0"/>
              <w:snapToGrid/>
              <w:spacing w:before="0" w:after="0" w:line="240" w:lineRule="auto"/>
              <w:jc w:val="center"/>
            </w:pPr>
            <w:r>
              <w:rPr>
                <w:rFonts w:ascii="宋体" w:hAnsi="宋体" w:eastAsia="宋体" w:cs="宋体"/>
                <w:i w:val="0"/>
                <w:strike w:val="0"/>
                <w:color w:val="000000"/>
                <w:spacing w:val="0"/>
                <w:sz w:val="18"/>
                <w:u w:val="none"/>
              </w:rPr>
              <w:t>550</w:t>
            </w:r>
          </w:p>
        </w:tc>
        <w:tc>
          <w:tcPr>
            <w:tcW w:w="82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694BC8CB">
            <w:pPr>
              <w:widowControl w:val="0"/>
              <w:snapToGrid/>
              <w:spacing w:before="0" w:after="0" w:line="240" w:lineRule="auto"/>
              <w:jc w:val="center"/>
            </w:pPr>
            <w:r>
              <w:rPr>
                <w:rFonts w:ascii="宋体" w:hAnsi="宋体" w:eastAsia="宋体" w:cs="宋体"/>
                <w:i w:val="0"/>
                <w:strike w:val="0"/>
                <w:color w:val="000000"/>
                <w:spacing w:val="0"/>
                <w:sz w:val="18"/>
                <w:u w:val="none"/>
              </w:rPr>
              <w:t>个</w:t>
            </w:r>
          </w:p>
        </w:tc>
        <w:tc>
          <w:tcPr>
            <w:tcW w:w="1382"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6C5E810E">
            <w:pPr>
              <w:widowControl w:val="0"/>
              <w:snapToGrid/>
              <w:spacing w:before="0" w:after="0" w:line="240" w:lineRule="auto"/>
              <w:jc w:val="center"/>
            </w:pPr>
            <w:r>
              <w:rPr>
                <w:rFonts w:ascii="宋体" w:hAnsi="宋体" w:eastAsia="宋体" w:cs="宋体"/>
                <w:i w:val="0"/>
                <w:strike w:val="0"/>
                <w:color w:val="000000"/>
                <w:spacing w:val="0"/>
                <w:sz w:val="18"/>
                <w:u w:val="none"/>
              </w:rPr>
              <w:t>5</w:t>
            </w:r>
          </w:p>
        </w:tc>
        <w:tc>
          <w:tcPr>
            <w:tcW w:w="1435" w:type="dxa"/>
            <w:tcBorders>
              <w:top w:val="single" w:color="000000" w:sz="6" w:space="0"/>
              <w:left w:val="single" w:color="000000" w:sz="6" w:space="0"/>
              <w:bottom w:val="single" w:color="000000" w:sz="6" w:space="0"/>
              <w:right w:val="single" w:color="000000" w:sz="6" w:space="0"/>
            </w:tcBorders>
            <w:shd w:val="clear" w:color="auto" w:fill="FFFFFF"/>
            <w:tcMar>
              <w:bottom w:w="0" w:type="dxa"/>
            </w:tcMar>
            <w:vAlign w:val="center"/>
          </w:tcPr>
          <w:p w14:paraId="64297F29">
            <w:pPr>
              <w:widowControl w:val="0"/>
              <w:snapToGrid/>
              <w:spacing w:before="0" w:after="0" w:line="240" w:lineRule="auto"/>
              <w:jc w:val="center"/>
            </w:pPr>
            <w:r>
              <w:rPr>
                <w:rFonts w:ascii="宋体" w:hAnsi="宋体" w:eastAsia="宋体" w:cs="宋体"/>
                <w:i w:val="0"/>
                <w:strike w:val="0"/>
                <w:color w:val="000000"/>
                <w:spacing w:val="0"/>
                <w:sz w:val="18"/>
                <w:u w:val="none"/>
              </w:rPr>
              <w:t>110</w:t>
            </w:r>
          </w:p>
        </w:tc>
      </w:tr>
      <w:tr w14:paraId="58862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485BF68D">
            <w:pPr>
              <w:widowControl w:val="0"/>
              <w:snapToGrid/>
              <w:spacing w:before="0" w:after="0" w:line="240" w:lineRule="auto"/>
              <w:jc w:val="center"/>
            </w:pPr>
            <w:r>
              <w:rPr>
                <w:rFonts w:ascii="宋体" w:hAnsi="宋体" w:eastAsia="宋体" w:cs="宋体"/>
                <w:b/>
                <w:i w:val="0"/>
                <w:strike w:val="0"/>
                <w:color w:val="000000"/>
                <w:spacing w:val="0"/>
                <w:sz w:val="18"/>
                <w:u w:val="none"/>
              </w:rPr>
              <w:t>二</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246B7C1A">
            <w:pPr>
              <w:widowControl w:val="0"/>
              <w:snapToGrid/>
              <w:spacing w:before="0" w:after="0" w:line="240" w:lineRule="auto"/>
              <w:jc w:val="center"/>
            </w:pPr>
            <w:r>
              <w:rPr>
                <w:rFonts w:ascii="宋体" w:hAnsi="宋体" w:eastAsia="宋体" w:cs="宋体"/>
                <w:b/>
                <w:i w:val="0"/>
                <w:strike w:val="0"/>
                <w:color w:val="000000"/>
                <w:spacing w:val="0"/>
                <w:sz w:val="18"/>
                <w:u w:val="none"/>
              </w:rPr>
              <w:t>工程建设其他费用</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02C64B6C">
            <w:pPr>
              <w:widowControl w:val="0"/>
              <w:snapToGrid/>
              <w:spacing w:before="0" w:after="0" w:line="240" w:lineRule="auto"/>
              <w:jc w:val="center"/>
            </w:pPr>
            <w:r>
              <w:rPr>
                <w:rFonts w:ascii="Times New Roman" w:hAnsi="Times New Roman" w:cs="Times New Roman"/>
                <w:b/>
                <w:i w:val="0"/>
                <w:strike w:val="0"/>
                <w:color w:val="000000"/>
                <w:spacing w:val="0"/>
                <w:sz w:val="18"/>
                <w:u w:val="none"/>
              </w:rPr>
              <w:t xml:space="preserve">372.52 </w:t>
            </w: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top"/>
          </w:tcPr>
          <w:p w14:paraId="60A94E40">
            <w:pPr>
              <w:widowControl w:val="0"/>
              <w:snapToGrid/>
              <w:spacing w:before="0" w:after="0" w:line="240" w:lineRule="auto"/>
              <w:jc w:val="center"/>
            </w:pPr>
            <w:r>
              <w:rPr>
                <w:rFonts w:ascii="Times New Roman" w:hAnsi="Times New Roman" w:cs="Times New Roman"/>
                <w:b/>
                <w:i w:val="0"/>
                <w:strike w:val="0"/>
                <w:color w:val="000000"/>
                <w:spacing w:val="0"/>
                <w:sz w:val="18"/>
                <w:u w:val="none"/>
              </w:rPr>
              <w:t>4.25%</w:t>
            </w:r>
          </w:p>
        </w:tc>
      </w:tr>
      <w:tr w14:paraId="42BB8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6D43F0B7">
            <w:pPr>
              <w:widowControl w:val="0"/>
              <w:snapToGrid/>
              <w:spacing w:before="0" w:after="0" w:line="240" w:lineRule="auto"/>
              <w:jc w:val="center"/>
            </w:pPr>
            <w:r>
              <w:rPr>
                <w:rFonts w:ascii="宋体" w:hAnsi="宋体" w:eastAsia="宋体" w:cs="宋体"/>
                <w:i w:val="0"/>
                <w:strike w:val="0"/>
                <w:color w:val="000000"/>
                <w:spacing w:val="0"/>
                <w:sz w:val="18"/>
                <w:u w:val="none"/>
              </w:rPr>
              <w:t>1</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67A36837">
            <w:pPr>
              <w:widowControl w:val="0"/>
              <w:snapToGrid/>
              <w:spacing w:before="0" w:after="0" w:line="240" w:lineRule="auto"/>
              <w:jc w:val="center"/>
            </w:pPr>
            <w:r>
              <w:rPr>
                <w:rFonts w:ascii="宋体" w:hAnsi="宋体" w:eastAsia="宋体" w:cs="宋体"/>
                <w:i w:val="0"/>
                <w:strike w:val="0"/>
                <w:color w:val="000000"/>
                <w:spacing w:val="0"/>
                <w:sz w:val="18"/>
                <w:u w:val="none"/>
              </w:rPr>
              <w:t>建设管理费</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73AE9282">
            <w:pPr>
              <w:widowControl w:val="0"/>
              <w:snapToGrid/>
              <w:spacing w:before="0" w:after="0" w:line="240" w:lineRule="auto"/>
              <w:jc w:val="center"/>
            </w:pPr>
            <w:r>
              <w:rPr>
                <w:rFonts w:ascii="Times New Roman" w:hAnsi="Times New Roman" w:cs="Times New Roman"/>
                <w:i w:val="0"/>
                <w:strike w:val="0"/>
                <w:color w:val="000000"/>
                <w:spacing w:val="0"/>
                <w:sz w:val="18"/>
                <w:u w:val="none"/>
              </w:rPr>
              <w:t xml:space="preserve">39.51 </w:t>
            </w: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top"/>
          </w:tcPr>
          <w:p w14:paraId="45FEB028">
            <w:pPr>
              <w:widowControl w:val="0"/>
              <w:snapToGrid/>
              <w:spacing w:before="0" w:after="0" w:line="240" w:lineRule="auto"/>
              <w:jc w:val="center"/>
            </w:pPr>
          </w:p>
        </w:tc>
      </w:tr>
      <w:tr w14:paraId="3FBD4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51EE638E">
            <w:pPr>
              <w:widowControl w:val="0"/>
              <w:snapToGrid/>
              <w:spacing w:before="0" w:after="0" w:line="240" w:lineRule="auto"/>
              <w:jc w:val="center"/>
            </w:pPr>
            <w:r>
              <w:rPr>
                <w:rFonts w:ascii="宋体" w:hAnsi="宋体" w:eastAsia="宋体" w:cs="宋体"/>
                <w:i w:val="0"/>
                <w:strike w:val="0"/>
                <w:color w:val="000000"/>
                <w:spacing w:val="0"/>
                <w:sz w:val="18"/>
                <w:u w:val="none"/>
              </w:rPr>
              <w:t>2</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2F589AC4">
            <w:pPr>
              <w:widowControl w:val="0"/>
              <w:snapToGrid/>
              <w:spacing w:before="0" w:after="0" w:line="240" w:lineRule="auto"/>
              <w:jc w:val="center"/>
            </w:pPr>
            <w:r>
              <w:rPr>
                <w:rFonts w:ascii="宋体" w:hAnsi="宋体" w:eastAsia="宋体" w:cs="宋体"/>
                <w:i w:val="0"/>
                <w:strike w:val="0"/>
                <w:color w:val="000000"/>
                <w:spacing w:val="0"/>
                <w:sz w:val="18"/>
                <w:u w:val="none"/>
              </w:rPr>
              <w:t>建设工程监理费</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337FC7D7">
            <w:pPr>
              <w:widowControl w:val="0"/>
              <w:snapToGrid/>
              <w:spacing w:before="0" w:after="0" w:line="240" w:lineRule="auto"/>
              <w:jc w:val="center"/>
            </w:pPr>
            <w:r>
              <w:rPr>
                <w:rFonts w:ascii="Times New Roman" w:hAnsi="Times New Roman" w:cs="Times New Roman"/>
                <w:i w:val="0"/>
                <w:strike w:val="0"/>
                <w:color w:val="000000"/>
                <w:spacing w:val="0"/>
                <w:sz w:val="18"/>
                <w:u w:val="none"/>
              </w:rPr>
              <w:t xml:space="preserve">47.42 </w:t>
            </w: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center"/>
          </w:tcPr>
          <w:p w14:paraId="084A1835">
            <w:pPr>
              <w:widowControl w:val="0"/>
              <w:snapToGrid/>
              <w:spacing w:before="0" w:after="0" w:line="240" w:lineRule="auto"/>
              <w:jc w:val="center"/>
            </w:pPr>
          </w:p>
        </w:tc>
      </w:tr>
      <w:tr w14:paraId="1C699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5890F5BF">
            <w:pPr>
              <w:widowControl w:val="0"/>
              <w:snapToGrid/>
              <w:spacing w:before="0" w:after="0" w:line="240" w:lineRule="auto"/>
              <w:jc w:val="center"/>
            </w:pPr>
            <w:r>
              <w:rPr>
                <w:rFonts w:ascii="宋体" w:hAnsi="宋体" w:eastAsia="宋体" w:cs="宋体"/>
                <w:i w:val="0"/>
                <w:strike w:val="0"/>
                <w:color w:val="000000"/>
                <w:spacing w:val="0"/>
                <w:sz w:val="18"/>
                <w:u w:val="none"/>
              </w:rPr>
              <w:t>3</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7F2AD013">
            <w:pPr>
              <w:widowControl w:val="0"/>
              <w:snapToGrid/>
              <w:spacing w:before="0" w:after="0" w:line="240" w:lineRule="auto"/>
              <w:jc w:val="center"/>
            </w:pPr>
            <w:r>
              <w:rPr>
                <w:rFonts w:ascii="宋体" w:hAnsi="宋体" w:eastAsia="宋体" w:cs="宋体"/>
                <w:i w:val="0"/>
                <w:strike w:val="0"/>
                <w:color w:val="000000"/>
                <w:spacing w:val="0"/>
                <w:sz w:val="18"/>
                <w:u w:val="none"/>
              </w:rPr>
              <w:t>建设项目前期工作咨询费</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3C9F37E4">
            <w:pPr>
              <w:widowControl w:val="0"/>
              <w:snapToGrid/>
              <w:spacing w:before="0" w:after="0" w:line="240" w:lineRule="auto"/>
              <w:jc w:val="center"/>
            </w:pPr>
            <w:r>
              <w:rPr>
                <w:rFonts w:ascii="Times New Roman" w:hAnsi="Times New Roman" w:cs="Times New Roman"/>
                <w:i w:val="0"/>
                <w:strike w:val="0"/>
                <w:color w:val="000000"/>
                <w:spacing w:val="0"/>
                <w:sz w:val="18"/>
                <w:u w:val="none"/>
              </w:rPr>
              <w:t xml:space="preserve">39.51 </w:t>
            </w: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center"/>
          </w:tcPr>
          <w:p w14:paraId="34B1A284">
            <w:pPr>
              <w:widowControl w:val="0"/>
              <w:snapToGrid/>
              <w:spacing w:before="0" w:after="0" w:line="240" w:lineRule="auto"/>
              <w:jc w:val="center"/>
            </w:pPr>
          </w:p>
        </w:tc>
      </w:tr>
      <w:tr w14:paraId="03D62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7BBAE386">
            <w:pPr>
              <w:widowControl w:val="0"/>
              <w:snapToGrid/>
              <w:spacing w:before="0" w:after="0" w:line="240" w:lineRule="auto"/>
              <w:jc w:val="center"/>
            </w:pPr>
            <w:r>
              <w:rPr>
                <w:rFonts w:ascii="宋体" w:hAnsi="宋体" w:eastAsia="宋体" w:cs="宋体"/>
                <w:i w:val="0"/>
                <w:strike w:val="0"/>
                <w:color w:val="000000"/>
                <w:spacing w:val="0"/>
                <w:sz w:val="18"/>
                <w:u w:val="none"/>
              </w:rPr>
              <w:t>4</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3C24D0B7">
            <w:pPr>
              <w:widowControl w:val="0"/>
              <w:snapToGrid/>
              <w:spacing w:before="0" w:after="0" w:line="240" w:lineRule="auto"/>
              <w:jc w:val="center"/>
            </w:pPr>
            <w:r>
              <w:rPr>
                <w:rFonts w:ascii="宋体" w:hAnsi="宋体" w:eastAsia="宋体" w:cs="宋体"/>
                <w:i w:val="0"/>
                <w:strike w:val="0"/>
                <w:color w:val="000000"/>
                <w:spacing w:val="0"/>
                <w:sz w:val="18"/>
                <w:u w:val="none"/>
              </w:rPr>
              <w:t>工程勘察费</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108C1E53">
            <w:pPr>
              <w:widowControl w:val="0"/>
              <w:snapToGrid/>
              <w:spacing w:before="0" w:after="0" w:line="240" w:lineRule="auto"/>
              <w:jc w:val="center"/>
            </w:pPr>
            <w:r>
              <w:rPr>
                <w:rFonts w:ascii="Times New Roman" w:hAnsi="Times New Roman" w:cs="Times New Roman"/>
                <w:i w:val="0"/>
                <w:strike w:val="0"/>
                <w:color w:val="000000"/>
                <w:spacing w:val="0"/>
                <w:sz w:val="18"/>
                <w:u w:val="none"/>
              </w:rPr>
              <w:t xml:space="preserve">26.17 </w:t>
            </w: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center"/>
          </w:tcPr>
          <w:p w14:paraId="39240A19">
            <w:pPr>
              <w:widowControl w:val="0"/>
              <w:snapToGrid/>
              <w:spacing w:before="0" w:after="0" w:line="240" w:lineRule="auto"/>
              <w:jc w:val="center"/>
            </w:pPr>
          </w:p>
        </w:tc>
      </w:tr>
      <w:tr w14:paraId="67B16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3E31CAEB">
            <w:pPr>
              <w:widowControl w:val="0"/>
              <w:snapToGrid/>
              <w:spacing w:before="0" w:after="0" w:line="240" w:lineRule="auto"/>
              <w:jc w:val="center"/>
            </w:pPr>
            <w:r>
              <w:rPr>
                <w:rFonts w:ascii="宋体" w:hAnsi="宋体" w:eastAsia="宋体" w:cs="宋体"/>
                <w:i w:val="0"/>
                <w:strike w:val="0"/>
                <w:color w:val="000000"/>
                <w:spacing w:val="0"/>
                <w:sz w:val="18"/>
                <w:u w:val="none"/>
              </w:rPr>
              <w:t>5</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52449B29">
            <w:pPr>
              <w:widowControl w:val="0"/>
              <w:snapToGrid/>
              <w:spacing w:before="0" w:after="0" w:line="240" w:lineRule="auto"/>
              <w:jc w:val="center"/>
            </w:pPr>
            <w:r>
              <w:rPr>
                <w:rFonts w:ascii="宋体" w:hAnsi="宋体" w:eastAsia="宋体" w:cs="宋体"/>
                <w:i w:val="0"/>
                <w:strike w:val="0"/>
                <w:color w:val="000000"/>
                <w:spacing w:val="0"/>
                <w:sz w:val="18"/>
                <w:u w:val="none"/>
              </w:rPr>
              <w:t>屋顶荷载检测费</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1C313A52">
            <w:pPr>
              <w:widowControl w:val="0"/>
              <w:snapToGrid/>
              <w:spacing w:before="0" w:after="0" w:line="240" w:lineRule="auto"/>
              <w:jc w:val="center"/>
            </w:pPr>
            <w:r>
              <w:rPr>
                <w:rFonts w:ascii="Times New Roman" w:hAnsi="Times New Roman" w:cs="Times New Roman"/>
                <w:i w:val="0"/>
                <w:strike w:val="0"/>
                <w:color w:val="000000"/>
                <w:spacing w:val="0"/>
                <w:sz w:val="18"/>
                <w:u w:val="none"/>
              </w:rPr>
              <w:t xml:space="preserve">15.64 </w:t>
            </w:r>
          </w:p>
        </w:tc>
        <w:tc>
          <w:tcPr>
            <w:tcW w:w="822" w:type="dxa"/>
            <w:tcBorders>
              <w:top w:val="single" w:color="000000" w:sz="6" w:space="0"/>
              <w:left w:val="single" w:color="000000" w:sz="6" w:space="0"/>
              <w:bottom w:val="single" w:color="000000" w:sz="6" w:space="0"/>
              <w:right w:val="single" w:color="000000" w:sz="0" w:space="0"/>
            </w:tcBorders>
            <w:tcMar>
              <w:bottom w:w="0" w:type="dxa"/>
            </w:tcMar>
            <w:vAlign w:val="center"/>
          </w:tcPr>
          <w:p w14:paraId="48219F76">
            <w:pPr>
              <w:widowControl w:val="0"/>
              <w:snapToGrid/>
              <w:spacing w:before="0" w:after="0" w:line="240" w:lineRule="auto"/>
              <w:jc w:val="center"/>
            </w:pPr>
          </w:p>
        </w:tc>
        <w:tc>
          <w:tcPr>
            <w:tcW w:w="1382" w:type="dxa"/>
            <w:tcBorders>
              <w:top w:val="single" w:color="000000" w:sz="6" w:space="0"/>
              <w:left w:val="single" w:color="000000" w:sz="0" w:space="0"/>
              <w:bottom w:val="single" w:color="000000" w:sz="6" w:space="0"/>
              <w:right w:val="single" w:color="000000" w:sz="0" w:space="0"/>
            </w:tcBorders>
            <w:tcMar>
              <w:bottom w:w="0" w:type="dxa"/>
            </w:tcMar>
            <w:vAlign w:val="center"/>
          </w:tcPr>
          <w:p w14:paraId="5CA86057">
            <w:pPr>
              <w:widowControl w:val="0"/>
              <w:snapToGrid/>
              <w:spacing w:before="0" w:after="0" w:line="240" w:lineRule="auto"/>
              <w:jc w:val="center"/>
            </w:pPr>
          </w:p>
        </w:tc>
        <w:tc>
          <w:tcPr>
            <w:tcW w:w="1435" w:type="dxa"/>
            <w:tcBorders>
              <w:top w:val="single" w:color="000000" w:sz="6" w:space="0"/>
              <w:left w:val="single" w:color="000000" w:sz="0" w:space="0"/>
              <w:bottom w:val="single" w:color="000000" w:sz="6" w:space="0"/>
              <w:right w:val="single" w:color="000000" w:sz="6" w:space="0"/>
            </w:tcBorders>
            <w:tcMar>
              <w:bottom w:w="0" w:type="dxa"/>
            </w:tcMar>
            <w:vAlign w:val="center"/>
          </w:tcPr>
          <w:p w14:paraId="1C8DBFFB">
            <w:pPr>
              <w:widowControl w:val="0"/>
              <w:snapToGrid/>
              <w:spacing w:before="0" w:after="0" w:line="240" w:lineRule="auto"/>
              <w:jc w:val="center"/>
            </w:pPr>
          </w:p>
        </w:tc>
      </w:tr>
      <w:tr w14:paraId="63D62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48628F49">
            <w:pPr>
              <w:widowControl w:val="0"/>
              <w:snapToGrid/>
              <w:spacing w:before="0" w:after="0" w:line="240" w:lineRule="auto"/>
              <w:jc w:val="center"/>
            </w:pPr>
            <w:r>
              <w:rPr>
                <w:rFonts w:ascii="宋体" w:hAnsi="宋体" w:eastAsia="宋体" w:cs="宋体"/>
                <w:i w:val="0"/>
                <w:strike w:val="0"/>
                <w:color w:val="000000"/>
                <w:spacing w:val="0"/>
                <w:sz w:val="18"/>
                <w:u w:val="none"/>
              </w:rPr>
              <w:t>6</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476B12ED">
            <w:pPr>
              <w:widowControl w:val="0"/>
              <w:snapToGrid/>
              <w:spacing w:before="0" w:after="0" w:line="240" w:lineRule="auto"/>
              <w:jc w:val="center"/>
            </w:pPr>
            <w:r>
              <w:rPr>
                <w:rFonts w:ascii="宋体" w:hAnsi="宋体" w:eastAsia="宋体" w:cs="宋体"/>
                <w:i w:val="0"/>
                <w:strike w:val="0"/>
                <w:color w:val="000000"/>
                <w:spacing w:val="0"/>
                <w:sz w:val="18"/>
                <w:u w:val="none"/>
              </w:rPr>
              <w:t>工程设计费</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54089D52">
            <w:pPr>
              <w:widowControl w:val="0"/>
              <w:snapToGrid/>
              <w:spacing w:before="0" w:after="0" w:line="240" w:lineRule="auto"/>
              <w:jc w:val="center"/>
            </w:pPr>
            <w:r>
              <w:rPr>
                <w:rFonts w:ascii="Times New Roman" w:hAnsi="Times New Roman" w:cs="Times New Roman"/>
                <w:i w:val="0"/>
                <w:strike w:val="0"/>
                <w:color w:val="000000"/>
                <w:spacing w:val="0"/>
                <w:sz w:val="18"/>
                <w:u w:val="none"/>
              </w:rPr>
              <w:t xml:space="preserve">79.03 </w:t>
            </w: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center"/>
          </w:tcPr>
          <w:p w14:paraId="0061BD6D">
            <w:pPr>
              <w:widowControl w:val="0"/>
              <w:snapToGrid/>
              <w:spacing w:before="0" w:after="0" w:line="240" w:lineRule="auto"/>
              <w:jc w:val="center"/>
            </w:pPr>
          </w:p>
        </w:tc>
      </w:tr>
      <w:tr w14:paraId="21B10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529997B9">
            <w:pPr>
              <w:widowControl w:val="0"/>
              <w:snapToGrid/>
              <w:spacing w:before="0" w:after="0" w:line="240" w:lineRule="auto"/>
              <w:jc w:val="center"/>
            </w:pPr>
            <w:r>
              <w:rPr>
                <w:rFonts w:ascii="宋体" w:hAnsi="宋体" w:eastAsia="宋体" w:cs="宋体"/>
                <w:i w:val="0"/>
                <w:strike w:val="0"/>
                <w:color w:val="000000"/>
                <w:spacing w:val="0"/>
                <w:sz w:val="18"/>
                <w:u w:val="none"/>
              </w:rPr>
              <w:t>7</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2C838672">
            <w:pPr>
              <w:widowControl w:val="0"/>
              <w:snapToGrid/>
              <w:spacing w:before="0" w:after="0" w:line="240" w:lineRule="auto"/>
              <w:jc w:val="center"/>
            </w:pPr>
            <w:r>
              <w:rPr>
                <w:rFonts w:ascii="宋体" w:hAnsi="宋体" w:eastAsia="宋体" w:cs="宋体"/>
                <w:i w:val="0"/>
                <w:strike w:val="0"/>
                <w:color w:val="000000"/>
                <w:spacing w:val="0"/>
                <w:sz w:val="18"/>
                <w:u w:val="none"/>
              </w:rPr>
              <w:t>环境影响咨询服务费</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4B3A6573">
            <w:pPr>
              <w:widowControl w:val="0"/>
              <w:snapToGrid/>
              <w:spacing w:before="0" w:after="0" w:line="240" w:lineRule="auto"/>
              <w:jc w:val="center"/>
            </w:pPr>
            <w:r>
              <w:rPr>
                <w:rFonts w:ascii="Times New Roman" w:hAnsi="Times New Roman" w:cs="Times New Roman"/>
                <w:i w:val="0"/>
                <w:strike w:val="0"/>
                <w:color w:val="000000"/>
                <w:spacing w:val="0"/>
                <w:sz w:val="18"/>
                <w:u w:val="none"/>
              </w:rPr>
              <w:t xml:space="preserve">7.90 </w:t>
            </w: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top"/>
          </w:tcPr>
          <w:p w14:paraId="57F130E8">
            <w:pPr>
              <w:widowControl w:val="0"/>
              <w:snapToGrid/>
              <w:spacing w:before="0" w:after="0" w:line="240" w:lineRule="auto"/>
              <w:jc w:val="center"/>
            </w:pPr>
          </w:p>
        </w:tc>
      </w:tr>
      <w:tr w14:paraId="1AE2B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1ECD697F">
            <w:pPr>
              <w:widowControl w:val="0"/>
              <w:snapToGrid/>
              <w:spacing w:before="0" w:after="0" w:line="240" w:lineRule="auto"/>
              <w:jc w:val="center"/>
            </w:pPr>
            <w:r>
              <w:rPr>
                <w:rFonts w:ascii="宋体" w:hAnsi="宋体" w:eastAsia="宋体" w:cs="宋体"/>
                <w:i w:val="0"/>
                <w:strike w:val="0"/>
                <w:color w:val="000000"/>
                <w:spacing w:val="0"/>
                <w:sz w:val="18"/>
                <w:u w:val="none"/>
              </w:rPr>
              <w:t>8</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3A97731D">
            <w:pPr>
              <w:widowControl w:val="0"/>
              <w:snapToGrid/>
              <w:spacing w:before="0" w:after="0" w:line="240" w:lineRule="auto"/>
              <w:jc w:val="center"/>
            </w:pPr>
            <w:r>
              <w:rPr>
                <w:rFonts w:ascii="宋体" w:hAnsi="宋体" w:eastAsia="宋体" w:cs="宋体"/>
                <w:i w:val="0"/>
                <w:strike w:val="0"/>
                <w:color w:val="000000"/>
                <w:spacing w:val="0"/>
                <w:sz w:val="18"/>
                <w:u w:val="none"/>
              </w:rPr>
              <w:t>场地准备费及临时设施费</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713D80F7">
            <w:pPr>
              <w:widowControl w:val="0"/>
              <w:snapToGrid/>
              <w:spacing w:before="0" w:after="0" w:line="240" w:lineRule="auto"/>
              <w:jc w:val="center"/>
            </w:pPr>
            <w:r>
              <w:rPr>
                <w:rFonts w:ascii="Times New Roman" w:hAnsi="Times New Roman" w:cs="Times New Roman"/>
                <w:i w:val="0"/>
                <w:strike w:val="0"/>
                <w:color w:val="000000"/>
                <w:spacing w:val="0"/>
                <w:sz w:val="18"/>
                <w:u w:val="none"/>
              </w:rPr>
              <w:t xml:space="preserve">43.46 </w:t>
            </w: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top"/>
          </w:tcPr>
          <w:p w14:paraId="212E3BF0">
            <w:pPr>
              <w:widowControl w:val="0"/>
              <w:snapToGrid/>
              <w:spacing w:before="0" w:after="0" w:line="240" w:lineRule="auto"/>
              <w:jc w:val="center"/>
            </w:pPr>
          </w:p>
        </w:tc>
      </w:tr>
      <w:tr w14:paraId="4B0FD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4A307ACD">
            <w:pPr>
              <w:widowControl w:val="0"/>
              <w:snapToGrid/>
              <w:spacing w:before="0" w:after="0" w:line="240" w:lineRule="auto"/>
              <w:jc w:val="center"/>
            </w:pPr>
            <w:r>
              <w:rPr>
                <w:rFonts w:ascii="宋体" w:hAnsi="宋体" w:eastAsia="宋体" w:cs="宋体"/>
                <w:i w:val="0"/>
                <w:strike w:val="0"/>
                <w:color w:val="000000"/>
                <w:spacing w:val="0"/>
                <w:sz w:val="18"/>
                <w:u w:val="none"/>
              </w:rPr>
              <w:t>9</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4246605D">
            <w:pPr>
              <w:widowControl w:val="0"/>
              <w:snapToGrid/>
              <w:spacing w:before="0" w:after="0" w:line="240" w:lineRule="auto"/>
              <w:jc w:val="center"/>
            </w:pPr>
            <w:r>
              <w:rPr>
                <w:rFonts w:ascii="宋体" w:hAnsi="宋体" w:eastAsia="宋体" w:cs="宋体"/>
                <w:i w:val="0"/>
                <w:strike w:val="0"/>
                <w:color w:val="000000"/>
                <w:spacing w:val="0"/>
                <w:sz w:val="18"/>
                <w:u w:val="none"/>
              </w:rPr>
              <w:t>工程保险费</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67437AC1">
            <w:pPr>
              <w:widowControl w:val="0"/>
              <w:snapToGrid/>
              <w:spacing w:before="0" w:after="0" w:line="240" w:lineRule="auto"/>
              <w:jc w:val="center"/>
            </w:pPr>
            <w:r>
              <w:rPr>
                <w:rFonts w:ascii="Times New Roman" w:hAnsi="Times New Roman" w:cs="Times New Roman"/>
                <w:i w:val="0"/>
                <w:strike w:val="0"/>
                <w:color w:val="000000"/>
                <w:spacing w:val="0"/>
                <w:sz w:val="18"/>
                <w:u w:val="none"/>
              </w:rPr>
              <w:t xml:space="preserve">23.30 </w:t>
            </w: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top"/>
          </w:tcPr>
          <w:p w14:paraId="42299EAB">
            <w:pPr>
              <w:widowControl w:val="0"/>
              <w:snapToGrid/>
              <w:spacing w:before="0" w:after="0" w:line="240" w:lineRule="auto"/>
              <w:jc w:val="center"/>
            </w:pPr>
          </w:p>
        </w:tc>
      </w:tr>
      <w:tr w14:paraId="01C4F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7794DD6B">
            <w:pPr>
              <w:widowControl w:val="0"/>
              <w:snapToGrid/>
              <w:spacing w:before="0" w:after="0" w:line="240" w:lineRule="auto"/>
              <w:jc w:val="center"/>
            </w:pPr>
            <w:r>
              <w:rPr>
                <w:rFonts w:ascii="宋体" w:hAnsi="宋体" w:eastAsia="宋体" w:cs="宋体"/>
                <w:i w:val="0"/>
                <w:strike w:val="0"/>
                <w:color w:val="000000"/>
                <w:spacing w:val="0"/>
                <w:sz w:val="18"/>
                <w:u w:val="none"/>
              </w:rPr>
              <w:t>10</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687C9806">
            <w:pPr>
              <w:widowControl w:val="0"/>
              <w:snapToGrid/>
              <w:spacing w:before="0" w:after="0" w:line="240" w:lineRule="auto"/>
              <w:jc w:val="center"/>
            </w:pPr>
            <w:r>
              <w:rPr>
                <w:rFonts w:ascii="宋体" w:hAnsi="宋体" w:eastAsia="宋体" w:cs="宋体"/>
                <w:i w:val="0"/>
                <w:strike w:val="0"/>
                <w:color w:val="000000"/>
                <w:spacing w:val="0"/>
                <w:sz w:val="18"/>
                <w:u w:val="none"/>
              </w:rPr>
              <w:t>招标代理服务费</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78FD5D87">
            <w:pPr>
              <w:widowControl w:val="0"/>
              <w:snapToGrid/>
              <w:spacing w:before="0" w:after="0" w:line="240" w:lineRule="auto"/>
              <w:jc w:val="center"/>
            </w:pPr>
            <w:r>
              <w:rPr>
                <w:rFonts w:ascii="Times New Roman" w:hAnsi="Times New Roman" w:cs="Times New Roman"/>
                <w:i w:val="0"/>
                <w:strike w:val="0"/>
                <w:color w:val="000000"/>
                <w:spacing w:val="0"/>
                <w:sz w:val="18"/>
                <w:u w:val="none"/>
              </w:rPr>
              <w:t xml:space="preserve">26.87 </w:t>
            </w: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top"/>
          </w:tcPr>
          <w:p w14:paraId="3DF31F07">
            <w:pPr>
              <w:widowControl w:val="0"/>
              <w:snapToGrid/>
              <w:spacing w:before="0" w:after="0" w:line="240" w:lineRule="auto"/>
              <w:jc w:val="center"/>
            </w:pPr>
          </w:p>
        </w:tc>
      </w:tr>
      <w:tr w14:paraId="7AB3C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18E5801E">
            <w:pPr>
              <w:widowControl w:val="0"/>
              <w:snapToGrid/>
              <w:spacing w:before="0" w:after="0" w:line="240" w:lineRule="auto"/>
              <w:jc w:val="center"/>
            </w:pPr>
            <w:r>
              <w:rPr>
                <w:rFonts w:ascii="宋体" w:hAnsi="宋体" w:eastAsia="宋体" w:cs="宋体"/>
                <w:i w:val="0"/>
                <w:strike w:val="0"/>
                <w:color w:val="000000"/>
                <w:spacing w:val="0"/>
                <w:sz w:val="18"/>
                <w:u w:val="none"/>
              </w:rPr>
              <w:t>11</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55DBDC40">
            <w:pPr>
              <w:widowControl w:val="0"/>
              <w:snapToGrid/>
              <w:spacing w:before="0" w:after="0" w:line="240" w:lineRule="auto"/>
              <w:jc w:val="center"/>
            </w:pPr>
            <w:r>
              <w:rPr>
                <w:rFonts w:ascii="宋体" w:hAnsi="宋体" w:eastAsia="宋体" w:cs="宋体"/>
                <w:i w:val="0"/>
                <w:strike w:val="0"/>
                <w:color w:val="000000"/>
                <w:spacing w:val="0"/>
                <w:sz w:val="18"/>
                <w:u w:val="none"/>
              </w:rPr>
              <w:t>造价咨询费</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446E3188">
            <w:pPr>
              <w:widowControl w:val="0"/>
              <w:snapToGrid/>
              <w:spacing w:before="0" w:after="0" w:line="240" w:lineRule="auto"/>
              <w:jc w:val="center"/>
            </w:pPr>
            <w:r>
              <w:rPr>
                <w:rFonts w:ascii="Times New Roman" w:hAnsi="Times New Roman" w:cs="Times New Roman"/>
                <w:i w:val="0"/>
                <w:strike w:val="0"/>
                <w:color w:val="000000"/>
                <w:spacing w:val="0"/>
                <w:sz w:val="18"/>
                <w:u w:val="none"/>
              </w:rPr>
              <w:t xml:space="preserve">23.71 </w:t>
            </w:r>
          </w:p>
        </w:tc>
        <w:tc>
          <w:tcPr>
            <w:tcW w:w="822" w:type="dxa"/>
            <w:tcBorders>
              <w:top w:val="single" w:color="000000" w:sz="6" w:space="0"/>
              <w:left w:val="single" w:color="000000" w:sz="6" w:space="0"/>
              <w:bottom w:val="single" w:color="000000" w:sz="6" w:space="0"/>
              <w:right w:val="single" w:color="000000" w:sz="0" w:space="0"/>
            </w:tcBorders>
            <w:tcMar>
              <w:bottom w:w="0" w:type="dxa"/>
            </w:tcMar>
            <w:vAlign w:val="top"/>
          </w:tcPr>
          <w:p w14:paraId="1FB78DBB">
            <w:pPr>
              <w:widowControl w:val="0"/>
              <w:snapToGrid/>
              <w:spacing w:before="0" w:after="0" w:line="240" w:lineRule="auto"/>
              <w:jc w:val="center"/>
            </w:pPr>
          </w:p>
        </w:tc>
        <w:tc>
          <w:tcPr>
            <w:tcW w:w="1382" w:type="dxa"/>
            <w:tcBorders>
              <w:top w:val="single" w:color="000000" w:sz="6" w:space="0"/>
              <w:left w:val="single" w:color="000000" w:sz="0" w:space="0"/>
              <w:bottom w:val="single" w:color="000000" w:sz="6" w:space="0"/>
              <w:right w:val="single" w:color="000000" w:sz="0" w:space="0"/>
            </w:tcBorders>
            <w:tcMar>
              <w:bottom w:w="0" w:type="dxa"/>
            </w:tcMar>
            <w:vAlign w:val="top"/>
          </w:tcPr>
          <w:p w14:paraId="7C665B8D">
            <w:pPr>
              <w:widowControl w:val="0"/>
              <w:snapToGrid/>
              <w:spacing w:before="0" w:after="0" w:line="240" w:lineRule="auto"/>
              <w:jc w:val="center"/>
            </w:pPr>
          </w:p>
        </w:tc>
        <w:tc>
          <w:tcPr>
            <w:tcW w:w="1435" w:type="dxa"/>
            <w:tcBorders>
              <w:top w:val="single" w:color="000000" w:sz="6" w:space="0"/>
              <w:left w:val="single" w:color="000000" w:sz="0" w:space="0"/>
              <w:bottom w:val="single" w:color="000000" w:sz="6" w:space="0"/>
              <w:right w:val="single" w:color="000000" w:sz="6" w:space="0"/>
            </w:tcBorders>
            <w:tcMar>
              <w:bottom w:w="0" w:type="dxa"/>
            </w:tcMar>
            <w:vAlign w:val="top"/>
          </w:tcPr>
          <w:p w14:paraId="7A4368C4">
            <w:pPr>
              <w:widowControl w:val="0"/>
              <w:snapToGrid/>
              <w:spacing w:before="0" w:after="0" w:line="240" w:lineRule="auto"/>
              <w:jc w:val="center"/>
            </w:pPr>
          </w:p>
        </w:tc>
      </w:tr>
      <w:tr w14:paraId="49DB3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17A309ED">
            <w:pPr>
              <w:widowControl w:val="0"/>
              <w:snapToGrid/>
              <w:spacing w:before="0" w:after="0" w:line="240" w:lineRule="auto"/>
              <w:jc w:val="center"/>
            </w:pPr>
            <w:r>
              <w:rPr>
                <w:rFonts w:ascii="宋体" w:hAnsi="宋体" w:eastAsia="宋体" w:cs="宋体"/>
                <w:b/>
                <w:i w:val="0"/>
                <w:strike w:val="0"/>
                <w:color w:val="000000"/>
                <w:spacing w:val="0"/>
                <w:sz w:val="18"/>
                <w:u w:val="none"/>
              </w:rPr>
              <w:t>三</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49901047">
            <w:pPr>
              <w:widowControl w:val="0"/>
              <w:snapToGrid/>
              <w:spacing w:before="0" w:after="0" w:line="240" w:lineRule="auto"/>
              <w:jc w:val="center"/>
            </w:pPr>
            <w:r>
              <w:rPr>
                <w:rFonts w:ascii="宋体" w:hAnsi="宋体" w:eastAsia="宋体" w:cs="宋体"/>
                <w:b/>
                <w:i w:val="0"/>
                <w:strike w:val="0"/>
                <w:color w:val="000000"/>
                <w:spacing w:val="0"/>
                <w:sz w:val="18"/>
                <w:u w:val="none"/>
              </w:rPr>
              <w:t>预备费</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1F3B6E04">
            <w:pPr>
              <w:widowControl w:val="0"/>
              <w:snapToGrid/>
              <w:spacing w:before="0" w:after="0" w:line="240" w:lineRule="auto"/>
              <w:jc w:val="center"/>
            </w:pPr>
            <w:r>
              <w:rPr>
                <w:rFonts w:ascii="Times New Roman" w:hAnsi="Times New Roman" w:cs="Times New Roman"/>
                <w:b/>
                <w:i w:val="0"/>
                <w:strike w:val="0"/>
                <w:color w:val="000000"/>
                <w:spacing w:val="0"/>
                <w:sz w:val="18"/>
                <w:u w:val="none"/>
              </w:rPr>
              <w:t xml:space="preserve">413.75 </w:t>
            </w: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top"/>
          </w:tcPr>
          <w:p w14:paraId="722CCCAE">
            <w:pPr>
              <w:widowControl w:val="0"/>
              <w:snapToGrid/>
              <w:spacing w:before="0" w:after="0" w:line="240" w:lineRule="auto"/>
              <w:jc w:val="center"/>
            </w:pPr>
            <w:r>
              <w:rPr>
                <w:rFonts w:ascii="Times New Roman" w:hAnsi="Times New Roman" w:cs="Times New Roman"/>
                <w:b/>
                <w:i w:val="0"/>
                <w:strike w:val="0"/>
                <w:color w:val="000000"/>
                <w:spacing w:val="0"/>
                <w:sz w:val="18"/>
                <w:u w:val="none"/>
              </w:rPr>
              <w:t>4.72%</w:t>
            </w:r>
          </w:p>
        </w:tc>
      </w:tr>
      <w:tr w14:paraId="1D400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1F7C7923">
            <w:pPr>
              <w:widowControl w:val="0"/>
              <w:snapToGrid/>
              <w:spacing w:before="0" w:after="0" w:line="240" w:lineRule="auto"/>
              <w:jc w:val="center"/>
            </w:pPr>
            <w:r>
              <w:rPr>
                <w:rFonts w:ascii="宋体" w:hAnsi="宋体" w:eastAsia="宋体" w:cs="宋体"/>
                <w:i w:val="0"/>
                <w:strike w:val="0"/>
                <w:color w:val="000000"/>
                <w:spacing w:val="0"/>
                <w:sz w:val="18"/>
                <w:u w:val="none"/>
              </w:rPr>
              <w:t>3.1</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139AB4F9">
            <w:pPr>
              <w:widowControl w:val="0"/>
              <w:snapToGrid/>
              <w:spacing w:before="0" w:after="0" w:line="240" w:lineRule="auto"/>
              <w:jc w:val="center"/>
            </w:pPr>
            <w:r>
              <w:rPr>
                <w:rFonts w:ascii="宋体" w:hAnsi="宋体" w:eastAsia="宋体" w:cs="宋体"/>
                <w:i w:val="0"/>
                <w:strike w:val="0"/>
                <w:color w:val="000000"/>
                <w:spacing w:val="0"/>
                <w:sz w:val="18"/>
                <w:u w:val="none"/>
              </w:rPr>
              <w:t>基本预备费</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1A76F49D">
            <w:pPr>
              <w:widowControl w:val="0"/>
              <w:snapToGrid/>
              <w:spacing w:before="0" w:after="0" w:line="240" w:lineRule="auto"/>
              <w:jc w:val="center"/>
            </w:pPr>
            <w:r>
              <w:rPr>
                <w:rFonts w:ascii="Times New Roman" w:hAnsi="Times New Roman" w:cs="Times New Roman"/>
                <w:i w:val="0"/>
                <w:strike w:val="0"/>
                <w:color w:val="000000"/>
                <w:spacing w:val="0"/>
                <w:sz w:val="18"/>
                <w:u w:val="none"/>
              </w:rPr>
              <w:t xml:space="preserve">413.75 </w:t>
            </w: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top"/>
          </w:tcPr>
          <w:p w14:paraId="4D95AD91">
            <w:pPr>
              <w:widowControl w:val="0"/>
              <w:snapToGrid/>
              <w:spacing w:before="0" w:after="0" w:line="240" w:lineRule="auto"/>
              <w:jc w:val="center"/>
            </w:pPr>
            <w:r>
              <w:rPr>
                <w:rFonts w:ascii="宋体" w:hAnsi="宋体" w:eastAsia="宋体" w:cs="宋体"/>
                <w:i w:val="0"/>
                <w:strike w:val="0"/>
                <w:color w:val="000000"/>
                <w:spacing w:val="0"/>
                <w:sz w:val="18"/>
                <w:u w:val="none"/>
              </w:rPr>
              <w:t>（一+二）*5%</w:t>
            </w:r>
          </w:p>
        </w:tc>
      </w:tr>
      <w:tr w14:paraId="15C61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46FC5B89">
            <w:pPr>
              <w:widowControl w:val="0"/>
              <w:snapToGrid/>
              <w:spacing w:before="0" w:after="0" w:line="240" w:lineRule="auto"/>
              <w:jc w:val="center"/>
            </w:pPr>
            <w:r>
              <w:rPr>
                <w:rFonts w:ascii="宋体" w:hAnsi="宋体" w:eastAsia="宋体" w:cs="宋体"/>
                <w:i w:val="0"/>
                <w:strike w:val="0"/>
                <w:color w:val="000000"/>
                <w:spacing w:val="0"/>
                <w:sz w:val="18"/>
                <w:u w:val="none"/>
              </w:rPr>
              <w:t>3.2</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55965FF9">
            <w:pPr>
              <w:widowControl w:val="0"/>
              <w:snapToGrid/>
              <w:spacing w:before="0" w:after="0" w:line="240" w:lineRule="auto"/>
              <w:jc w:val="center"/>
            </w:pPr>
            <w:r>
              <w:rPr>
                <w:rFonts w:ascii="宋体" w:hAnsi="宋体" w:eastAsia="宋体" w:cs="宋体"/>
                <w:i w:val="0"/>
                <w:strike w:val="0"/>
                <w:color w:val="000000"/>
                <w:spacing w:val="0"/>
                <w:sz w:val="18"/>
                <w:u w:val="none"/>
              </w:rPr>
              <w:t>涨价预备费</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1545E1B5">
            <w:pPr>
              <w:widowControl w:val="0"/>
              <w:snapToGrid/>
              <w:spacing w:before="0" w:after="0" w:line="240" w:lineRule="auto"/>
              <w:jc w:val="center"/>
            </w:pP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top"/>
          </w:tcPr>
          <w:p w14:paraId="4E95B149">
            <w:pPr>
              <w:widowControl w:val="0"/>
              <w:snapToGrid/>
              <w:spacing w:before="0" w:after="0" w:line="240" w:lineRule="auto"/>
              <w:jc w:val="center"/>
            </w:pPr>
          </w:p>
        </w:tc>
      </w:tr>
      <w:tr w14:paraId="7272F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5CF58223">
            <w:pPr>
              <w:widowControl w:val="0"/>
              <w:snapToGrid/>
              <w:spacing w:before="0" w:after="0" w:line="240" w:lineRule="auto"/>
              <w:jc w:val="center"/>
            </w:pPr>
            <w:r>
              <w:rPr>
                <w:rFonts w:ascii="宋体" w:hAnsi="宋体" w:eastAsia="宋体" w:cs="宋体"/>
                <w:b/>
                <w:i w:val="0"/>
                <w:strike w:val="0"/>
                <w:color w:val="000000"/>
                <w:spacing w:val="0"/>
                <w:sz w:val="18"/>
                <w:u w:val="none"/>
              </w:rPr>
              <w:t>四</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1FB4F753">
            <w:pPr>
              <w:widowControl w:val="0"/>
              <w:snapToGrid/>
              <w:spacing w:before="0" w:after="0" w:line="240" w:lineRule="auto"/>
              <w:jc w:val="center"/>
            </w:pPr>
            <w:r>
              <w:rPr>
                <w:rFonts w:ascii="宋体" w:hAnsi="宋体" w:eastAsia="宋体" w:cs="宋体"/>
                <w:b/>
                <w:i w:val="0"/>
                <w:strike w:val="0"/>
                <w:color w:val="000000"/>
                <w:spacing w:val="0"/>
                <w:sz w:val="18"/>
                <w:u w:val="none"/>
              </w:rPr>
              <w:t>建设投资合计</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6A3C17F1">
            <w:pPr>
              <w:widowControl w:val="0"/>
              <w:snapToGrid/>
              <w:spacing w:before="0" w:after="0" w:line="240" w:lineRule="auto"/>
              <w:jc w:val="center"/>
            </w:pPr>
            <w:r>
              <w:rPr>
                <w:rFonts w:ascii="Times New Roman" w:hAnsi="Times New Roman" w:cs="Times New Roman"/>
                <w:b/>
                <w:i w:val="0"/>
                <w:strike w:val="0"/>
                <w:color w:val="000000"/>
                <w:spacing w:val="0"/>
                <w:sz w:val="18"/>
                <w:u w:val="none"/>
              </w:rPr>
              <w:t xml:space="preserve">8688.84 </w:t>
            </w: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top"/>
          </w:tcPr>
          <w:p w14:paraId="32069097">
            <w:pPr>
              <w:widowControl w:val="0"/>
              <w:snapToGrid/>
              <w:spacing w:before="0" w:after="0" w:line="240" w:lineRule="auto"/>
              <w:jc w:val="center"/>
            </w:pPr>
            <w:r>
              <w:rPr>
                <w:rFonts w:ascii="Times New Roman" w:hAnsi="Times New Roman" w:cs="Times New Roman"/>
                <w:b/>
                <w:i w:val="0"/>
                <w:strike w:val="0"/>
                <w:color w:val="000000"/>
                <w:spacing w:val="0"/>
                <w:sz w:val="18"/>
                <w:u w:val="none"/>
              </w:rPr>
              <w:t>99.10%</w:t>
            </w:r>
          </w:p>
        </w:tc>
      </w:tr>
      <w:tr w14:paraId="62EBD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7BA8B946">
            <w:pPr>
              <w:widowControl w:val="0"/>
              <w:snapToGrid/>
              <w:spacing w:before="0" w:after="0" w:line="240" w:lineRule="auto"/>
              <w:jc w:val="center"/>
            </w:pP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78C993E1">
            <w:pPr>
              <w:widowControl w:val="0"/>
              <w:snapToGrid/>
              <w:spacing w:before="0" w:after="0" w:line="240" w:lineRule="auto"/>
              <w:jc w:val="center"/>
            </w:pPr>
            <w:r>
              <w:rPr>
                <w:rFonts w:ascii="宋体" w:hAnsi="宋体" w:eastAsia="宋体" w:cs="宋体"/>
                <w:i w:val="0"/>
                <w:strike w:val="0"/>
                <w:color w:val="000000"/>
                <w:spacing w:val="0"/>
                <w:sz w:val="18"/>
                <w:u w:val="none"/>
              </w:rPr>
              <w:t>比例（%）</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65624B3B">
            <w:pPr>
              <w:widowControl w:val="0"/>
              <w:snapToGrid/>
              <w:spacing w:before="0" w:after="0" w:line="240" w:lineRule="auto"/>
              <w:jc w:val="center"/>
            </w:pPr>
            <w:r>
              <w:rPr>
                <w:rFonts w:ascii="Times New Roman" w:hAnsi="Times New Roman" w:cs="Times New Roman"/>
                <w:i w:val="0"/>
                <w:strike w:val="0"/>
                <w:color w:val="000000"/>
                <w:spacing w:val="0"/>
                <w:sz w:val="18"/>
                <w:u w:val="none"/>
              </w:rPr>
              <w:t>100%</w:t>
            </w: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top"/>
          </w:tcPr>
          <w:p w14:paraId="33609966">
            <w:pPr>
              <w:widowControl w:val="0"/>
              <w:snapToGrid/>
              <w:spacing w:before="0" w:after="0" w:line="240" w:lineRule="auto"/>
              <w:jc w:val="center"/>
            </w:pPr>
          </w:p>
        </w:tc>
      </w:tr>
      <w:tr w14:paraId="6B0E3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05D526D2">
            <w:pPr>
              <w:widowControl w:val="0"/>
              <w:snapToGrid/>
              <w:spacing w:before="0" w:after="0" w:line="240" w:lineRule="auto"/>
              <w:jc w:val="center"/>
            </w:pPr>
            <w:r>
              <w:rPr>
                <w:rFonts w:ascii="宋体" w:hAnsi="宋体" w:eastAsia="宋体" w:cs="宋体"/>
                <w:b/>
                <w:i w:val="0"/>
                <w:strike w:val="0"/>
                <w:color w:val="000000"/>
                <w:spacing w:val="0"/>
                <w:sz w:val="18"/>
                <w:u w:val="none"/>
              </w:rPr>
              <w:t>五</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24DE50BE">
            <w:pPr>
              <w:widowControl w:val="0"/>
              <w:snapToGrid/>
              <w:spacing w:before="0" w:after="0" w:line="240" w:lineRule="auto"/>
              <w:jc w:val="center"/>
            </w:pPr>
            <w:r>
              <w:rPr>
                <w:rFonts w:ascii="宋体" w:hAnsi="宋体" w:eastAsia="宋体" w:cs="宋体"/>
                <w:b/>
                <w:i w:val="0"/>
                <w:strike w:val="0"/>
                <w:color w:val="000000"/>
                <w:spacing w:val="0"/>
                <w:sz w:val="18"/>
                <w:u w:val="none"/>
              </w:rPr>
              <w:t>建设期利息</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0DBF5EE4">
            <w:pPr>
              <w:widowControl w:val="0"/>
              <w:snapToGrid/>
              <w:spacing w:before="0" w:after="0" w:line="240" w:lineRule="auto"/>
              <w:jc w:val="center"/>
            </w:pPr>
            <w:r>
              <w:rPr>
                <w:rFonts w:ascii="Times New Roman" w:hAnsi="Times New Roman" w:cs="Times New Roman"/>
                <w:b/>
                <w:i w:val="0"/>
                <w:strike w:val="0"/>
                <w:color w:val="000000"/>
                <w:spacing w:val="0"/>
                <w:sz w:val="18"/>
                <w:u w:val="none"/>
              </w:rPr>
              <w:t xml:space="preserve">78.75 </w:t>
            </w: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top"/>
          </w:tcPr>
          <w:p w14:paraId="59C88DB6">
            <w:pPr>
              <w:widowControl w:val="0"/>
              <w:snapToGrid/>
              <w:spacing w:before="0" w:after="0" w:line="240" w:lineRule="auto"/>
              <w:jc w:val="center"/>
            </w:pPr>
            <w:r>
              <w:rPr>
                <w:rFonts w:ascii="Times New Roman" w:hAnsi="Times New Roman" w:cs="Times New Roman"/>
                <w:b/>
                <w:i w:val="0"/>
                <w:strike w:val="0"/>
                <w:color w:val="000000"/>
                <w:spacing w:val="0"/>
                <w:sz w:val="18"/>
                <w:u w:val="none"/>
              </w:rPr>
              <w:t>0.90%</w:t>
            </w:r>
          </w:p>
        </w:tc>
      </w:tr>
      <w:tr w14:paraId="53D14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02A144EC">
            <w:pPr>
              <w:widowControl w:val="0"/>
              <w:snapToGrid/>
              <w:spacing w:before="0" w:after="0" w:line="240" w:lineRule="auto"/>
              <w:jc w:val="center"/>
            </w:pPr>
            <w:r>
              <w:rPr>
                <w:rFonts w:ascii="宋体" w:hAnsi="宋体" w:eastAsia="宋体" w:cs="宋体"/>
                <w:b/>
                <w:i w:val="0"/>
                <w:strike w:val="0"/>
                <w:color w:val="000000"/>
                <w:spacing w:val="0"/>
                <w:sz w:val="18"/>
                <w:u w:val="none"/>
              </w:rPr>
              <w:t>六</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55E62D8D">
            <w:pPr>
              <w:widowControl w:val="0"/>
              <w:snapToGrid/>
              <w:spacing w:before="0" w:after="0" w:line="240" w:lineRule="auto"/>
              <w:jc w:val="center"/>
            </w:pPr>
            <w:r>
              <w:rPr>
                <w:rFonts w:ascii="宋体" w:hAnsi="宋体" w:eastAsia="宋体" w:cs="宋体"/>
                <w:b/>
                <w:i w:val="0"/>
                <w:strike w:val="0"/>
                <w:color w:val="000000"/>
                <w:spacing w:val="0"/>
                <w:sz w:val="18"/>
                <w:u w:val="none"/>
              </w:rPr>
              <w:t>固定资产投资</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293C63F7">
            <w:pPr>
              <w:widowControl w:val="0"/>
              <w:snapToGrid/>
              <w:spacing w:before="0" w:after="0" w:line="240" w:lineRule="auto"/>
              <w:jc w:val="center"/>
            </w:pPr>
            <w:r>
              <w:rPr>
                <w:rFonts w:ascii="Times New Roman" w:hAnsi="Times New Roman" w:cs="Times New Roman"/>
                <w:b/>
                <w:i w:val="0"/>
                <w:strike w:val="0"/>
                <w:color w:val="000000"/>
                <w:spacing w:val="0"/>
                <w:sz w:val="18"/>
                <w:u w:val="none"/>
              </w:rPr>
              <w:t xml:space="preserve">8767.59 </w:t>
            </w: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top"/>
          </w:tcPr>
          <w:p w14:paraId="18BF6058">
            <w:pPr>
              <w:widowControl w:val="0"/>
              <w:snapToGrid/>
              <w:spacing w:before="0" w:after="0" w:line="240" w:lineRule="auto"/>
              <w:jc w:val="center"/>
            </w:pPr>
            <w:r>
              <w:rPr>
                <w:rFonts w:ascii="Times New Roman" w:hAnsi="Times New Roman" w:cs="Times New Roman"/>
                <w:b/>
                <w:i w:val="0"/>
                <w:strike w:val="0"/>
                <w:color w:val="000000"/>
                <w:spacing w:val="0"/>
                <w:sz w:val="18"/>
                <w:u w:val="none"/>
              </w:rPr>
              <w:t>100.00%</w:t>
            </w:r>
          </w:p>
        </w:tc>
      </w:tr>
      <w:tr w14:paraId="14101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14:paraId="20797AAF">
            <w:pPr>
              <w:widowControl w:val="0"/>
              <w:snapToGrid/>
              <w:spacing w:before="0" w:after="0" w:line="240" w:lineRule="auto"/>
              <w:jc w:val="center"/>
            </w:pPr>
            <w:r>
              <w:rPr>
                <w:rFonts w:ascii="宋体" w:hAnsi="宋体" w:eastAsia="宋体" w:cs="宋体"/>
                <w:b/>
                <w:i w:val="0"/>
                <w:strike w:val="0"/>
                <w:color w:val="000000"/>
                <w:spacing w:val="0"/>
                <w:sz w:val="18"/>
                <w:u w:val="none"/>
              </w:rPr>
              <w:t>八</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14:paraId="784A2230">
            <w:pPr>
              <w:widowControl w:val="0"/>
              <w:snapToGrid/>
              <w:spacing w:before="0" w:after="0" w:line="240" w:lineRule="auto"/>
              <w:jc w:val="center"/>
            </w:pPr>
            <w:r>
              <w:rPr>
                <w:rFonts w:ascii="宋体" w:hAnsi="宋体" w:eastAsia="宋体" w:cs="宋体"/>
                <w:b/>
                <w:i w:val="0"/>
                <w:strike w:val="0"/>
                <w:color w:val="000000"/>
                <w:spacing w:val="0"/>
                <w:sz w:val="18"/>
                <w:u w:val="none"/>
              </w:rPr>
              <w:t>项目总投资</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14:paraId="44784CF9">
            <w:pPr>
              <w:widowControl w:val="0"/>
              <w:snapToGrid/>
              <w:spacing w:before="0" w:after="0" w:line="240" w:lineRule="auto"/>
              <w:jc w:val="center"/>
            </w:pPr>
            <w:r>
              <w:rPr>
                <w:rFonts w:ascii="Times New Roman" w:hAnsi="Times New Roman" w:cs="Times New Roman"/>
                <w:b/>
                <w:i w:val="0"/>
                <w:strike w:val="0"/>
                <w:color w:val="000000"/>
                <w:spacing w:val="0"/>
                <w:sz w:val="18"/>
                <w:u w:val="none"/>
              </w:rPr>
              <w:t xml:space="preserve">8767.59 </w:t>
            </w: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top"/>
          </w:tcPr>
          <w:p w14:paraId="50B2C8B3">
            <w:pPr>
              <w:widowControl w:val="0"/>
              <w:snapToGrid/>
              <w:spacing w:before="0" w:after="0" w:line="240" w:lineRule="auto"/>
              <w:jc w:val="center"/>
            </w:pPr>
            <w:r>
              <w:rPr>
                <w:rFonts w:ascii="Times New Roman" w:hAnsi="Times New Roman" w:cs="Times New Roman"/>
                <w:b/>
                <w:i w:val="0"/>
                <w:strike w:val="0"/>
                <w:color w:val="000000"/>
                <w:spacing w:val="0"/>
                <w:sz w:val="18"/>
                <w:u w:val="none"/>
              </w:rPr>
              <w:t>100.00%</w:t>
            </w:r>
          </w:p>
        </w:tc>
      </w:tr>
    </w:tbl>
    <w:p w14:paraId="2F9FB25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2、资金投入计划和筹措方案</w:t>
      </w:r>
    </w:p>
    <w:p w14:paraId="394BA7C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本项目总投资8767.59万元，其中固定资产投资8767.59万元，0.5年建设期内均匀投入。</w:t>
      </w:r>
    </w:p>
    <w:p w14:paraId="207D7F6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在资金筹措方面，项目总投资由资本金和项目融资或其他债务性资金两部分构成，一是资本金1767.59万元，占总投资的20.16%，二是项目融资、企业自筹资金或者其他债务性资金7000.00万元，占总投资的79.84%。</w:t>
      </w:r>
    </w:p>
    <w:p w14:paraId="6813692C">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79" w:name="_Toc27847"/>
      <w:bookmarkStart w:id="80" w:name="_Toc22702"/>
      <w:bookmarkStart w:id="81" w:name="_Toc21346"/>
      <w:r>
        <w:rPr>
          <w:rFonts w:hint="eastAsia" w:ascii="宋体" w:hAnsi="宋体" w:eastAsia="宋体" w:cs="宋体"/>
          <w:b/>
          <w:bCs/>
          <w:sz w:val="28"/>
          <w:szCs w:val="28"/>
        </w:rPr>
        <w:t>6.2 财务盈利能力分析</w:t>
      </w:r>
      <w:bookmarkEnd w:id="79"/>
      <w:bookmarkEnd w:id="80"/>
      <w:bookmarkEnd w:id="81"/>
    </w:p>
    <w:p w14:paraId="2B699826">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6.2.1 财务评价的目标和原则</w:t>
      </w:r>
    </w:p>
    <w:p w14:paraId="2FD0835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财务评价是在国家现行财税制度和价格体系的前提下，根据国民经济与社会发展的趋势、行业发展状态、地区发展规划和行业政策的具体情况，从项目的角度出发，在项目初步方案的基础上，采用科学的分析方法，计算项目范围内的财务效益和费用，分析项目的盈利能力和清偿能力，分析论证拟建项目的财务可行性，评价项目在财务上的可行性。</w:t>
      </w:r>
    </w:p>
    <w:p w14:paraId="25DA67C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评价原则：1、客观性、科学性、公正性原则。2、坚持定量分析与定性分析相结合原则。3、以定量分析为主评价中采用动态与静态分析相结合，以动态分析为主原则。</w:t>
      </w:r>
    </w:p>
    <w:p w14:paraId="485A32C3">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6.2.2 编制依据</w:t>
      </w:r>
    </w:p>
    <w:p w14:paraId="0D3B1035">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《国家发展改革委员会、建设部关于建设项目经济评价工作的若干规定》（发改投资[2006]1325号）文件。</w:t>
      </w:r>
    </w:p>
    <w:p w14:paraId="74005FE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《建设项目经济评价方法与参数》(第三版)。</w:t>
      </w:r>
    </w:p>
    <w:p w14:paraId="6F487C3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《企业会计准则》及其相关规定。</w:t>
      </w:r>
    </w:p>
    <w:p w14:paraId="23F920A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《中华人民共和国企业所得税法》及其相关规定。</w:t>
      </w:r>
    </w:p>
    <w:p w14:paraId="44CC6D5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《中华人民共和国增值税法》》及其相关规定。</w:t>
      </w:r>
    </w:p>
    <w:p w14:paraId="3F91A2B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《项目融资业务指引》。</w:t>
      </w:r>
    </w:p>
    <w:p w14:paraId="41F4A98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其他财税管理办法。</w:t>
      </w:r>
    </w:p>
    <w:p w14:paraId="1FAEC09F">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6.2.3 参数选取</w:t>
      </w:r>
    </w:p>
    <w:p w14:paraId="7CFA9564">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遵循同期性、有效性、谨慎性和准确性的原则，结合国家财税法律法规、项目所在地区、归属行业以及项目自身特点，选取项目参数，具体情况如下。</w:t>
      </w:r>
    </w:p>
    <w:p w14:paraId="5B2FFBB0">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w:t>
      </w:r>
      <w:r>
        <w:rPr>
          <w:rFonts w:ascii="宋体" w:hAnsi="宋体" w:eastAsia="宋体" w:cs="宋体"/>
          <w:i w:val="0"/>
          <w:strike w:val="0"/>
          <w:spacing w:val="0"/>
          <w:sz w:val="28"/>
          <w:u w:val="none"/>
        </w:rPr>
        <w:t>、光伏储能设备按照20年折旧，残值率5%，折旧方法为平均年限法</w:t>
      </w:r>
      <w:r>
        <w:rPr>
          <w:rFonts w:hint="eastAsia" w:ascii="宋体" w:hAnsi="宋体" w:eastAsia="宋体" w:cs="宋体"/>
          <w:snapToGrid/>
          <w:color w:val="auto"/>
          <w:spacing w:val="0"/>
          <w:w w:val="100"/>
          <w:kern w:val="2"/>
          <w:position w:val="0"/>
          <w:sz w:val="28"/>
          <w:szCs w:val="28"/>
          <w:lang w:val="en-US" w:eastAsia="zh-CN" w:bidi="zh-CN"/>
        </w:rPr>
        <w:t>。</w:t>
      </w:r>
    </w:p>
    <w:p w14:paraId="7BD2994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2、根据现行的税收政策规定，增值税按最新税率13%、9%计算，城市建设维护税按7%，教育费附加税按3%，企业所得税率按25%。</w:t>
      </w:r>
    </w:p>
    <w:p w14:paraId="551FB334">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3、项目计算期12年，其中建设期0.5年。</w:t>
      </w:r>
    </w:p>
    <w:p w14:paraId="476333E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项目财务基准收益率（折现率）为4.2%。目前，无风险收益率（10年期国债收益率）在2.1%左右，因本项目是服务饮食的民生项目，行业发展确定性较强，行业风险相对较小，所以风险收益暂定为2.1%，即项目财务基准收益率（折现率）为4.2%。</w:t>
      </w:r>
    </w:p>
    <w:p w14:paraId="78A21653">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6.2.4 项目收入测算</w:t>
      </w:r>
    </w:p>
    <w:p w14:paraId="146B43F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本项目建成后收入由光伏收入、储能电站收入及充电桩收入三部分构成。</w:t>
      </w:r>
    </w:p>
    <w:p w14:paraId="12D2D51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1、光伏发电收入</w:t>
      </w:r>
    </w:p>
    <w:p w14:paraId="28D6048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（1）数量：</w:t>
      </w:r>
      <w:r>
        <w:rPr>
          <w:rFonts w:ascii="宋体" w:hAnsi="宋体" w:eastAsia="宋体" w:cs="宋体"/>
          <w:i w:val="0"/>
          <w:strike w:val="0"/>
          <w:spacing w:val="0"/>
          <w:sz w:val="28"/>
          <w:u w:val="none"/>
        </w:rPr>
        <w:t>本项目采用“源网荷储模式”，结合企业</w:t>
      </w:r>
      <w:r>
        <w:rPr>
          <w:rFonts w:hint="eastAsia" w:ascii="宋体" w:hAnsi="宋体" w:eastAsia="宋体" w:cs="宋体"/>
          <w:i w:val="0"/>
          <w:strike w:val="0"/>
          <w:spacing w:val="0"/>
          <w:sz w:val="28"/>
          <w:u w:val="none"/>
        </w:rPr>
        <w:t>河南大成包装材料有限公司</w:t>
      </w:r>
      <w:r>
        <w:rPr>
          <w:rFonts w:ascii="宋体" w:hAnsi="宋体" w:eastAsia="宋体" w:cs="宋体"/>
          <w:i w:val="0"/>
          <w:strike w:val="0"/>
          <w:spacing w:val="0"/>
          <w:sz w:val="28"/>
          <w:u w:val="none"/>
        </w:rPr>
        <w:t>年用电量</w:t>
      </w:r>
      <w:r>
        <w:rPr>
          <w:rFonts w:hint="eastAsia" w:ascii="宋体" w:hAnsi="宋体" w:eastAsia="宋体" w:cs="宋体"/>
          <w:i w:val="0"/>
          <w:strike w:val="0"/>
          <w:spacing w:val="0"/>
          <w:sz w:val="28"/>
          <w:u w:val="none"/>
          <w:lang w:val="en-US" w:eastAsia="zh-CN"/>
        </w:rPr>
        <w:t>4752</w:t>
      </w:r>
      <w:r>
        <w:rPr>
          <w:rFonts w:ascii="宋体" w:hAnsi="宋体" w:eastAsia="宋体" w:cs="宋体"/>
          <w:i w:val="0"/>
          <w:strike w:val="0"/>
          <w:spacing w:val="0"/>
          <w:sz w:val="28"/>
          <w:u w:val="none"/>
        </w:rPr>
        <w:t>万kWh，即年平均用电负荷为44MW左右，,该企业距本项目光伏电站2公里左右（小于</w:t>
      </w:r>
      <w:r>
        <w:rPr>
          <w:rFonts w:hint="eastAsia" w:ascii="宋体" w:hAnsi="宋体" w:eastAsia="宋体" w:cs="宋体"/>
          <w:snapToGrid/>
          <w:color w:val="auto"/>
          <w:spacing w:val="0"/>
          <w:w w:val="100"/>
          <w:kern w:val="2"/>
          <w:position w:val="0"/>
          <w:sz w:val="28"/>
          <w:szCs w:val="28"/>
          <w:lang w:val="en-US" w:eastAsia="zh-CN" w:bidi="zh-CN"/>
        </w:rPr>
        <w:t>20公），根据测算，光伏电站每年发电量为718.07万kWh（3.349kWh/kWp/天*5956kWp*360天），考虑到该企业是24小时生产，白天平谷时段用电1425.60</w:t>
      </w:r>
      <w:r>
        <w:rPr>
          <w:rFonts w:ascii="宋体" w:hAnsi="宋体" w:eastAsia="宋体" w:cs="宋体"/>
          <w:i w:val="0"/>
          <w:strike w:val="0"/>
          <w:spacing w:val="0"/>
          <w:sz w:val="28"/>
          <w:u w:val="none"/>
        </w:rPr>
        <w:t>万kWh</w:t>
      </w:r>
      <w:r>
        <w:rPr>
          <w:rFonts w:hint="eastAsia" w:ascii="宋体" w:hAnsi="宋体" w:eastAsia="宋体" w:cs="宋体"/>
          <w:snapToGrid/>
          <w:color w:val="auto"/>
          <w:spacing w:val="0"/>
          <w:w w:val="100"/>
          <w:kern w:val="2"/>
          <w:position w:val="0"/>
          <w:sz w:val="28"/>
          <w:szCs w:val="28"/>
          <w:lang w:val="en-US" w:eastAsia="zh-CN" w:bidi="zh-CN"/>
        </w:rPr>
        <w:t>，本项目光伏发电将直接由该企业100%消纳。</w:t>
      </w:r>
    </w:p>
    <w:p w14:paraId="37DA2DE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（2）衰减值：光伏发电首年衰减值为1%，剩余每年衰减值为0.4%。</w:t>
      </w:r>
    </w:p>
    <w:p w14:paraId="78CF896B">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w:t>
      </w:r>
      <w:r>
        <w:rPr>
          <w:rFonts w:ascii="宋体" w:hAnsi="宋体" w:eastAsia="宋体" w:cs="宋体"/>
          <w:i w:val="0"/>
          <w:strike w:val="0"/>
          <w:spacing w:val="0"/>
          <w:sz w:val="28"/>
          <w:u w:val="none"/>
        </w:rPr>
        <w:t>1KW光伏装机容量平均日发电量：光伏发电时段在8:00-18:00，考虑日照时间、气温、照射角度等因素，根据Global Solar Atlas太阳能资源分析软件进行计算，如下图所示，1KW光伏装机容量每日发电量为3.349kWh/kWp/天,本项目预计年发电量3.349kWh/kWp/天*</w:t>
      </w:r>
      <w:r>
        <w:rPr>
          <w:rFonts w:hint="eastAsia" w:ascii="宋体" w:hAnsi="宋体" w:eastAsia="宋体" w:cs="宋体"/>
          <w:i w:val="0"/>
          <w:strike w:val="0"/>
          <w:spacing w:val="0"/>
          <w:sz w:val="28"/>
          <w:u w:val="none"/>
          <w:lang w:val="en-US" w:eastAsia="zh-CN"/>
        </w:rPr>
        <w:t>5956</w:t>
      </w:r>
      <w:r>
        <w:rPr>
          <w:rFonts w:ascii="宋体" w:hAnsi="宋体" w:eastAsia="宋体" w:cs="宋体"/>
          <w:i w:val="0"/>
          <w:strike w:val="0"/>
          <w:spacing w:val="0"/>
          <w:sz w:val="28"/>
          <w:u w:val="none"/>
        </w:rPr>
        <w:t>kWp*360天=</w:t>
      </w:r>
      <w:r>
        <w:rPr>
          <w:rFonts w:hint="eastAsia" w:ascii="宋体" w:hAnsi="宋体" w:eastAsia="宋体" w:cs="宋体"/>
          <w:i w:val="0"/>
          <w:strike w:val="0"/>
          <w:spacing w:val="0"/>
          <w:sz w:val="28"/>
          <w:u w:val="none"/>
          <w:lang w:val="en-US" w:eastAsia="zh-CN"/>
        </w:rPr>
        <w:t>718.07</w:t>
      </w:r>
      <w:r>
        <w:rPr>
          <w:rFonts w:ascii="宋体" w:hAnsi="宋体" w:eastAsia="宋体" w:cs="宋体"/>
          <w:i w:val="0"/>
          <w:strike w:val="0"/>
          <w:spacing w:val="0"/>
          <w:sz w:val="28"/>
          <w:u w:val="none"/>
        </w:rPr>
        <w:t>万kWh</w:t>
      </w:r>
      <w:r>
        <w:rPr>
          <w:rFonts w:hint="eastAsia" w:ascii="宋体" w:hAnsi="宋体" w:eastAsia="宋体" w:cs="宋体"/>
          <w:snapToGrid/>
          <w:color w:val="auto"/>
          <w:spacing w:val="0"/>
          <w:w w:val="100"/>
          <w:kern w:val="2"/>
          <w:position w:val="0"/>
          <w:sz w:val="28"/>
          <w:szCs w:val="28"/>
          <w:lang w:val="en-US" w:eastAsia="zh-CN" w:bidi="zh-CN"/>
        </w:rPr>
        <w:t>。</w:t>
      </w:r>
    </w:p>
    <w:p w14:paraId="2E4951A1">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drawing>
          <wp:inline distT="0" distB="0" distL="0" distR="0">
            <wp:extent cx="5274310" cy="2454275"/>
            <wp:effectExtent l="0" t="0" r="0" b="0"/>
            <wp:docPr id="74" name="picture" descr="descript"/>
            <wp:cNvGraphicFramePr/>
            <a:graphic xmlns:a="http://schemas.openxmlformats.org/drawingml/2006/main">
              <a:graphicData uri="http://schemas.openxmlformats.org/drawingml/2006/picture">
                <pic:pic xmlns:pic="http://schemas.openxmlformats.org/drawingml/2006/picture">
                  <pic:nvPicPr>
                    <pic:cNvPr id="74" name="picture" descr="descript"/>
                    <pic:cNvPicPr/>
                  </pic:nvPicPr>
                  <pic:blipFill>
                    <a:blip r:embed="rId30"/>
                    <a:stretch>
                      <a:fillRect/>
                    </a:stretch>
                  </pic:blipFill>
                  <pic:spPr>
                    <a:xfrm>
                      <a:off x="0" y="0"/>
                      <a:ext cx="5274310" cy="2454297"/>
                    </a:xfrm>
                    <a:prstGeom prst="rect">
                      <a:avLst/>
                    </a:prstGeom>
                  </pic:spPr>
                </pic:pic>
              </a:graphicData>
            </a:graphic>
          </wp:inline>
        </w:drawing>
      </w:r>
    </w:p>
    <w:p w14:paraId="2B06754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工商业用电平均电价：根据国网河南省电力公司代理购电工商业用户电价表，本项目电压等级为1-10千伏区间，根据河南省发展改革委发布了《关于调整工商业分时电价有关事项的通知》规定：高峰段为16--24时，低谷时段为0时-次日7时，其余时段为平段，根据生产规律，高峰用电占比39%，平时段用电占比60%，低谷时段用电为1%，光伏发电主要集中在早上8-17点，工商业用电平均电价为0.65元/kWh左右（每月电价有一定浮动），出于谨慎性原则，光伏发电用电电价为0.57元/kWh，暂不考虑电价调幅。</w:t>
      </w:r>
    </w:p>
    <w:p w14:paraId="287C8C5A">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eastAsia="宋体"/>
          <w:lang w:eastAsia="zh-CN"/>
        </w:rPr>
      </w:pPr>
      <w:r>
        <w:rPr>
          <w:rFonts w:hint="eastAsia" w:eastAsia="宋体"/>
          <w:lang w:eastAsia="zh-CN"/>
        </w:rPr>
        <w:drawing>
          <wp:inline distT="0" distB="0" distL="114300" distR="114300">
            <wp:extent cx="5270500" cy="3602990"/>
            <wp:effectExtent l="0" t="0" r="6350" b="16510"/>
            <wp:docPr id="77" name="图片 10" descr="172066414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0" descr="1720664141104"/>
                    <pic:cNvPicPr>
                      <a:picLocks noChangeAspect="1"/>
                    </pic:cNvPicPr>
                  </pic:nvPicPr>
                  <pic:blipFill>
                    <a:blip r:embed="rId31"/>
                    <a:stretch>
                      <a:fillRect/>
                    </a:stretch>
                  </pic:blipFill>
                  <pic:spPr>
                    <a:xfrm>
                      <a:off x="0" y="0"/>
                      <a:ext cx="5270500" cy="3602990"/>
                    </a:xfrm>
                    <a:prstGeom prst="rect">
                      <a:avLst/>
                    </a:prstGeom>
                  </pic:spPr>
                </pic:pic>
              </a:graphicData>
            </a:graphic>
          </wp:inline>
        </w:drawing>
      </w:r>
    </w:p>
    <w:p w14:paraId="3B3355A9">
      <w:pPr>
        <w:pBdr>
          <w:bottom w:val="none" w:color="auto" w:sz="0" w:space="0"/>
        </w:pBdr>
        <w:snapToGrid/>
        <w:spacing w:line="240" w:lineRule="auto"/>
        <w:ind w:firstLineChars="200"/>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谨慎性原则，本次测算工商业用电平均电价为0.65元/kWh，则自发自用电费收益=（自用率*装机容量*1KW光伏装机容量平均日发电量*年发电天数-储能日储存电量*360）*工商业用电平均电价，贷款存续期间自用收益经营性收入估算合计为4554.38万元。（装机容量运营期首年衰减1%，以后每年衰减0.4%）详情请见估算表收入部分。</w:t>
      </w:r>
    </w:p>
    <w:p w14:paraId="7FDE3AAF">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2、储能电站收益</w:t>
      </w:r>
    </w:p>
    <w:p w14:paraId="1DE2F615">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（1）峰值需求量：</w:t>
      </w:r>
      <w:r>
        <w:rPr>
          <w:rFonts w:hint="eastAsia" w:ascii="宋体" w:hAnsi="宋体" w:eastAsia="宋体" w:cs="宋体"/>
          <w:i w:val="0"/>
          <w:strike w:val="0"/>
          <w:spacing w:val="0"/>
          <w:sz w:val="28"/>
          <w:u w:val="none"/>
        </w:rPr>
        <w:t>河南大成包装材料有限公司</w:t>
      </w:r>
      <w:r>
        <w:rPr>
          <w:rFonts w:ascii="宋体" w:hAnsi="宋体" w:eastAsia="宋体" w:cs="宋体"/>
          <w:i w:val="0"/>
          <w:strike w:val="0"/>
          <w:spacing w:val="0"/>
          <w:sz w:val="28"/>
          <w:u w:val="none"/>
        </w:rPr>
        <w:t>年用电需求</w:t>
      </w:r>
      <w:r>
        <w:rPr>
          <w:rFonts w:hint="eastAsia" w:ascii="宋体" w:hAnsi="宋体" w:eastAsia="宋体" w:cs="宋体"/>
          <w:i w:val="0"/>
          <w:strike w:val="0"/>
          <w:spacing w:val="0"/>
          <w:sz w:val="28"/>
          <w:u w:val="none"/>
          <w:lang w:val="en-US" w:eastAsia="zh-CN"/>
        </w:rPr>
        <w:t>4752</w:t>
      </w:r>
      <w:r>
        <w:rPr>
          <w:rFonts w:ascii="宋体" w:hAnsi="宋体" w:eastAsia="宋体" w:cs="宋体"/>
          <w:i w:val="0"/>
          <w:strike w:val="0"/>
          <w:spacing w:val="0"/>
          <w:sz w:val="28"/>
          <w:u w:val="none"/>
        </w:rPr>
        <w:t>万kWh，考虑到该企业是24小时生产，峰值用电</w:t>
      </w:r>
      <w:r>
        <w:rPr>
          <w:rFonts w:hint="eastAsia" w:ascii="宋体" w:hAnsi="宋体" w:eastAsia="宋体" w:cs="宋体"/>
          <w:i w:val="0"/>
          <w:strike w:val="0"/>
          <w:spacing w:val="0"/>
          <w:sz w:val="28"/>
          <w:u w:val="none"/>
          <w:lang w:val="en-US" w:eastAsia="zh-CN"/>
        </w:rPr>
        <w:t>1425.60</w:t>
      </w:r>
      <w:r>
        <w:rPr>
          <w:rFonts w:ascii="宋体" w:hAnsi="宋体" w:eastAsia="宋体" w:cs="宋体"/>
          <w:i w:val="0"/>
          <w:strike w:val="0"/>
          <w:spacing w:val="0"/>
          <w:sz w:val="28"/>
          <w:u w:val="none"/>
        </w:rPr>
        <w:t>万kWh（高峰段为16--24时），本</w:t>
      </w:r>
      <w:r>
        <w:rPr>
          <w:rFonts w:hint="eastAsia" w:ascii="宋体" w:hAnsi="宋体" w:eastAsia="宋体" w:cs="宋体"/>
          <w:snapToGrid/>
          <w:color w:val="auto"/>
          <w:spacing w:val="0"/>
          <w:w w:val="100"/>
          <w:kern w:val="2"/>
          <w:position w:val="0"/>
          <w:sz w:val="28"/>
          <w:szCs w:val="28"/>
          <w:lang w:val="en-US" w:eastAsia="zh-CN" w:bidi="zh-CN"/>
        </w:rPr>
        <w:t>项目配备储能发电系统，最大储能量为每天8*5000=40000kWh。为谨慎考虑，日出能量按照92%计算为36800kWh。年储能供电量是36800kWh*360=1324.80万kWh，可为满足该企业波峰用电需求。</w:t>
      </w:r>
    </w:p>
    <w:p w14:paraId="443C5C2B">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（2）储能销售电价：根据结合近2024年电力公司代理购电工商业用户电价表推算，</w:t>
      </w:r>
      <w:r>
        <w:rPr>
          <w:rFonts w:ascii="宋体" w:hAnsi="宋体" w:eastAsia="宋体" w:cs="宋体"/>
          <w:i w:val="0"/>
          <w:strike w:val="0"/>
          <w:spacing w:val="0"/>
          <w:sz w:val="28"/>
          <w:u w:val="none"/>
        </w:rPr>
        <w:t>峰值价差约为0.68元/kwh</w:t>
      </w:r>
      <w:r>
        <w:rPr>
          <w:rFonts w:hint="eastAsia" w:ascii="宋体" w:hAnsi="宋体" w:eastAsia="宋体" w:cs="宋体"/>
          <w:snapToGrid/>
          <w:color w:val="auto"/>
          <w:spacing w:val="0"/>
          <w:w w:val="100"/>
          <w:kern w:val="2"/>
          <w:position w:val="0"/>
          <w:sz w:val="28"/>
          <w:szCs w:val="28"/>
          <w:lang w:val="en-US" w:eastAsia="zh-CN" w:bidi="zh-CN"/>
        </w:rPr>
        <w:t>（未考虑尖峰电价），出于谨慎性原则，项目暂按差价0.61元/kWh测算。</w:t>
      </w:r>
    </w:p>
    <w:p w14:paraId="7B8EF08E">
      <w:pPr>
        <w:keepNext w:val="0"/>
        <w:keepLines w:val="0"/>
        <w:pageBreakBefore w:val="0"/>
        <w:widowControl w:val="0"/>
        <w:numPr>
          <w:ilvl w:val="0"/>
          <w:numId w:val="0"/>
        </w:numPr>
        <w:kinsoku/>
        <w:wordWrap/>
        <w:overflowPunct/>
        <w:topLinePunct w:val="0"/>
        <w:autoSpaceDE w:val="0"/>
        <w:autoSpaceDN w:val="0"/>
        <w:bidi w:val="0"/>
        <w:adjustRightInd/>
        <w:snapToGrid/>
        <w:spacing w:before="157" w:beforeLines="50" w:after="157" w:afterLines="50" w:line="360" w:lineRule="auto"/>
        <w:ind w:right="0" w:rightChars="0" w:firstLine="420" w:firstLineChars="200"/>
        <w:jc w:val="both"/>
        <w:textAlignment w:val="baseline"/>
        <w:rPr>
          <w:rFonts w:hint="eastAsia" w:ascii="宋体" w:hAnsi="宋体" w:eastAsia="宋体" w:cs="宋体"/>
          <w:i w:val="0"/>
          <w:strike w:val="0"/>
          <w:color w:val="000000"/>
          <w:spacing w:val="0"/>
          <w:sz w:val="28"/>
          <w:szCs w:val="28"/>
          <w:u w:val="none"/>
          <w:lang w:val="en-US" w:eastAsia="zh-CN"/>
        </w:rPr>
      </w:pPr>
      <w:r>
        <w:rPr>
          <w:rFonts w:hint="eastAsia" w:eastAsia="宋体"/>
          <w:lang w:eastAsia="zh-CN"/>
        </w:rPr>
        <w:drawing>
          <wp:inline distT="0" distB="0" distL="114300" distR="114300">
            <wp:extent cx="5270500" cy="2813685"/>
            <wp:effectExtent l="0" t="0" r="2540" b="5715"/>
            <wp:docPr id="80" name="图片 11" descr="1720664355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1" descr="1720664355964"/>
                    <pic:cNvPicPr>
                      <a:picLocks noChangeAspect="1"/>
                    </pic:cNvPicPr>
                  </pic:nvPicPr>
                  <pic:blipFill>
                    <a:blip r:embed="rId32"/>
                    <a:stretch>
                      <a:fillRect/>
                    </a:stretch>
                  </pic:blipFill>
                  <pic:spPr>
                    <a:xfrm>
                      <a:off x="0" y="0"/>
                      <a:ext cx="5270500" cy="2813685"/>
                    </a:xfrm>
                    <a:prstGeom prst="rect">
                      <a:avLst/>
                    </a:prstGeom>
                  </pic:spPr>
                </pic:pic>
              </a:graphicData>
            </a:graphic>
          </wp:inline>
        </w:drawing>
      </w:r>
    </w:p>
    <w:p w14:paraId="31606975">
      <w:pPr>
        <w:pBdr>
          <w:bottom w:val="none" w:color="auto" w:sz="0" w:space="0"/>
        </w:pBdr>
        <w:snapToGrid/>
        <w:spacing w:line="240" w:lineRule="auto"/>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则储能峰谷发电收益=日峰值需求量*峰谷价差*年发电天数，贷款存续期间自用收益及经营性收入估算合计为9451.58万元。</w:t>
      </w:r>
    </w:p>
    <w:p w14:paraId="1D952761">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3、电动汽车充电桩收入</w:t>
      </w:r>
    </w:p>
    <w:p w14:paraId="21966F12">
      <w:pPr>
        <w:pBdr>
          <w:bottom w:val="none" w:color="auto" w:sz="0" w:space="0"/>
        </w:pBdr>
        <w:snapToGrid/>
        <w:spacing w:line="240" w:lineRule="auto"/>
        <w:ind w:firstLineChars="200"/>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关于加快电动汽车充电基础设施建设的实施意见》以及《河南省发展改革委转发国家发展改革委关于电动汽车用电价格政策有关问题的通知》：充换电设施经营单位可向电动汽车用户收取电费及充电服务费两项费用。结合新乡市市市场价格，目前辖区范围内电动汽车充电服务费按充电的计量单位数(千瓦时)收取，社会车辆充电服务费标准暂定为0.8元/千瓦时。</w:t>
      </w:r>
    </w:p>
    <w:p w14:paraId="11AB1236">
      <w:pPr>
        <w:pBdr>
          <w:bottom w:val="none" w:color="auto" w:sz="0" w:space="0"/>
        </w:pBdr>
        <w:snapToGrid/>
        <w:spacing w:line="240" w:lineRule="auto"/>
        <w:ind w:firstLineChars="200"/>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设置600kw液冷充电桩5个。考虑到本项目的服务群体和区位，定价不宜过高，充电桩度电费用及充电服务费合计按0.65元/千瓦时计算，功率为600kw，利用率按照运营期第0.5年使用系数按50%，第二年按60%，第三年按70%，第四年按80%，第五年按90%，第六年及以后按95%计算。每个充电桩每天工作0.5小时，年使用360天，每小时充电600度。贷款存续期间充电桩收入估算合计为347.49万元</w:t>
      </w:r>
      <w:r>
        <w:rPr>
          <w:rFonts w:ascii="宋体" w:hAnsi="宋体" w:eastAsia="宋体" w:cs="宋体"/>
          <w:i w:val="0"/>
          <w:strike w:val="0"/>
          <w:spacing w:val="0"/>
          <w:sz w:val="28"/>
          <w:u w:val="none"/>
        </w:rPr>
        <w:t>。</w:t>
      </w:r>
    </w:p>
    <w:p w14:paraId="3D6A2D28">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综上所述，项目12年运营期内总收入为14353.45万元。</w:t>
      </w:r>
    </w:p>
    <w:p w14:paraId="2197E417">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6.2.5 项目成本测算</w:t>
      </w:r>
    </w:p>
    <w:p w14:paraId="65B7BFC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1、燃料动力费</w:t>
      </w:r>
    </w:p>
    <w:p w14:paraId="79031FF6">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建设完成后，本项目生产服务用房用电用水由运营方承担。按实际生产量估算，价格依据现行市场确定，当项目达到设计达产能力100%，年成本费用为2.6万元/年，考虑到储能波谷充电，波峰放电，电池充电放每天消耗电能3200kWh，波谷充电成本0.35元/kWh，年消耗电能3200kWh*360*0.35元/kWh=40.32万元。</w:t>
      </w:r>
      <w:r>
        <w:rPr>
          <w:rFonts w:ascii="宋体" w:hAnsi="宋体" w:eastAsia="宋体" w:cs="宋体"/>
          <w:i w:val="0"/>
          <w:strike w:val="0"/>
          <w:color w:val="000000"/>
          <w:spacing w:val="0"/>
          <w:sz w:val="28"/>
          <w:u w:val="none"/>
        </w:rPr>
        <w:t>项目运营期内年均</w:t>
      </w:r>
      <w:r>
        <w:rPr>
          <w:rFonts w:hint="eastAsia" w:ascii="宋体" w:hAnsi="宋体" w:eastAsia="宋体" w:cs="宋体"/>
          <w:snapToGrid/>
          <w:color w:val="auto"/>
          <w:spacing w:val="0"/>
          <w:w w:val="100"/>
          <w:kern w:val="2"/>
          <w:position w:val="0"/>
          <w:sz w:val="28"/>
          <w:szCs w:val="28"/>
          <w:lang w:val="en-US" w:eastAsia="zh-CN" w:bidi="zh-CN"/>
        </w:rPr>
        <w:t>燃料动力费成本41.17万元。</w:t>
      </w:r>
    </w:p>
    <w:p w14:paraId="51389EA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2、人员工资与福利成本</w:t>
      </w:r>
    </w:p>
    <w:p w14:paraId="4E89529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本项目编制拟定为6人，主要为运营、维修维护管理人员，平均工资标准为100000元/年，</w:t>
      </w:r>
      <w:r>
        <w:rPr>
          <w:rFonts w:ascii="宋体" w:hAnsi="宋体" w:eastAsia="宋体" w:cs="宋体"/>
          <w:i w:val="0"/>
          <w:strike w:val="0"/>
          <w:spacing w:val="0"/>
          <w:sz w:val="28"/>
          <w:u w:val="none"/>
        </w:rPr>
        <w:t>考虑平均社会发展水平，费用每年</w:t>
      </w:r>
      <w:r>
        <w:rPr>
          <w:rFonts w:hint="eastAsia" w:ascii="宋体" w:hAnsi="宋体" w:eastAsia="宋体" w:cs="宋体"/>
          <w:i w:val="0"/>
          <w:strike w:val="0"/>
          <w:spacing w:val="0"/>
          <w:sz w:val="28"/>
          <w:u w:val="none"/>
          <w:lang w:val="en-US" w:eastAsia="zh-CN"/>
        </w:rPr>
        <w:t>3</w:t>
      </w:r>
      <w:r>
        <w:rPr>
          <w:rFonts w:ascii="宋体" w:hAnsi="宋体" w:eastAsia="宋体" w:cs="宋体"/>
          <w:i w:val="0"/>
          <w:strike w:val="0"/>
          <w:spacing w:val="0"/>
          <w:sz w:val="28"/>
          <w:u w:val="none"/>
        </w:rPr>
        <w:t>增长</w:t>
      </w:r>
      <w:r>
        <w:rPr>
          <w:rFonts w:hint="eastAsia" w:ascii="宋体" w:hAnsi="宋体" w:eastAsia="宋体" w:cs="宋体"/>
          <w:i w:val="0"/>
          <w:strike w:val="0"/>
          <w:spacing w:val="0"/>
          <w:sz w:val="28"/>
          <w:u w:val="none"/>
          <w:lang w:val="en-US" w:eastAsia="zh-CN"/>
        </w:rPr>
        <w:t>5</w:t>
      </w:r>
      <w:r>
        <w:rPr>
          <w:rFonts w:ascii="宋体" w:hAnsi="宋体" w:eastAsia="宋体" w:cs="宋体"/>
          <w:i w:val="0"/>
          <w:strike w:val="0"/>
          <w:spacing w:val="0"/>
          <w:sz w:val="28"/>
          <w:u w:val="none"/>
        </w:rPr>
        <w:t>%；</w:t>
      </w:r>
      <w:r>
        <w:rPr>
          <w:rFonts w:hint="eastAsia" w:ascii="宋体" w:hAnsi="宋体" w:eastAsia="宋体" w:cs="宋体"/>
          <w:snapToGrid/>
          <w:color w:val="auto"/>
          <w:spacing w:val="0"/>
          <w:w w:val="100"/>
          <w:kern w:val="2"/>
          <w:position w:val="0"/>
          <w:sz w:val="28"/>
          <w:szCs w:val="28"/>
          <w:lang w:val="en-US" w:eastAsia="zh-CN" w:bidi="zh-CN"/>
        </w:rPr>
        <w:t>经计算，年均职工薪酬及福利费为62.14万元。</w:t>
      </w:r>
    </w:p>
    <w:p w14:paraId="5FAE41E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3、保洁维护费</w:t>
      </w:r>
    </w:p>
    <w:p w14:paraId="7B441F39">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参考市场运维成本，结合项目实际情况，按照年折旧费的8%计取</w:t>
      </w:r>
      <w:r>
        <w:rPr>
          <w:rFonts w:hint="eastAsia" w:ascii="宋体" w:hAnsi="宋体" w:eastAsia="宋体" w:cs="宋体"/>
          <w:i w:val="0"/>
          <w:strike w:val="0"/>
          <w:snapToGrid/>
          <w:color w:val="auto"/>
          <w:spacing w:val="0"/>
          <w:w w:val="100"/>
          <w:kern w:val="2"/>
          <w:position w:val="0"/>
          <w:sz w:val="28"/>
          <w:szCs w:val="28"/>
          <w:u w:val="none"/>
          <w:lang w:val="en-US" w:eastAsia="zh-CN" w:bidi="zh-CN"/>
        </w:rPr>
        <w:t>，</w:t>
      </w:r>
      <w:r>
        <w:rPr>
          <w:rFonts w:hint="eastAsia" w:ascii="宋体" w:hAnsi="宋体" w:eastAsia="宋体" w:cs="宋体"/>
          <w:snapToGrid/>
          <w:color w:val="auto"/>
          <w:spacing w:val="0"/>
          <w:w w:val="100"/>
          <w:kern w:val="2"/>
          <w:position w:val="0"/>
          <w:sz w:val="28"/>
          <w:szCs w:val="28"/>
          <w:lang w:val="en-US" w:eastAsia="zh-CN" w:bidi="zh-CN"/>
        </w:rPr>
        <w:t>经计算</w:t>
      </w:r>
      <w:r>
        <w:rPr>
          <w:rFonts w:ascii="宋体" w:hAnsi="宋体" w:eastAsia="宋体" w:cs="宋体"/>
          <w:i w:val="0"/>
          <w:strike w:val="0"/>
          <w:spacing w:val="0"/>
          <w:sz w:val="28"/>
          <w:u w:val="none"/>
        </w:rPr>
        <w:t>项目运营期内年均保洁维护费为28.79万元。</w:t>
      </w:r>
    </w:p>
    <w:p w14:paraId="08BA489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firstLineChars="200"/>
        <w:jc w:val="both"/>
        <w:textAlignment w:val="auto"/>
        <w:outlineLvl w:val="9"/>
        <w:rPr>
          <w:rFonts w:ascii="宋体" w:hAnsi="宋体" w:eastAsia="宋体" w:cs="宋体"/>
          <w:i w:val="0"/>
          <w:strike w:val="0"/>
          <w:color w:val="000000"/>
          <w:spacing w:val="0"/>
          <w:sz w:val="28"/>
          <w:u w:val="none"/>
        </w:rPr>
      </w:pPr>
      <w:r>
        <w:rPr>
          <w:rFonts w:ascii="宋体" w:hAnsi="宋体" w:eastAsia="宋体" w:cs="宋体"/>
          <w:i w:val="0"/>
          <w:strike w:val="0"/>
          <w:color w:val="000000"/>
          <w:spacing w:val="0"/>
          <w:sz w:val="28"/>
          <w:u w:val="none"/>
        </w:rPr>
        <w:t>4、折旧与摊销</w:t>
      </w:r>
    </w:p>
    <w:p w14:paraId="7650553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本项目按直线法计算折旧，本项目主要是光伏设备和储能设备，该设备折旧年限为20年，残值率为5%。项目运营期内年均折旧额为359.53万元。</w:t>
      </w:r>
    </w:p>
    <w:p w14:paraId="28E7B15B">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5、运营及管理费</w:t>
      </w:r>
    </w:p>
    <w:p w14:paraId="7BC4CAF5">
      <w:pPr>
        <w:keepNext w:val="0"/>
        <w:keepLines w:val="0"/>
        <w:pageBreakBefore w:val="0"/>
        <w:widowControl w:val="0"/>
        <w:pBdr>
          <w:bottom w:val="none" w:color="auto" w:sz="0" w:space="0"/>
        </w:pBdr>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主要为光伏发电设备、储能系统管理和光伏充电桩等，结合项目实际情况，按照年营业收入2%计取，则项目合计运营及管理费年均为23.92万元。</w:t>
      </w:r>
    </w:p>
    <w:p w14:paraId="02F8A51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7、利息支出</w:t>
      </w:r>
    </w:p>
    <w:p w14:paraId="361E715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项目申请贷款7000万元，年限为12年，其中建设期0.5年，建设期利息计入总投资，利率为4.50%。运营期内每年还本付息，具体情况见《还本付息表》。</w:t>
      </w:r>
    </w:p>
    <w:p w14:paraId="55E0246D">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color w:val="auto"/>
          <w:sz w:val="28"/>
          <w:szCs w:val="28"/>
        </w:rPr>
      </w:pPr>
      <w:r>
        <w:rPr>
          <w:rFonts w:hint="eastAsia" w:ascii="宋体" w:hAnsi="宋体" w:eastAsia="宋体" w:cs="宋体"/>
          <w:b/>
          <w:bCs/>
          <w:color w:val="auto"/>
          <w:sz w:val="28"/>
          <w:szCs w:val="28"/>
        </w:rPr>
        <w:t>6.2.6 总投资收益率（ROI）</w:t>
      </w:r>
    </w:p>
    <w:p w14:paraId="2772D0D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按照《方法与参数》的规定，总投资收益率（ROI）表示总投资的盈利水平，指项目到达设计能力后正常年份的年息税前利润或运营期内年平均息税前利润（EBIT）与项目总投资（TI）的比率；总投资收益率按照下式计算：</w:t>
      </w:r>
    </w:p>
    <w:p w14:paraId="32115396">
      <w:pPr>
        <w:keepNext w:val="0"/>
        <w:keepLines w:val="0"/>
        <w:pageBreakBefore w:val="0"/>
        <w:widowControl w:val="0"/>
        <w:kinsoku/>
        <w:wordWrap/>
        <w:overflowPunct/>
        <w:topLinePunct w:val="0"/>
        <w:autoSpaceDE w:val="0"/>
        <w:autoSpaceDN w:val="0"/>
        <w:bidi w:val="0"/>
        <w:adjustRightInd/>
        <w:snapToGrid/>
        <w:spacing w:before="157" w:beforeLines="50" w:after="157" w:afterLines="50" w:line="360" w:lineRule="auto"/>
        <w:ind w:left="0" w:right="0" w:firstLine="0" w:firstLineChars="0"/>
        <w:jc w:val="center"/>
        <w:textAlignment w:val="baseline"/>
        <w:rPr>
          <w:color w:val="auto"/>
        </w:rPr>
      </w:pPr>
      <w:r>
        <w:rPr>
          <w:rFonts w:ascii="宋体" w:hAnsi="宋体" w:eastAsia="宋体" w:cs="宋体"/>
          <w:i w:val="0"/>
          <w:strike w:val="0"/>
          <w:color w:val="auto"/>
          <w:spacing w:val="0"/>
          <w:sz w:val="28"/>
          <w:u w:val="none"/>
        </w:rPr>
        <w:t>RO</w:t>
      </w:r>
      <w:r>
        <w:rPr>
          <w:rFonts w:hint="eastAsia" w:ascii="宋体" w:hAnsi="宋体" w:eastAsia="宋体" w:cs="宋体"/>
          <w:i w:val="0"/>
          <w:strike w:val="0"/>
          <w:color w:val="auto"/>
          <w:spacing w:val="0"/>
          <w:sz w:val="28"/>
          <w:u w:val="none"/>
          <w:lang w:val="en-US" w:eastAsia="zh-CN"/>
        </w:rPr>
        <w:t>I</w:t>
      </w:r>
      <w:r>
        <w:rPr>
          <w:rFonts w:ascii="宋体" w:hAnsi="宋体" w:eastAsia="宋体" w:cs="宋体"/>
          <w:i w:val="0"/>
          <w:strike w:val="0"/>
          <w:color w:val="auto"/>
          <w:spacing w:val="0"/>
          <w:sz w:val="28"/>
          <w:u w:val="none"/>
        </w:rPr>
        <w:t>=EBIT/TI*100%=5.91%</w:t>
      </w:r>
    </w:p>
    <w:p w14:paraId="451B0B7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式中：EBIT—项目正常年份的年息税前利润或运营期内年平均息税前利润；TI—项目总投资</w:t>
      </w:r>
    </w:p>
    <w:p w14:paraId="0BD84C33">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6.2.7 资本金净利润率（ROE）</w:t>
      </w:r>
    </w:p>
    <w:p w14:paraId="25ABB5E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按照《方法与参数》的规定，资本金净利润率（ROE）表示利润总额占用资本金的百分比，这个比值反映了投资者投入企业资本金的获利能力，是一种获利能力的标准性的指标。其计算公式如下：</w:t>
      </w:r>
    </w:p>
    <w:p w14:paraId="7B3AC240">
      <w:pPr>
        <w:keepNext w:val="0"/>
        <w:keepLines w:val="0"/>
        <w:pageBreakBefore w:val="0"/>
        <w:widowControl w:val="0"/>
        <w:kinsoku/>
        <w:wordWrap/>
        <w:overflowPunct/>
        <w:topLinePunct w:val="0"/>
        <w:autoSpaceDE w:val="0"/>
        <w:autoSpaceDN w:val="0"/>
        <w:bidi w:val="0"/>
        <w:adjustRightInd/>
        <w:snapToGrid/>
        <w:spacing w:before="157" w:beforeLines="50" w:after="157" w:afterLines="50" w:line="360" w:lineRule="auto"/>
        <w:ind w:left="0" w:right="0" w:firstLine="0" w:firstLineChars="0"/>
        <w:jc w:val="center"/>
        <w:textAlignment w:val="baseline"/>
        <w:rPr>
          <w:rFonts w:ascii="宋体" w:hAnsi="宋体" w:eastAsia="宋体" w:cs="宋体"/>
          <w:i w:val="0"/>
          <w:strike w:val="0"/>
          <w:color w:val="000000"/>
          <w:spacing w:val="0"/>
          <w:sz w:val="28"/>
          <w:u w:val="none"/>
        </w:rPr>
      </w:pPr>
      <w:r>
        <w:rPr>
          <w:rFonts w:ascii="宋体" w:hAnsi="宋体" w:eastAsia="宋体" w:cs="宋体"/>
          <w:i w:val="0"/>
          <w:strike w:val="0"/>
          <w:color w:val="000000"/>
          <w:spacing w:val="0"/>
          <w:sz w:val="28"/>
          <w:u w:val="none"/>
        </w:rPr>
        <w:t>ROE=NP/EC*100%=14.99%</w:t>
      </w:r>
    </w:p>
    <w:p w14:paraId="1443994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其中：NP—项目达到设计生产能力后正常年份的税后净利润或运营期内税后年平均净利润，净利润=利润总额-所得税；EC—项目资本金。</w:t>
      </w:r>
    </w:p>
    <w:p w14:paraId="01B82155">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6.2.8 税后财务内部收益率（FIRR）</w:t>
      </w:r>
    </w:p>
    <w:p w14:paraId="2C6EC6D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按照《方法与参数》的规定，财务内部收益率（FIRR）系指项目计算期内净现金流量现值累计等于零时的折现率。其计算公式如下：</w:t>
      </w:r>
    </w:p>
    <w:p w14:paraId="5E61397F">
      <w:pPr>
        <w:keepNext w:val="0"/>
        <w:keepLines w:val="0"/>
        <w:pageBreakBefore w:val="0"/>
        <w:widowControl w:val="0"/>
        <w:kinsoku/>
        <w:wordWrap/>
        <w:overflowPunct/>
        <w:topLinePunct/>
        <w:autoSpaceDE w:val="0"/>
        <w:autoSpaceDN/>
        <w:bidi w:val="0"/>
        <w:adjustRightInd/>
        <w:snapToGrid/>
        <w:spacing w:before="157" w:beforeLines="50" w:after="157" w:afterLines="50" w:line="360" w:lineRule="auto"/>
        <w:ind w:left="0"/>
        <w:jc w:val="center"/>
        <w:textAlignment w:val="baseline"/>
        <w:rPr>
          <w:color w:val="FF0000"/>
        </w:rPr>
      </w:pPr>
      <w:r>
        <w:rPr>
          <w:color w:val="FF0000"/>
        </w:rPr>
        <w:drawing>
          <wp:inline distT="0" distB="0" distL="0" distR="0">
            <wp:extent cx="2362200" cy="542290"/>
            <wp:effectExtent l="0" t="0" r="0" b="10160"/>
            <wp:docPr id="83" name="picture" descr="descript"/>
            <wp:cNvGraphicFramePr/>
            <a:graphic xmlns:a="http://schemas.openxmlformats.org/drawingml/2006/main">
              <a:graphicData uri="http://schemas.openxmlformats.org/drawingml/2006/picture">
                <pic:pic xmlns:pic="http://schemas.openxmlformats.org/drawingml/2006/picture">
                  <pic:nvPicPr>
                    <pic:cNvPr id="83" name="picture" descr="descript"/>
                    <pic:cNvPicPr/>
                  </pic:nvPicPr>
                  <pic:blipFill>
                    <a:blip r:embed="rId33"/>
                    <a:stretch>
                      <a:fillRect/>
                    </a:stretch>
                  </pic:blipFill>
                  <pic:spPr>
                    <a:xfrm>
                      <a:off x="0" y="0"/>
                      <a:ext cx="2362200" cy="542290"/>
                    </a:xfrm>
                    <a:prstGeom prst="rect">
                      <a:avLst/>
                    </a:prstGeom>
                  </pic:spPr>
                </pic:pic>
              </a:graphicData>
            </a:graphic>
          </wp:inline>
        </w:drawing>
      </w:r>
    </w:p>
    <w:p w14:paraId="73F5929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式中：CI为现金流入，CO为现金流出，下同。</w:t>
      </w:r>
    </w:p>
    <w:p w14:paraId="3CC600F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本项目税后全部投资财务内部收益率（FIRR）计算结果为7.98%。</w:t>
      </w:r>
    </w:p>
    <w:p w14:paraId="05D61F7E">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6.2.9 税后财务净现值（FNPV）</w:t>
      </w:r>
    </w:p>
    <w:p w14:paraId="2C8BFB5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按照《方法与参数》的规定，财务净现值（FNPV）系指按设定的折现率（一般采用基准收益率ic）计算项目计算期内各年净现金流量的现值之和。</w:t>
      </w:r>
    </w:p>
    <w:p w14:paraId="16E2B2B6">
      <w:pPr>
        <w:snapToGrid/>
        <w:spacing w:before="161" w:after="161" w:line="360" w:lineRule="auto"/>
        <w:ind w:left="0"/>
        <w:jc w:val="center"/>
        <w:rPr>
          <w:color w:val="FF0000"/>
        </w:rPr>
      </w:pPr>
      <w:r>
        <w:rPr>
          <w:color w:val="FF0000"/>
        </w:rPr>
        <w:drawing>
          <wp:inline distT="0" distB="0" distL="0" distR="0">
            <wp:extent cx="2514600" cy="457200"/>
            <wp:effectExtent l="0" t="0" r="0" b="0"/>
            <wp:docPr id="86" name="picture" descr="descript"/>
            <wp:cNvGraphicFramePr/>
            <a:graphic xmlns:a="http://schemas.openxmlformats.org/drawingml/2006/main">
              <a:graphicData uri="http://schemas.openxmlformats.org/drawingml/2006/picture">
                <pic:pic xmlns:pic="http://schemas.openxmlformats.org/drawingml/2006/picture">
                  <pic:nvPicPr>
                    <pic:cNvPr id="86" name="picture" descr="descript"/>
                    <pic:cNvPicPr/>
                  </pic:nvPicPr>
                  <pic:blipFill>
                    <a:blip r:embed="rId34"/>
                    <a:stretch>
                      <a:fillRect/>
                    </a:stretch>
                  </pic:blipFill>
                  <pic:spPr>
                    <a:xfrm>
                      <a:off x="0" y="0"/>
                      <a:ext cx="2514600" cy="457200"/>
                    </a:xfrm>
                    <a:prstGeom prst="rect">
                      <a:avLst/>
                    </a:prstGeom>
                  </pic:spPr>
                </pic:pic>
              </a:graphicData>
            </a:graphic>
          </wp:inline>
        </w:drawing>
      </w:r>
    </w:p>
    <w:p w14:paraId="5BDAA08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式中Ic为基准收益率，本项目为4.2%。</w:t>
      </w:r>
    </w:p>
    <w:p w14:paraId="3D626F1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本项目税后全部投资财务净现值（FNPV）计算结果为2151.65万元。</w:t>
      </w:r>
    </w:p>
    <w:p w14:paraId="1D3B6533">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6.2.10 所得税后动态投资回收期（Pt）</w:t>
      </w:r>
    </w:p>
    <w:p w14:paraId="0CD30DD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按照《方法与参数》的规定，投资回收期（Pt）系指以项目的净收益回收项目投资所需要的时间。其计算公式如下：</w:t>
      </w:r>
    </w:p>
    <w:p w14:paraId="2A38FEE8">
      <w:pPr>
        <w:keepNext w:val="0"/>
        <w:keepLines w:val="0"/>
        <w:pageBreakBefore w:val="0"/>
        <w:widowControl w:val="0"/>
        <w:kinsoku/>
        <w:wordWrap/>
        <w:overflowPunct/>
        <w:topLinePunct/>
        <w:autoSpaceDE w:val="0"/>
        <w:autoSpaceDN/>
        <w:bidi w:val="0"/>
        <w:adjustRightInd/>
        <w:snapToGrid/>
        <w:spacing w:before="157" w:beforeLines="50" w:after="28" w:line="360" w:lineRule="auto"/>
        <w:ind w:left="0" w:firstLine="560" w:firstLineChars="200"/>
        <w:jc w:val="center"/>
        <w:textAlignment w:val="baseline"/>
        <w:rPr>
          <w:rFonts w:ascii="宋体" w:hAnsi="宋体" w:eastAsia="宋体" w:cs="宋体"/>
          <w:i w:val="0"/>
          <w:strike w:val="0"/>
          <w:color w:val="000000"/>
          <w:spacing w:val="0"/>
          <w:sz w:val="28"/>
          <w:u w:val="none"/>
        </w:rPr>
      </w:pPr>
      <w:r>
        <w:rPr>
          <w:rFonts w:ascii="宋体" w:hAnsi="宋体" w:eastAsia="宋体" w:cs="宋体"/>
          <w:i w:val="0"/>
          <w:strike w:val="0"/>
          <w:color w:val="000000"/>
          <w:spacing w:val="0"/>
          <w:sz w:val="28"/>
          <w:u w:val="none"/>
        </w:rPr>
        <w:drawing>
          <wp:inline distT="0" distB="0" distL="0" distR="0">
            <wp:extent cx="1447800" cy="533400"/>
            <wp:effectExtent l="0" t="0" r="0" b="0"/>
            <wp:docPr id="89" name="picture" descr="descript"/>
            <wp:cNvGraphicFramePr/>
            <a:graphic xmlns:a="http://schemas.openxmlformats.org/drawingml/2006/main">
              <a:graphicData uri="http://schemas.openxmlformats.org/drawingml/2006/picture">
                <pic:pic xmlns:pic="http://schemas.openxmlformats.org/drawingml/2006/picture">
                  <pic:nvPicPr>
                    <pic:cNvPr id="89" name="picture" descr="descript"/>
                    <pic:cNvPicPr/>
                  </pic:nvPicPr>
                  <pic:blipFill>
                    <a:blip r:embed="rId35"/>
                    <a:stretch>
                      <a:fillRect/>
                    </a:stretch>
                  </pic:blipFill>
                  <pic:spPr>
                    <a:xfrm>
                      <a:off x="0" y="0"/>
                      <a:ext cx="1447800" cy="533400"/>
                    </a:xfrm>
                    <a:prstGeom prst="rect">
                      <a:avLst/>
                    </a:prstGeom>
                  </pic:spPr>
                </pic:pic>
              </a:graphicData>
            </a:graphic>
          </wp:inline>
        </w:drawing>
      </w:r>
    </w:p>
    <w:p w14:paraId="6119607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本项目税后投资回收期（Pt）经计算为11.26年（含建设期）。</w:t>
      </w:r>
    </w:p>
    <w:p w14:paraId="2FD54CB8">
      <w:pPr>
        <w:keepNext w:val="0"/>
        <w:keepLines w:val="0"/>
        <w:pageBreakBefore w:val="0"/>
        <w:widowControl w:val="0"/>
        <w:kinsoku/>
        <w:wordWrap/>
        <w:overflowPunct/>
        <w:topLinePunct/>
        <w:autoSpaceDE w:val="0"/>
        <w:autoSpaceDN/>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6.2.11 盈亏平衡分析</w:t>
      </w:r>
    </w:p>
    <w:p w14:paraId="5F3CA4C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各种不确定性因素的变化会影响投资方案的经济效果，当这些因素的变化达到某一临界值时，就会使方案的损益情况产生质变。</w:t>
      </w:r>
    </w:p>
    <w:p w14:paraId="083F731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进行盈亏平衡分析，目的是找出该临界值，以判断投资方案对不确定性因素变化的承受能力，旨在为决策提供依据。</w:t>
      </w:r>
    </w:p>
    <w:p w14:paraId="2A4393D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盈亏平衡分析是通过盈亏平衡点（BEP）分析项目成本与收益的平衡关系的一种方法。盈亏平衡点通常根据正常年份的经营收入、可变成本、固定成本、价格和税金及附加等数据计算，用项目能力利用率表示。其计算公式为：</w:t>
      </w:r>
    </w:p>
    <w:p w14:paraId="5616F1C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BEP项目能力利用率=年固定成本/（年营业收入-年可变成本-年营业税金及附加）×100％=50.92%</w:t>
      </w:r>
    </w:p>
    <w:p w14:paraId="13B943F6">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6.2.12 敏感性分析</w:t>
      </w:r>
    </w:p>
    <w:p w14:paraId="7340CAC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本项目主要风险因素包括销售收入、原材料、经营成本、固定资产投资等因素的变化，而投资值的影响。</w:t>
      </w:r>
    </w:p>
    <w:p w14:paraId="1B967D3B">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基本方案的基本指标，满足了财务基准值的要求，考虑项目实施过程中的一些不确定因素的变化，分别对销售价格、销售量(增减幅度分别为5%、10%、15%、-5%、-10%和-15%)、经营成本、固定资产投资进行单因素分析(增减幅度分别为5%、10%、15%、-5%、-10%和-15%)，销售价格与销售量的变化数值从理论上分析应该是一致的，即单因素变化对内部收益率、投资回收期的影响进行敏感性分析。</w:t>
      </w:r>
    </w:p>
    <w:p w14:paraId="62C3303A">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rPr>
        <w:t>财务敏感性分析表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5"/>
        <w:gridCol w:w="1095"/>
        <w:gridCol w:w="990"/>
        <w:gridCol w:w="975"/>
        <w:gridCol w:w="990"/>
        <w:gridCol w:w="975"/>
        <w:gridCol w:w="990"/>
        <w:gridCol w:w="1110"/>
      </w:tblGrid>
      <w:tr w14:paraId="7F907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42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457B0A33">
            <w:pPr>
              <w:widowControl w:val="0"/>
              <w:snapToGrid/>
              <w:spacing w:before="0" w:after="0" w:line="240" w:lineRule="auto"/>
              <w:jc w:val="center"/>
              <w:rPr>
                <w:color w:val="auto"/>
              </w:rPr>
            </w:pPr>
            <w:r>
              <w:rPr>
                <w:rFonts w:ascii="宋体" w:hAnsi="宋体" w:eastAsia="宋体" w:cs="宋体"/>
                <w:i w:val="0"/>
                <w:strike w:val="0"/>
                <w:color w:val="auto"/>
                <w:spacing w:val="0"/>
                <w:sz w:val="21"/>
                <w:u w:val="none"/>
              </w:rPr>
              <w:t>变动幅度</w:t>
            </w:r>
          </w:p>
        </w:tc>
        <w:tc>
          <w:tcPr>
            <w:tcW w:w="109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1FB1FC67">
            <w:pPr>
              <w:widowControl w:val="0"/>
              <w:snapToGrid/>
              <w:spacing w:before="0" w:after="0" w:line="240" w:lineRule="auto"/>
              <w:jc w:val="center"/>
              <w:rPr>
                <w:color w:val="auto"/>
              </w:rPr>
            </w:pPr>
            <w:r>
              <w:rPr>
                <w:rFonts w:ascii="宋体" w:hAnsi="宋体" w:eastAsia="宋体" w:cs="宋体"/>
                <w:i w:val="0"/>
                <w:strike w:val="0"/>
                <w:color w:val="auto"/>
                <w:spacing w:val="0"/>
                <w:sz w:val="21"/>
                <w:u w:val="none"/>
              </w:rPr>
              <w:t>-15%</w:t>
            </w:r>
          </w:p>
        </w:tc>
        <w:tc>
          <w:tcPr>
            <w:tcW w:w="99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61ACB698">
            <w:pPr>
              <w:widowControl w:val="0"/>
              <w:snapToGrid/>
              <w:spacing w:before="0" w:after="0" w:line="240" w:lineRule="auto"/>
              <w:jc w:val="center"/>
              <w:rPr>
                <w:color w:val="auto"/>
              </w:rPr>
            </w:pPr>
            <w:r>
              <w:rPr>
                <w:rFonts w:ascii="宋体" w:hAnsi="宋体" w:eastAsia="宋体" w:cs="宋体"/>
                <w:i w:val="0"/>
                <w:strike w:val="0"/>
                <w:color w:val="auto"/>
                <w:spacing w:val="0"/>
                <w:sz w:val="21"/>
                <w:u w:val="none"/>
              </w:rPr>
              <w:t>-10%</w:t>
            </w:r>
          </w:p>
        </w:tc>
        <w:tc>
          <w:tcPr>
            <w:tcW w:w="97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0725A419">
            <w:pPr>
              <w:widowControl w:val="0"/>
              <w:snapToGrid/>
              <w:spacing w:before="0" w:after="0" w:line="240" w:lineRule="auto"/>
              <w:jc w:val="center"/>
              <w:rPr>
                <w:color w:val="auto"/>
              </w:rPr>
            </w:pPr>
            <w:r>
              <w:rPr>
                <w:rFonts w:ascii="宋体" w:hAnsi="宋体" w:eastAsia="宋体" w:cs="宋体"/>
                <w:i w:val="0"/>
                <w:strike w:val="0"/>
                <w:color w:val="auto"/>
                <w:spacing w:val="0"/>
                <w:sz w:val="21"/>
                <w:u w:val="none"/>
              </w:rPr>
              <w:t>-5%</w:t>
            </w:r>
          </w:p>
        </w:tc>
        <w:tc>
          <w:tcPr>
            <w:tcW w:w="99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05AFB677">
            <w:pPr>
              <w:widowControl w:val="0"/>
              <w:snapToGrid/>
              <w:spacing w:before="0" w:after="0" w:line="240" w:lineRule="auto"/>
              <w:jc w:val="center"/>
              <w:rPr>
                <w:color w:val="auto"/>
              </w:rPr>
            </w:pPr>
            <w:r>
              <w:rPr>
                <w:rFonts w:ascii="宋体" w:hAnsi="宋体" w:eastAsia="宋体" w:cs="宋体"/>
                <w:i w:val="0"/>
                <w:strike w:val="0"/>
                <w:color w:val="auto"/>
                <w:spacing w:val="0"/>
                <w:sz w:val="21"/>
                <w:u w:val="none"/>
              </w:rPr>
              <w:t>0%</w:t>
            </w:r>
          </w:p>
        </w:tc>
        <w:tc>
          <w:tcPr>
            <w:tcW w:w="97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03AACB87">
            <w:pPr>
              <w:widowControl w:val="0"/>
              <w:snapToGrid/>
              <w:spacing w:before="0" w:after="0" w:line="240" w:lineRule="auto"/>
              <w:jc w:val="center"/>
              <w:rPr>
                <w:color w:val="auto"/>
              </w:rPr>
            </w:pPr>
            <w:r>
              <w:rPr>
                <w:rFonts w:ascii="宋体" w:hAnsi="宋体" w:eastAsia="宋体" w:cs="宋体"/>
                <w:i w:val="0"/>
                <w:strike w:val="0"/>
                <w:color w:val="auto"/>
                <w:spacing w:val="0"/>
                <w:sz w:val="21"/>
                <w:u w:val="none"/>
              </w:rPr>
              <w:t>5%</w:t>
            </w:r>
          </w:p>
        </w:tc>
        <w:tc>
          <w:tcPr>
            <w:tcW w:w="99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464ED3E8">
            <w:pPr>
              <w:widowControl w:val="0"/>
              <w:snapToGrid/>
              <w:spacing w:before="0" w:after="0" w:line="240" w:lineRule="auto"/>
              <w:jc w:val="center"/>
              <w:rPr>
                <w:color w:val="auto"/>
              </w:rPr>
            </w:pPr>
            <w:r>
              <w:rPr>
                <w:rFonts w:ascii="宋体" w:hAnsi="宋体" w:eastAsia="宋体" w:cs="宋体"/>
                <w:i w:val="0"/>
                <w:strike w:val="0"/>
                <w:color w:val="auto"/>
                <w:spacing w:val="0"/>
                <w:sz w:val="21"/>
                <w:u w:val="none"/>
              </w:rPr>
              <w:t>10%</w:t>
            </w:r>
          </w:p>
        </w:tc>
        <w:tc>
          <w:tcPr>
            <w:tcW w:w="111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5A566A9A">
            <w:pPr>
              <w:widowControl w:val="0"/>
              <w:snapToGrid/>
              <w:spacing w:before="0" w:after="0" w:line="240" w:lineRule="auto"/>
              <w:jc w:val="center"/>
              <w:rPr>
                <w:color w:val="auto"/>
              </w:rPr>
            </w:pPr>
            <w:r>
              <w:rPr>
                <w:rFonts w:ascii="宋体" w:hAnsi="宋体" w:eastAsia="宋体" w:cs="宋体"/>
                <w:i w:val="0"/>
                <w:strike w:val="0"/>
                <w:color w:val="auto"/>
                <w:spacing w:val="0"/>
                <w:sz w:val="21"/>
                <w:u w:val="none"/>
              </w:rPr>
              <w:t>15%</w:t>
            </w:r>
          </w:p>
        </w:tc>
      </w:tr>
      <w:tr w14:paraId="76C61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42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215E5620">
            <w:pPr>
              <w:widowControl w:val="0"/>
              <w:snapToGrid/>
              <w:spacing w:before="0" w:after="0" w:line="240" w:lineRule="auto"/>
              <w:jc w:val="center"/>
              <w:rPr>
                <w:color w:val="auto"/>
              </w:rPr>
            </w:pPr>
            <w:r>
              <w:rPr>
                <w:rFonts w:ascii="宋体" w:hAnsi="宋体" w:eastAsia="宋体" w:cs="宋体"/>
                <w:i w:val="0"/>
                <w:strike w:val="0"/>
                <w:color w:val="auto"/>
                <w:spacing w:val="0"/>
                <w:sz w:val="21"/>
                <w:u w:val="none"/>
              </w:rPr>
              <w:t>销售收入</w:t>
            </w:r>
          </w:p>
        </w:tc>
        <w:tc>
          <w:tcPr>
            <w:tcW w:w="109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52BAA0CD">
            <w:pPr>
              <w:widowControl w:val="0"/>
              <w:snapToGrid/>
              <w:spacing w:before="0" w:after="0" w:line="240" w:lineRule="auto"/>
              <w:jc w:val="center"/>
              <w:rPr>
                <w:rFonts w:hint="default" w:eastAsia="宋体"/>
                <w:color w:val="auto"/>
                <w:lang w:val="en-US" w:eastAsia="zh-CN"/>
              </w:rPr>
            </w:pPr>
            <w:r>
              <w:rPr>
                <w:rFonts w:ascii="宋体" w:hAnsi="宋体" w:eastAsia="宋体" w:cs="宋体"/>
                <w:i w:val="0"/>
                <w:strike w:val="0"/>
                <w:color w:val="auto"/>
                <w:spacing w:val="0"/>
                <w:sz w:val="21"/>
                <w:u w:val="none"/>
              </w:rPr>
              <w:t>5.54</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79217449">
            <w:pPr>
              <w:widowControl w:val="0"/>
              <w:snapToGrid/>
              <w:spacing w:before="0" w:after="0" w:line="240" w:lineRule="auto"/>
              <w:jc w:val="center"/>
              <w:rPr>
                <w:rFonts w:hint="default" w:eastAsia="宋体"/>
                <w:color w:val="auto"/>
                <w:lang w:val="en-US" w:eastAsia="zh-CN"/>
              </w:rPr>
            </w:pPr>
            <w:r>
              <w:rPr>
                <w:rFonts w:ascii="宋体" w:hAnsi="宋体" w:eastAsia="宋体" w:cs="宋体"/>
                <w:i w:val="0"/>
                <w:strike w:val="0"/>
                <w:color w:val="auto"/>
                <w:spacing w:val="0"/>
                <w:sz w:val="21"/>
                <w:u w:val="none"/>
              </w:rPr>
              <w:t>6.35</w:t>
            </w:r>
          </w:p>
        </w:tc>
        <w:tc>
          <w:tcPr>
            <w:tcW w:w="97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6B533B8B">
            <w:pPr>
              <w:widowControl w:val="0"/>
              <w:snapToGrid/>
              <w:spacing w:before="0" w:after="0" w:line="240" w:lineRule="auto"/>
              <w:jc w:val="center"/>
              <w:rPr>
                <w:rFonts w:hint="default" w:eastAsia="宋体"/>
                <w:color w:val="auto"/>
                <w:lang w:val="en-US" w:eastAsia="zh-CN"/>
              </w:rPr>
            </w:pPr>
            <w:r>
              <w:rPr>
                <w:rFonts w:hint="eastAsia" w:ascii="宋体" w:hAnsi="宋体" w:eastAsia="宋体" w:cs="宋体"/>
                <w:i w:val="0"/>
                <w:strike w:val="0"/>
                <w:color w:val="auto"/>
                <w:spacing w:val="0"/>
                <w:sz w:val="21"/>
                <w:u w:val="none"/>
                <w:lang w:val="en-US" w:eastAsia="zh-CN"/>
              </w:rPr>
              <w:t>7.17</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40E246F5">
            <w:pPr>
              <w:widowControl w:val="0"/>
              <w:snapToGrid/>
              <w:spacing w:before="0" w:after="0" w:line="240" w:lineRule="auto"/>
              <w:jc w:val="center"/>
              <w:rPr>
                <w:rFonts w:hint="default" w:eastAsia="宋体"/>
                <w:color w:val="auto"/>
                <w:lang w:val="en-US" w:eastAsia="zh-CN"/>
              </w:rPr>
            </w:pPr>
            <w:r>
              <w:rPr>
                <w:rFonts w:hint="eastAsia" w:ascii="宋体" w:hAnsi="宋体" w:eastAsia="宋体" w:cs="宋体"/>
                <w:i w:val="0"/>
                <w:strike w:val="0"/>
                <w:color w:val="auto"/>
                <w:spacing w:val="0"/>
                <w:sz w:val="21"/>
                <w:u w:val="none"/>
                <w:lang w:val="en-US" w:eastAsia="zh-CN"/>
              </w:rPr>
              <w:t>7.98</w:t>
            </w:r>
          </w:p>
        </w:tc>
        <w:tc>
          <w:tcPr>
            <w:tcW w:w="97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182F6A98">
            <w:pPr>
              <w:widowControl w:val="0"/>
              <w:snapToGrid/>
              <w:spacing w:before="0" w:after="0" w:line="240" w:lineRule="auto"/>
              <w:jc w:val="center"/>
              <w:rPr>
                <w:rFonts w:hint="default" w:eastAsia="宋体"/>
                <w:color w:val="auto"/>
                <w:lang w:val="en-US" w:eastAsia="zh-CN"/>
              </w:rPr>
            </w:pPr>
            <w:r>
              <w:rPr>
                <w:rFonts w:hint="eastAsia" w:ascii="宋体" w:hAnsi="宋体" w:eastAsia="宋体" w:cs="宋体"/>
                <w:i w:val="0"/>
                <w:strike w:val="0"/>
                <w:color w:val="auto"/>
                <w:spacing w:val="0"/>
                <w:sz w:val="21"/>
                <w:u w:val="none"/>
                <w:lang w:val="en-US" w:eastAsia="zh-CN"/>
              </w:rPr>
              <w:t>8.80</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724F6B17">
            <w:pPr>
              <w:widowControl w:val="0"/>
              <w:snapToGrid/>
              <w:spacing w:before="0" w:after="0" w:line="240" w:lineRule="auto"/>
              <w:jc w:val="center"/>
              <w:rPr>
                <w:rFonts w:hint="default" w:eastAsia="宋体"/>
                <w:color w:val="auto"/>
                <w:lang w:val="en-US" w:eastAsia="zh-CN"/>
              </w:rPr>
            </w:pPr>
            <w:r>
              <w:rPr>
                <w:rFonts w:hint="eastAsia" w:ascii="宋体" w:hAnsi="宋体" w:eastAsia="宋体" w:cs="宋体"/>
                <w:i w:val="0"/>
                <w:strike w:val="0"/>
                <w:color w:val="auto"/>
                <w:spacing w:val="0"/>
                <w:sz w:val="21"/>
                <w:u w:val="none"/>
                <w:lang w:val="en-US" w:eastAsia="zh-CN"/>
              </w:rPr>
              <w:t>9.61</w:t>
            </w:r>
          </w:p>
        </w:tc>
        <w:tc>
          <w:tcPr>
            <w:tcW w:w="111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0CF39B07">
            <w:pPr>
              <w:widowControl w:val="0"/>
              <w:snapToGrid/>
              <w:spacing w:before="0" w:after="0" w:line="240" w:lineRule="auto"/>
              <w:jc w:val="center"/>
              <w:rPr>
                <w:rFonts w:hint="default" w:eastAsia="宋体"/>
                <w:color w:val="FF0000"/>
                <w:lang w:val="en-US" w:eastAsia="zh-CN"/>
              </w:rPr>
            </w:pPr>
            <w:r>
              <w:rPr>
                <w:rFonts w:hint="eastAsia" w:ascii="宋体" w:hAnsi="宋体" w:eastAsia="宋体" w:cs="宋体"/>
                <w:i w:val="0"/>
                <w:strike w:val="0"/>
                <w:color w:val="auto"/>
                <w:spacing w:val="0"/>
                <w:sz w:val="21"/>
                <w:u w:val="none"/>
                <w:lang w:val="en-US" w:eastAsia="zh-CN"/>
              </w:rPr>
              <w:t>10.42</w:t>
            </w:r>
          </w:p>
        </w:tc>
      </w:tr>
      <w:tr w14:paraId="43FD4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42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655BFC42">
            <w:pPr>
              <w:widowControl w:val="0"/>
              <w:snapToGrid/>
              <w:spacing w:before="0" w:after="0" w:line="240" w:lineRule="auto"/>
              <w:jc w:val="center"/>
              <w:rPr>
                <w:color w:val="auto"/>
              </w:rPr>
            </w:pPr>
            <w:r>
              <w:rPr>
                <w:rFonts w:ascii="宋体" w:hAnsi="宋体" w:eastAsia="宋体" w:cs="宋体"/>
                <w:i w:val="0"/>
                <w:strike w:val="0"/>
                <w:color w:val="auto"/>
                <w:spacing w:val="0"/>
                <w:sz w:val="21"/>
                <w:u w:val="none"/>
              </w:rPr>
              <w:t>经营成本</w:t>
            </w:r>
          </w:p>
        </w:tc>
        <w:tc>
          <w:tcPr>
            <w:tcW w:w="109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06FDAF90">
            <w:pPr>
              <w:widowControl w:val="0"/>
              <w:snapToGrid/>
              <w:spacing w:before="0" w:after="0" w:line="240" w:lineRule="auto"/>
              <w:jc w:val="center"/>
              <w:rPr>
                <w:rFonts w:hint="default" w:eastAsia="宋体"/>
                <w:color w:val="auto"/>
                <w:lang w:val="en-US" w:eastAsia="zh-CN"/>
              </w:rPr>
            </w:pPr>
            <w:r>
              <w:rPr>
                <w:rFonts w:hint="eastAsia" w:ascii="宋体" w:hAnsi="宋体" w:eastAsia="宋体" w:cs="宋体"/>
                <w:i w:val="0"/>
                <w:strike w:val="0"/>
                <w:color w:val="auto"/>
                <w:spacing w:val="0"/>
                <w:sz w:val="21"/>
                <w:u w:val="none"/>
                <w:lang w:val="en-US" w:eastAsia="zh-CN"/>
              </w:rPr>
              <w:t>8.31</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55C2F547">
            <w:pPr>
              <w:widowControl w:val="0"/>
              <w:snapToGrid/>
              <w:spacing w:before="0" w:after="0" w:line="240" w:lineRule="auto"/>
              <w:jc w:val="center"/>
              <w:rPr>
                <w:rFonts w:hint="default" w:eastAsia="宋体"/>
                <w:color w:val="auto"/>
                <w:lang w:val="en-US" w:eastAsia="zh-CN"/>
              </w:rPr>
            </w:pPr>
            <w:r>
              <w:rPr>
                <w:rFonts w:hint="eastAsia" w:ascii="宋体" w:hAnsi="宋体" w:eastAsia="宋体" w:cs="宋体"/>
                <w:i w:val="0"/>
                <w:strike w:val="0"/>
                <w:color w:val="auto"/>
                <w:spacing w:val="0"/>
                <w:sz w:val="21"/>
                <w:u w:val="none"/>
                <w:lang w:val="en-US" w:eastAsia="zh-CN"/>
              </w:rPr>
              <w:t>8.20</w:t>
            </w:r>
          </w:p>
        </w:tc>
        <w:tc>
          <w:tcPr>
            <w:tcW w:w="97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216227DD">
            <w:pPr>
              <w:widowControl w:val="0"/>
              <w:snapToGrid/>
              <w:spacing w:before="0" w:after="0" w:line="240" w:lineRule="auto"/>
              <w:jc w:val="center"/>
              <w:rPr>
                <w:rFonts w:hint="default" w:eastAsia="宋体"/>
                <w:color w:val="auto"/>
                <w:lang w:val="en-US" w:eastAsia="zh-CN"/>
              </w:rPr>
            </w:pPr>
            <w:r>
              <w:rPr>
                <w:rFonts w:hint="eastAsia" w:ascii="宋体" w:hAnsi="宋体" w:eastAsia="宋体" w:cs="宋体"/>
                <w:i w:val="0"/>
                <w:strike w:val="0"/>
                <w:color w:val="auto"/>
                <w:spacing w:val="0"/>
                <w:sz w:val="21"/>
                <w:u w:val="none"/>
                <w:lang w:val="en-US" w:eastAsia="zh-CN"/>
              </w:rPr>
              <w:t>8.09</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339CF3FB">
            <w:pPr>
              <w:widowControl w:val="0"/>
              <w:snapToGrid/>
              <w:spacing w:before="0" w:after="0" w:line="240" w:lineRule="auto"/>
              <w:jc w:val="center"/>
              <w:rPr>
                <w:rFonts w:hint="default" w:eastAsia="宋体"/>
                <w:color w:val="auto"/>
                <w:lang w:val="en-US" w:eastAsia="zh-CN"/>
              </w:rPr>
            </w:pPr>
            <w:r>
              <w:rPr>
                <w:rFonts w:hint="eastAsia" w:ascii="宋体" w:hAnsi="宋体" w:eastAsia="宋体" w:cs="宋体"/>
                <w:i w:val="0"/>
                <w:strike w:val="0"/>
                <w:color w:val="auto"/>
                <w:spacing w:val="0"/>
                <w:sz w:val="21"/>
                <w:u w:val="none"/>
                <w:lang w:val="en-US" w:eastAsia="zh-CN"/>
              </w:rPr>
              <w:t>7.98</w:t>
            </w:r>
          </w:p>
        </w:tc>
        <w:tc>
          <w:tcPr>
            <w:tcW w:w="97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6D9964EC">
            <w:pPr>
              <w:widowControl w:val="0"/>
              <w:snapToGrid/>
              <w:spacing w:before="0" w:after="0" w:line="240" w:lineRule="auto"/>
              <w:jc w:val="center"/>
              <w:rPr>
                <w:rFonts w:hint="default" w:eastAsia="宋体"/>
                <w:color w:val="auto"/>
                <w:lang w:val="en-US" w:eastAsia="zh-CN"/>
              </w:rPr>
            </w:pPr>
            <w:r>
              <w:rPr>
                <w:rFonts w:hint="eastAsia" w:ascii="宋体" w:hAnsi="宋体" w:eastAsia="宋体" w:cs="宋体"/>
                <w:i w:val="0"/>
                <w:strike w:val="0"/>
                <w:color w:val="auto"/>
                <w:spacing w:val="0"/>
                <w:sz w:val="21"/>
                <w:u w:val="none"/>
                <w:lang w:val="en-US" w:eastAsia="zh-CN"/>
              </w:rPr>
              <w:t>7.88</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07290B15">
            <w:pPr>
              <w:widowControl w:val="0"/>
              <w:snapToGrid/>
              <w:spacing w:before="0" w:after="0" w:line="240" w:lineRule="auto"/>
              <w:jc w:val="center"/>
              <w:rPr>
                <w:rFonts w:hint="default" w:eastAsia="宋体"/>
                <w:color w:val="auto"/>
                <w:lang w:val="en-US" w:eastAsia="zh-CN"/>
              </w:rPr>
            </w:pPr>
            <w:r>
              <w:rPr>
                <w:rFonts w:hint="eastAsia" w:ascii="宋体" w:hAnsi="宋体" w:eastAsia="宋体" w:cs="宋体"/>
                <w:i w:val="0"/>
                <w:strike w:val="0"/>
                <w:color w:val="auto"/>
                <w:spacing w:val="0"/>
                <w:sz w:val="21"/>
                <w:u w:val="none"/>
                <w:lang w:val="en-US" w:eastAsia="zh-CN"/>
              </w:rPr>
              <w:t>7.77</w:t>
            </w:r>
          </w:p>
        </w:tc>
        <w:tc>
          <w:tcPr>
            <w:tcW w:w="111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6D4CE185">
            <w:pPr>
              <w:widowControl w:val="0"/>
              <w:snapToGrid/>
              <w:spacing w:before="0" w:after="0" w:line="240" w:lineRule="auto"/>
              <w:jc w:val="center"/>
              <w:rPr>
                <w:rFonts w:hint="default" w:eastAsia="宋体"/>
                <w:color w:val="auto"/>
                <w:lang w:val="en-US" w:eastAsia="zh-CN"/>
              </w:rPr>
            </w:pPr>
            <w:r>
              <w:rPr>
                <w:rFonts w:hint="eastAsia" w:ascii="宋体" w:hAnsi="宋体" w:eastAsia="宋体" w:cs="宋体"/>
                <w:i w:val="0"/>
                <w:strike w:val="0"/>
                <w:color w:val="auto"/>
                <w:spacing w:val="0"/>
                <w:sz w:val="21"/>
                <w:u w:val="none"/>
                <w:lang w:val="en-US" w:eastAsia="zh-CN"/>
              </w:rPr>
              <w:t>7.66</w:t>
            </w:r>
          </w:p>
        </w:tc>
      </w:tr>
      <w:tr w14:paraId="0C51A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trPr>
        <w:tc>
          <w:tcPr>
            <w:tcW w:w="142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007C3B79">
            <w:pPr>
              <w:widowControl w:val="0"/>
              <w:snapToGrid/>
              <w:spacing w:before="0" w:after="0" w:line="240" w:lineRule="auto"/>
              <w:jc w:val="center"/>
              <w:rPr>
                <w:color w:val="auto"/>
              </w:rPr>
            </w:pPr>
            <w:r>
              <w:rPr>
                <w:rFonts w:ascii="宋体" w:hAnsi="宋体" w:eastAsia="宋体" w:cs="宋体"/>
                <w:i w:val="0"/>
                <w:strike w:val="0"/>
                <w:color w:val="auto"/>
                <w:spacing w:val="0"/>
                <w:sz w:val="21"/>
                <w:u w:val="none"/>
              </w:rPr>
              <w:t>建安投资</w:t>
            </w:r>
          </w:p>
        </w:tc>
        <w:tc>
          <w:tcPr>
            <w:tcW w:w="109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3E73FAFC">
            <w:pPr>
              <w:widowControl w:val="0"/>
              <w:snapToGrid/>
              <w:spacing w:before="0" w:after="0" w:line="240" w:lineRule="auto"/>
              <w:jc w:val="center"/>
              <w:rPr>
                <w:rFonts w:hint="default" w:eastAsia="宋体"/>
                <w:color w:val="auto"/>
                <w:lang w:val="en-US" w:eastAsia="zh-CN"/>
              </w:rPr>
            </w:pPr>
            <w:r>
              <w:rPr>
                <w:rFonts w:hint="eastAsia" w:ascii="宋体" w:hAnsi="宋体" w:eastAsia="宋体" w:cs="宋体"/>
                <w:i w:val="0"/>
                <w:strike w:val="0"/>
                <w:color w:val="auto"/>
                <w:spacing w:val="0"/>
                <w:sz w:val="21"/>
                <w:u w:val="none"/>
                <w:lang w:val="en-US" w:eastAsia="zh-CN"/>
              </w:rPr>
              <w:t>10.33</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4D8EEE1F">
            <w:pPr>
              <w:widowControl w:val="0"/>
              <w:snapToGrid/>
              <w:spacing w:before="0" w:after="0" w:line="240" w:lineRule="auto"/>
              <w:jc w:val="center"/>
              <w:rPr>
                <w:rFonts w:hint="default" w:eastAsia="宋体"/>
                <w:color w:val="auto"/>
                <w:lang w:val="en-US" w:eastAsia="zh-CN"/>
              </w:rPr>
            </w:pPr>
            <w:r>
              <w:rPr>
                <w:rFonts w:hint="eastAsia" w:ascii="宋体" w:hAnsi="宋体" w:eastAsia="宋体" w:cs="宋体"/>
                <w:i w:val="0"/>
                <w:strike w:val="0"/>
                <w:color w:val="auto"/>
                <w:spacing w:val="0"/>
                <w:sz w:val="21"/>
                <w:u w:val="none"/>
                <w:lang w:val="en-US" w:eastAsia="zh-CN"/>
              </w:rPr>
              <w:t>9.46</w:t>
            </w:r>
          </w:p>
        </w:tc>
        <w:tc>
          <w:tcPr>
            <w:tcW w:w="97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718D4FC3">
            <w:pPr>
              <w:widowControl w:val="0"/>
              <w:snapToGrid/>
              <w:spacing w:before="0" w:after="0" w:line="240" w:lineRule="auto"/>
              <w:jc w:val="center"/>
              <w:rPr>
                <w:rFonts w:hint="default" w:eastAsia="宋体"/>
                <w:color w:val="auto"/>
                <w:lang w:val="en-US" w:eastAsia="zh-CN"/>
              </w:rPr>
            </w:pPr>
            <w:r>
              <w:rPr>
                <w:rFonts w:hint="eastAsia" w:ascii="宋体" w:hAnsi="宋体" w:eastAsia="宋体" w:cs="宋体"/>
                <w:i w:val="0"/>
                <w:strike w:val="0"/>
                <w:color w:val="auto"/>
                <w:spacing w:val="0"/>
                <w:sz w:val="21"/>
                <w:u w:val="none"/>
                <w:lang w:val="en-US" w:eastAsia="zh-CN"/>
              </w:rPr>
              <w:t>8.68</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208E9523">
            <w:pPr>
              <w:widowControl w:val="0"/>
              <w:snapToGrid/>
              <w:spacing w:before="0" w:after="0" w:line="240" w:lineRule="auto"/>
              <w:jc w:val="center"/>
              <w:rPr>
                <w:rFonts w:hint="default" w:ascii="宋体" w:hAnsi="宋体" w:eastAsia="宋体" w:cs="宋体"/>
                <w:i w:val="0"/>
                <w:strike w:val="0"/>
                <w:color w:val="auto"/>
                <w:spacing w:val="0"/>
                <w:sz w:val="21"/>
                <w:u w:val="none"/>
                <w:lang w:val="en-US" w:eastAsia="zh-CN"/>
              </w:rPr>
            </w:pPr>
            <w:r>
              <w:rPr>
                <w:rFonts w:hint="eastAsia" w:ascii="宋体" w:hAnsi="宋体" w:eastAsia="宋体" w:cs="宋体"/>
                <w:i w:val="0"/>
                <w:strike w:val="0"/>
                <w:color w:val="auto"/>
                <w:spacing w:val="0"/>
                <w:sz w:val="21"/>
                <w:u w:val="none"/>
                <w:lang w:val="en-US" w:eastAsia="zh-CN"/>
              </w:rPr>
              <w:t>7.98</w:t>
            </w:r>
          </w:p>
        </w:tc>
        <w:tc>
          <w:tcPr>
            <w:tcW w:w="97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1CCFC2F7">
            <w:pPr>
              <w:widowControl w:val="0"/>
              <w:snapToGrid/>
              <w:spacing w:before="0" w:after="0" w:line="240" w:lineRule="auto"/>
              <w:jc w:val="center"/>
              <w:rPr>
                <w:rFonts w:hint="default" w:ascii="宋体" w:hAnsi="宋体" w:eastAsia="宋体" w:cs="宋体"/>
                <w:i w:val="0"/>
                <w:strike w:val="0"/>
                <w:color w:val="auto"/>
                <w:spacing w:val="0"/>
                <w:sz w:val="21"/>
                <w:u w:val="none"/>
                <w:lang w:val="en-US" w:eastAsia="zh-CN"/>
              </w:rPr>
            </w:pPr>
            <w:r>
              <w:rPr>
                <w:rFonts w:hint="eastAsia" w:ascii="宋体" w:hAnsi="宋体" w:eastAsia="宋体" w:cs="宋体"/>
                <w:i w:val="0"/>
                <w:strike w:val="0"/>
                <w:color w:val="auto"/>
                <w:spacing w:val="0"/>
                <w:sz w:val="21"/>
                <w:u w:val="none"/>
                <w:lang w:val="en-US" w:eastAsia="zh-CN"/>
              </w:rPr>
              <w:t>7.35</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2ABF481B">
            <w:pPr>
              <w:widowControl w:val="0"/>
              <w:snapToGrid/>
              <w:spacing w:before="0" w:after="0" w:line="240" w:lineRule="auto"/>
              <w:jc w:val="center"/>
              <w:rPr>
                <w:rFonts w:hint="default" w:eastAsia="宋体"/>
                <w:color w:val="auto"/>
                <w:lang w:val="en-US" w:eastAsia="zh-CN"/>
              </w:rPr>
            </w:pPr>
            <w:r>
              <w:rPr>
                <w:rFonts w:hint="eastAsia" w:ascii="宋体" w:hAnsi="宋体" w:eastAsia="宋体" w:cs="宋体"/>
                <w:i w:val="0"/>
                <w:strike w:val="0"/>
                <w:color w:val="auto"/>
                <w:spacing w:val="0"/>
                <w:sz w:val="21"/>
                <w:u w:val="none"/>
                <w:lang w:val="en-US" w:eastAsia="zh-CN"/>
              </w:rPr>
              <w:t>6.77</w:t>
            </w:r>
          </w:p>
        </w:tc>
        <w:tc>
          <w:tcPr>
            <w:tcW w:w="111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18B03AC0">
            <w:pPr>
              <w:widowControl w:val="0"/>
              <w:snapToGrid/>
              <w:spacing w:before="0" w:after="0" w:line="240" w:lineRule="auto"/>
              <w:jc w:val="center"/>
              <w:rPr>
                <w:rFonts w:hint="default" w:eastAsia="宋体"/>
                <w:color w:val="auto"/>
                <w:lang w:val="en-US" w:eastAsia="zh-CN"/>
              </w:rPr>
            </w:pPr>
            <w:r>
              <w:rPr>
                <w:rFonts w:hint="eastAsia" w:ascii="宋体" w:hAnsi="宋体" w:eastAsia="宋体" w:cs="宋体"/>
                <w:i w:val="0"/>
                <w:strike w:val="0"/>
                <w:color w:val="auto"/>
                <w:spacing w:val="0"/>
                <w:sz w:val="21"/>
                <w:u w:val="none"/>
                <w:lang w:val="en-US" w:eastAsia="zh-CN"/>
              </w:rPr>
              <w:t>6.24</w:t>
            </w:r>
          </w:p>
        </w:tc>
      </w:tr>
    </w:tbl>
    <w:p w14:paraId="757E58C5">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该项目具有较强的抗风险能力，但应密切关注中水回用价格的变化，制定适应市场变化的经营策略；同时注意控制项目的成本费用，降低经营成本。</w:t>
      </w:r>
    </w:p>
    <w:p w14:paraId="28F96468">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82" w:name="_Toc8749"/>
      <w:bookmarkStart w:id="83" w:name="_Toc15987"/>
      <w:bookmarkStart w:id="84" w:name="_Toc14428"/>
      <w:r>
        <w:rPr>
          <w:rFonts w:hint="eastAsia" w:ascii="宋体" w:hAnsi="宋体" w:eastAsia="宋体" w:cs="宋体"/>
          <w:b/>
          <w:bCs/>
          <w:sz w:val="28"/>
          <w:szCs w:val="28"/>
        </w:rPr>
        <w:t>6.3 资金投入计划和筹措方案</w:t>
      </w:r>
      <w:bookmarkEnd w:id="82"/>
      <w:bookmarkEnd w:id="83"/>
      <w:bookmarkEnd w:id="84"/>
    </w:p>
    <w:p w14:paraId="20D7915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本项目总投资8767.59万元，其中固定资产投资8767.59万元，0.5年建设期内均匀投入。</w:t>
      </w:r>
    </w:p>
    <w:p w14:paraId="77D2CBF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在资金筹措方面，项目总投资由资本金和项目融资或其他债务性资金两部分构成，一是资本金1767.59万元，占总投资的20.16%，二是项目融资、企业自筹资金或者其他债务性资金7000.00万元，占总投资的79.84%。</w:t>
      </w:r>
    </w:p>
    <w:p w14:paraId="0341C965">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85" w:name="_Toc20110"/>
      <w:bookmarkStart w:id="86" w:name="_Toc21753"/>
      <w:bookmarkStart w:id="87" w:name="_Toc9143"/>
      <w:r>
        <w:rPr>
          <w:rFonts w:hint="eastAsia" w:ascii="宋体" w:hAnsi="宋体" w:eastAsia="宋体" w:cs="宋体"/>
          <w:b/>
          <w:bCs/>
          <w:sz w:val="28"/>
          <w:szCs w:val="28"/>
        </w:rPr>
        <w:t>6.4 债务清偿能力分析</w:t>
      </w:r>
      <w:bookmarkEnd w:id="85"/>
      <w:bookmarkEnd w:id="86"/>
      <w:bookmarkEnd w:id="87"/>
    </w:p>
    <w:p w14:paraId="55523C55">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通过现金流量表计算可以看出项目计算期各年能收支平衡，并有盈余，有足够大的经营活动净现金流量，表明有足够的现金流量维持正常运营，实现财务可持续性，说明项目财务生存能力强。</w:t>
      </w:r>
    </w:p>
    <w:p w14:paraId="0CF99D60">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FF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该项目综合利息备付率5.12，综合偿债备付率1.16，说明企业具有较强的清偿能力。</w:t>
      </w:r>
    </w:p>
    <w:p w14:paraId="7FE9CDD8">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88" w:name="_Toc26187"/>
      <w:bookmarkStart w:id="89" w:name="_Toc21961"/>
      <w:bookmarkStart w:id="90" w:name="_Toc13409"/>
      <w:r>
        <w:rPr>
          <w:rFonts w:hint="eastAsia" w:ascii="宋体" w:hAnsi="宋体" w:eastAsia="宋体" w:cs="宋体"/>
          <w:b/>
          <w:bCs/>
          <w:sz w:val="28"/>
          <w:szCs w:val="28"/>
        </w:rPr>
        <w:t>6.5 财务可持续性分析</w:t>
      </w:r>
      <w:bookmarkEnd w:id="88"/>
      <w:bookmarkEnd w:id="89"/>
      <w:bookmarkEnd w:id="90"/>
    </w:p>
    <w:p w14:paraId="0C7E2AB8">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通过对项目从筹建到经营全过程各项评价指标的测算，项目虽然投资较大，但项目建成以后经营效益较好。项目建成后所得税后全部投资财务内部收益率为7.98%，投资回收期为11.26年（含建设期）。项目税后财务内部收益率高于行业基准收益率，各项指标都略高于国内同行业平均水平，项目在财务上是可行的，并且很强的经济效益和抗风险能力。</w:t>
      </w:r>
    </w:p>
    <w:p w14:paraId="27A9746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综上所述，该项目符合国家的产业政策，经济效益较好，具有一定的抗风险能力，项目可行性强。</w:t>
      </w:r>
    </w:p>
    <w:p w14:paraId="76914588">
      <w:pPr>
        <w:rPr>
          <w:rFonts w:ascii="宋体" w:hAnsi="宋体" w:eastAsia="宋体" w:cs="宋体"/>
          <w:b/>
          <w:i w:val="0"/>
          <w:strike w:val="0"/>
          <w:color w:val="000000"/>
          <w:spacing w:val="0"/>
          <w:sz w:val="36"/>
          <w:u w:val="none"/>
        </w:rPr>
      </w:pPr>
      <w:r>
        <w:rPr>
          <w:rFonts w:ascii="宋体" w:hAnsi="宋体" w:eastAsia="宋体" w:cs="宋体"/>
          <w:b/>
          <w:i w:val="0"/>
          <w:strike w:val="0"/>
          <w:color w:val="000000"/>
          <w:spacing w:val="0"/>
          <w:sz w:val="36"/>
          <w:u w:val="none"/>
        </w:rPr>
        <w:br w:type="page"/>
      </w:r>
    </w:p>
    <w:p w14:paraId="517E9F13">
      <w:pPr>
        <w:keepNext w:val="0"/>
        <w:keepLines w:val="0"/>
        <w:pageBreakBefore w:val="0"/>
        <w:widowControl/>
        <w:kinsoku w:val="0"/>
        <w:wordWrap/>
        <w:overflowPunct/>
        <w:topLinePunct w:val="0"/>
        <w:autoSpaceDE w:val="0"/>
        <w:autoSpaceDN w:val="0"/>
        <w:bidi w:val="0"/>
        <w:adjustRightInd/>
        <w:snapToGrid/>
        <w:spacing w:before="0" w:beforeLines="100" w:after="0" w:afterLines="100" w:line="360" w:lineRule="auto"/>
        <w:jc w:val="center"/>
        <w:textAlignment w:val="baseline"/>
        <w:outlineLvl w:val="0"/>
        <w:rPr>
          <w:rFonts w:hint="eastAsia" w:ascii="宋体" w:hAnsi="宋体" w:eastAsia="宋体" w:cs="宋体"/>
          <w:b/>
          <w:bCs/>
          <w:sz w:val="36"/>
          <w:szCs w:val="36"/>
        </w:rPr>
      </w:pPr>
      <w:bookmarkStart w:id="91" w:name="_Toc4400"/>
      <w:bookmarkStart w:id="92" w:name="_Toc29809"/>
      <w:bookmarkStart w:id="93" w:name="_Toc21255"/>
      <w:r>
        <w:rPr>
          <w:rFonts w:hint="eastAsia" w:ascii="宋体" w:hAnsi="宋体" w:eastAsia="宋体" w:cs="宋体"/>
          <w:b/>
          <w:bCs/>
          <w:sz w:val="36"/>
          <w:szCs w:val="36"/>
        </w:rPr>
        <w:t>第七章 项目影响效果分析</w:t>
      </w:r>
      <w:bookmarkEnd w:id="91"/>
      <w:bookmarkEnd w:id="92"/>
      <w:bookmarkEnd w:id="93"/>
    </w:p>
    <w:p w14:paraId="203C444F">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94" w:name="_Toc26664"/>
      <w:bookmarkStart w:id="95" w:name="_Toc968"/>
      <w:bookmarkStart w:id="96" w:name="_Toc18730"/>
      <w:r>
        <w:rPr>
          <w:rFonts w:hint="eastAsia" w:ascii="宋体" w:hAnsi="宋体" w:eastAsia="宋体" w:cs="宋体"/>
          <w:b/>
          <w:bCs/>
          <w:sz w:val="28"/>
          <w:szCs w:val="28"/>
        </w:rPr>
        <w:t>7.1 经济影响分析</w:t>
      </w:r>
      <w:bookmarkEnd w:id="94"/>
      <w:bookmarkEnd w:id="95"/>
      <w:bookmarkEnd w:id="96"/>
    </w:p>
    <w:p w14:paraId="0A015716">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7.1.1 项目对宏观经济的影响</w:t>
      </w:r>
    </w:p>
    <w:p w14:paraId="46E1340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的建设对宏观经济有着多方面的积极影响。从能源产业发展来看，推动了源网荷储一体化进程，促进了新能源发电、智能电网、储能等领域的技术创新与产业升级，带动上下游相关产业的协同发展，创造了大量就业机会，如新能源设备制造、安装、运维等岗位，提高了劳动力的就业水平与收入。在区域经济增长方面，项目建设期间的大规模投资直接拉动了建材、机械等行业的需求，建成后的稳定运营不仅保障了当地企业的电力供应，降低企业用电成本，提升企业竞争力，间接促进产业集聚与经济活跃度，还通过电力外送等方式增加地方财政收入，助力基础设施建设与公共服务改善，为宏观经济的可持续发展注入新动力，增强经济发展的韧性与稳定性，优化能源结构，减少对传统能源的依赖，在实现节能减排目标的同时，也为应对气候变化做出贡献，提升了经济发展的质量与效益。</w:t>
      </w:r>
    </w:p>
    <w:p w14:paraId="66D6AA24">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7.1.2 项目对产业经济的影响</w:t>
      </w:r>
    </w:p>
    <w:p w14:paraId="6142364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1、促进产业升级</w:t>
      </w:r>
    </w:p>
    <w:p w14:paraId="23D477B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的实施推动了能源产业从传统的单一能源供应模式向清洁、高效、智能的源网荷储一体化模式转变。新能源发电技术的大规模应用促使能源生产更加绿色可持续，储能技术的引入优化了能源的时空配置，智能电网的建设提升了电力传输与分配的效率和可靠性。这种产业升级不仅发生在能源产业内部，还通过稳定可靠且成本优化的电力供应，带动了工业、制造业等其他产业的技术升级和生产模式变革，促使企业淘汰落后产能，采用更加节能环保和智能化的生产设备与工艺，提升产品附加值和市场竞争力，推动整个产业结构向高端化迈进。</w:t>
      </w:r>
    </w:p>
    <w:p w14:paraId="79798D2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2、增强区域智能化</w:t>
      </w:r>
    </w:p>
    <w:p w14:paraId="4CE0F64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建设过程中大量运用先进的信息技术、物联网技术、大数据分析和人工智能算法，实现了对能源生产、传输、存储和消费各环节的智能化监控与管理。这不仅提升了能源系统的运行效率和安全性，还为区域智能化发展提供了示范和基础支撑。例如，智能电网的建设有助于打造智慧城市的能源基础设施，为智能交通、智能建筑等其他领域的智能化发展提供数据交互和能源保障，促进区域内各产业与信息技术的深度融合，培育智能产业生态，提升区域的整体智能化水平和创新能力，使区域在数字经济时代占据发展先机。</w:t>
      </w:r>
    </w:p>
    <w:p w14:paraId="577114E8">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3、促进就业与人才培养</w:t>
      </w:r>
    </w:p>
    <w:p w14:paraId="46031BB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从项目的规划设计、工程建设到运营维护，各个阶段都创造了丰富多样的就业岗位，涵盖能源工程、电力技术、信息技术、项目管理等多个专业领域。这不仅解决了当地部分劳动力的就业问题，还吸引了外部人才流入，为区域人才储备增添活力。同时，项目的长期运营需求促使当地教育机构和培训机构与企业紧密合作，开展针对性的人才培养计划，提升劳动力素质和技能水平，形成人才培养与产业发展的良性互动，为产业经济的持续发展提供坚实的人才保障，也为当地居民提供了更多的职业发展机会和上升通道。</w:t>
      </w:r>
    </w:p>
    <w:p w14:paraId="5EFD245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4、推动上下游产业链协同发展</w:t>
      </w:r>
    </w:p>
    <w:p w14:paraId="0D7AB7F4">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的建设带动了上下游产业链的繁荣与协同。在新能源发电领域，刺激了光伏组件、风力发电机制造等上游产业的发展，扩大了市场需求，促进企业规模扩张和技术创新；中游的能源存储设备生产、智能电网设备制造等产业也因项目的实施迎来新的发展机遇；下游的能源服务、电力销售等产业得以丰富和拓展，形成了完整且紧密的产业链条。各环节企业之间通过加强合作与技术交流，实现资源共享和优势互补，提高整个产业链的协同效率和市场竞争力，推动产业集群的形成和发展，增强区域产业经济的抗风险能力和可持续发展能力。</w:t>
      </w:r>
    </w:p>
    <w:p w14:paraId="4D74859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5、改善营商环境</w:t>
      </w:r>
    </w:p>
    <w:p w14:paraId="6E693E45">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稳定可靠的能源供应是企业生产经营的重要保障，本项目的建成有效解决了县域内企业用电的稳定性和成本问题，降低了企业的运营风险和生产成本，提高了企业的生产效率和盈利能力。这对于吸引更多外部企业投资入驻具有显著的吸引力，同时也有助于本地企业扩大生产规模和进行产业升级，形成良好的产业发展氛围。此外，项目所展现的创新理念和技术应用，提升了县域的科技水平和创新形象，为县域营商环境的优化增添了新的亮点，促进了区域内产业经济的良性循环和可持续发展，使县域在区域经济竞争中脱颖而出，为经济社会的长期繁荣奠定坚实基础。</w:t>
      </w:r>
    </w:p>
    <w:p w14:paraId="639DE7A3">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7.1.3 项目对区域经济的影响</w:t>
      </w:r>
    </w:p>
    <w:p w14:paraId="2F9838B8">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1、促进资源高效利用，降低企业成本</w:t>
      </w:r>
    </w:p>
    <w:p w14:paraId="3059F0E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通过整合能源的生产、传输、储存和消费环节，实现了对各类能源资源的精细化管理与优化配置。一方面，充分挖掘太阳能、风能等清洁能源的潜力，将其转化为电能并就地消纳，减少了能源在传输过程中的损耗，提高了能源利用效率；另一方面，精准的负荷调控和储能系统的灵活运用，有效平衡了电力供需，避免了能源的浪费。对于区域内的企业而言，稳定且价格合理的电力供应降低了其用电成本，增强了企业的市场竞争力，为企业的扩大再生产和技术创新提供了有力支持，进而提升了区域产业的整体效益和资源利用效率，促进区域经济的可持续发展。</w:t>
      </w:r>
    </w:p>
    <w:p w14:paraId="1889663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2、推动新能源产业发展，优化能源结构</w:t>
      </w:r>
    </w:p>
    <w:p w14:paraId="5C038A5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的建设大力推动了新能源产业在区域内的蓬勃兴起。大规模的新能源发电设施建设带动了光伏、风电等相关产业的投资增长，吸引了上下游企业的集聚，形成了完整的新能源产业链条，从设备制造、安装调试到运营维护，创造了大量的经济附加值和就业岗位。同时，新能源在区域能源结构中的占比不断提高，逐步替代传统化石能源，降低了对外部能源的依赖程度，减少了环境污染，实现了能源供应的多元化和清洁化，为区域经济的绿色发展奠定了坚实基础，提升了区域经济的环境友好性和发展质量。</w:t>
      </w:r>
    </w:p>
    <w:p w14:paraId="5EA1201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3、创造就业机会，促进社会稳定</w:t>
      </w:r>
    </w:p>
    <w:p w14:paraId="67DFE9D5">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的建设和运营过程涵盖了众多领域和专业，为当地居民提供了丰富多样的就业机会。从项目前期的规划设计、工程建设中的建筑施工、设备安装，到后期的运营管理、维护检修以及能源服务等环节，都需要大量不同技能层次的劳动力，包括技术工人、工程师、管理人员等。这些就业岗位的创造不仅缓解了当地的就业压力，增加了居民的收入水平，而且提升了劳动力素质和就业稳定性，减少了社会不稳定因素，为区域社会的和谐稳定发展做出了重要贡献，为经济发展营造了良好的社会环境。</w:t>
      </w:r>
    </w:p>
    <w:p w14:paraId="5D73485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4、带动整体经济发展</w:t>
      </w:r>
    </w:p>
    <w:p w14:paraId="7FB221A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作为区域经济发展的新引擎，通过上述各个方面的积极作用，产生了显著的乘数效应，带动了区域整体经济的繁荣。新能源产业的崛起促进了产业结构的优化升级，吸引了更多的外部投资和人才流入，提升了区域的产业竞争力和创新能力；企业成本的降低增强了企业的盈利能力和发展活力，促使企业加大研发投入和市场拓展力度，进一步拉动了上下游产业的协同发展；就业机会的增加和居民收入的提高带动了消费市场的繁荣，促进了服务业等相关产业的发展，形成了经济发展的良性循环。项目的建设全方位地推动了区域经济在规模扩张、结构优化、质量提升等方面取得显著成效，为区域经济的长期稳定增长提供了坚实保障和强大动力。</w:t>
      </w:r>
    </w:p>
    <w:p w14:paraId="24036E3F">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7.1.4 项目建设的经济合理性分析</w:t>
      </w:r>
    </w:p>
    <w:p w14:paraId="3A51709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1、项目实施可以产生较好投资回报</w:t>
      </w:r>
    </w:p>
    <w:p w14:paraId="6097AED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实施具备产生较好投资回报的潜力。一方面，随着能源市场的发展以及对清洁能源需求的持续增长，项目所产生的电力在满足园区企业需求的同时，可通过合理的电力销售策略，如参与电力市场化交易，利用峰谷电价差等方式，实现稳定且可观的收益。另一方面，项目的建设和运营将带动相关产业的发展，例如新能源设备制造、安装、维护以及储能技术研发等领域，这些产业的协同发展不仅能够降低项目的建设与运营成本，还能通过产业附加值的提升进一步增加项目的整体收益。此外，项目的实施过程中，通过优化资源配置和提高能源利用效率，能够有效降低长期运营成本，从而保障项目在经济上的可持续性和盈利能力，为投资者带来满意的回报，吸引更多的资金流入该领域，促进项目的持续优化和发展。</w:t>
      </w:r>
    </w:p>
    <w:p w14:paraId="6BEC36C4">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2、项目实施可以产生良好社会效益</w:t>
      </w:r>
    </w:p>
    <w:p w14:paraId="4245552B">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首先，项目建设将创造大量直接和间接的就业机会，涵盖工程建设、技术研发、运营管理、能源服务等多个环节，为当地居民提供多样化的就业岗位，提高居民收入水平，缓解就业压力，促进社会稳定与和谐发展。其次，稳定可靠的能源供应将有力支持园区内中小企业的发展，降低企业的用电成本，提升企业的市场竞争力和生产效率，进而带动整个园区产业的繁荣，对地方经济的发展起到积极的推动作用。再者，项目作为清洁能源的示范工程，将提升公众对可再生能源的认知和接受度，促进绿色环保理念的传播，推动社会形成节能减排、绿色发展的良好氛围，具有显著的社会效益和公共价值。</w:t>
      </w:r>
    </w:p>
    <w:p w14:paraId="3C0B55B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3、项目建设推动获嘉县可持续发展</w:t>
      </w:r>
    </w:p>
    <w:p w14:paraId="30E86F9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pPr>
      <w:r>
        <w:rPr>
          <w:rFonts w:hint="eastAsia" w:ascii="宋体" w:hAnsi="宋体" w:eastAsia="宋体" w:cs="宋体"/>
          <w:snapToGrid/>
          <w:color w:val="auto"/>
          <w:spacing w:val="0"/>
          <w:w w:val="100"/>
          <w:kern w:val="2"/>
          <w:position w:val="0"/>
          <w:sz w:val="28"/>
          <w:szCs w:val="28"/>
          <w:lang w:val="en-US" w:eastAsia="zh-CN" w:bidi="zh-CN"/>
        </w:rPr>
        <w:t>在能源领域，项目的源网荷储一体化模式将促进当地能源结构的优化升级，减少对传统化石能源的依赖，提高能源供应的稳定性和安全性，降低能源供应过程中的环境风险，为获嘉县的经济发展提供清洁、可持续的能源保障。在产业发展方面，项目将带动新能源及相关产业在当地的集聚和发展，形成完整的产业链条，推动产业结构的调整和升级，培育新的经济增长点，增强获嘉县经济发展的内生动力和抗风险能力。同时，项目的建设和运营过程中所积累的技术经验和人才资源，也将为当地其他产业的发展提供技术支撑和人才储备，促进获嘉县经济、社会与环境的协调可持续发展，为地区的长期繁荣奠定坚实基础。</w:t>
      </w:r>
    </w:p>
    <w:p w14:paraId="3F545FA5">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97" w:name="_Toc28986"/>
      <w:bookmarkStart w:id="98" w:name="_Toc13853"/>
      <w:bookmarkStart w:id="99" w:name="_Toc14234"/>
      <w:r>
        <w:rPr>
          <w:rFonts w:hint="eastAsia" w:ascii="宋体" w:hAnsi="宋体" w:eastAsia="宋体" w:cs="宋体"/>
          <w:b/>
          <w:bCs/>
          <w:sz w:val="28"/>
          <w:szCs w:val="28"/>
        </w:rPr>
        <w:t>7.2 社会影响分析</w:t>
      </w:r>
      <w:bookmarkEnd w:id="97"/>
      <w:bookmarkEnd w:id="98"/>
      <w:bookmarkEnd w:id="99"/>
    </w:p>
    <w:p w14:paraId="07C6DFC5">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7.2.1 社会影响因素</w:t>
      </w:r>
    </w:p>
    <w:p w14:paraId="681064C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1、相关利益者</w:t>
      </w:r>
    </w:p>
    <w:p w14:paraId="5D5B5CA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建设直接影响到众多利益相关者群体。对于园区内的中小企业而言，项目的实施将改变其能源供应模式，稳定且价格合理的绿色电力供应有助于降低企业生产成本，提高生产效率和产品竞争力，从而直接影响企业的经济效益和发展前景，增强企业在市场中的生存能力和扩张动力。而对于当地居民来说，项目可能会带来生活环境的改变，如能源基础设施的建设可能会影响周边的居住景观，但同时也期望从项目的发展中获得更好的公共服务和经济福利，例如就业机会的增加和生活用电的稳定保障等。此外，政府作为监管者和推动者，关注项目对地方经济发展、税收贡献以及能源结构优化等方面的作用，希望通过项目实现区域的可持续发展和公共利益的最大化。</w:t>
      </w:r>
    </w:p>
    <w:p w14:paraId="7C189F7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2、就业机会</w:t>
      </w:r>
    </w:p>
    <w:p w14:paraId="0690B8A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建设和运营过程将创造大量的就业岗位，涵盖多个领域和不同技能层次。在项目建设阶段，需要大量的建筑工人、设备安装人员和工程技术人员，为当地劳动力市场提供了短期的就业机会，尤其是对于具有一定建筑施工技能的人员来说，能够缓解就业压力并增加收入来源。在长期运营中，能源生产、管理、维护以及相关服务领域将持续吸纳专业技术人才，如电力工程师、储能技术专家、能源管理人员等，这不仅为当地培养和留住了高端技术人才，还为高校相关专业毕业生提供了就业方向，促进了人才的合理流动和就业结构的优化，提升了社会整体的就业质量和人力资源素质。</w:t>
      </w:r>
    </w:p>
    <w:p w14:paraId="2FE5AFF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3、社会责任</w:t>
      </w:r>
    </w:p>
    <w:p w14:paraId="724DCA35">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肩负着重要的社会责任。从环境保护角度来看，作为源网荷储一体化项目，其推广清洁能源的应用，减少了对传统化石能源的依赖，降低了碳排放，有助于改善当地空气质量和生态环境，履行了对环境保护的责任，符合社会对可持续发展的追求。同时，项目在建设和运营过程中应注重安全生产，保障员工的生命健康权益，积极参与社区建设和公益事业，如为当地社区提供能源知识普及教育、支持基础设施建设等，通过这些举措回馈社会，提升企业形象和社会声誉，促进项目与社会的和谐共生发展，实现经济、社会和环境效益的有机统一。</w:t>
      </w:r>
    </w:p>
    <w:p w14:paraId="1C526336">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7.2.2 减缓负面社会影响的措施</w:t>
      </w:r>
    </w:p>
    <w:p w14:paraId="4F20AE10">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1、加强环境监测和治理措施</w:t>
      </w:r>
    </w:p>
    <w:p w14:paraId="6C72837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监管加强：引进先进技术和管理手段进行监管；建立环境数据云平台和大数据监测系统，实现精准调度、提高监管能力和生态预警周期。</w:t>
      </w:r>
    </w:p>
    <w:p w14:paraId="549E640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加强安全管理：严格执行安全生产制度、建立健全的安全监管审批、落实风险研判、安全现场考核等措施，确保安全生产。</w:t>
      </w:r>
    </w:p>
    <w:p w14:paraId="300C8EF5">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社会责任：坚持走可持续发展道路，重视员工安全健康、文化教育事业和社区发展，注重硬件、软件和人才等资源的持续利用与培养。</w:t>
      </w:r>
    </w:p>
    <w:p w14:paraId="1846C9A1">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100" w:name="_Toc11607"/>
      <w:bookmarkStart w:id="101" w:name="_Toc27230"/>
      <w:bookmarkStart w:id="102" w:name="_Toc20797"/>
      <w:r>
        <w:rPr>
          <w:rFonts w:hint="eastAsia" w:ascii="宋体" w:hAnsi="宋体" w:eastAsia="宋体" w:cs="宋体"/>
          <w:b/>
          <w:bCs/>
          <w:sz w:val="28"/>
          <w:szCs w:val="28"/>
        </w:rPr>
        <w:t>7.3 生态环境影响分析</w:t>
      </w:r>
      <w:bookmarkEnd w:id="100"/>
      <w:bookmarkEnd w:id="101"/>
      <w:bookmarkEnd w:id="102"/>
    </w:p>
    <w:p w14:paraId="3D7C6C2E">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7.3.1 建</w:t>
      </w:r>
      <w:r>
        <w:rPr>
          <w:rFonts w:hint="eastAsia" w:ascii="宋体" w:hAnsi="宋体" w:eastAsia="宋体" w:cs="宋体"/>
          <w:b/>
          <w:bCs/>
          <w:sz w:val="28"/>
          <w:szCs w:val="28"/>
          <w:lang w:val="en-US" w:eastAsia="zh-CN"/>
        </w:rPr>
        <w:t>设</w:t>
      </w:r>
      <w:r>
        <w:rPr>
          <w:rFonts w:hint="eastAsia" w:ascii="宋体" w:hAnsi="宋体" w:eastAsia="宋体" w:cs="宋体"/>
          <w:b/>
          <w:bCs/>
          <w:sz w:val="28"/>
          <w:szCs w:val="28"/>
        </w:rPr>
        <w:t>项目所在地的生态环境现状</w:t>
      </w:r>
    </w:p>
    <w:p w14:paraId="09B2767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 xml:space="preserve"> 本项目通过引入光伏发电及储能服务，积极响应可再生能源的推广，有效减少对传统化石能源的依赖，从而降低温室气体排放和空气污染。</w:t>
      </w:r>
    </w:p>
    <w:p w14:paraId="25CBD834">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7.3.2 项目在污染物排放、地环境敏感区等方面的影响</w:t>
      </w:r>
    </w:p>
    <w:p w14:paraId="3610A2C1">
      <w:pPr>
        <w:keepNext w:val="0"/>
        <w:keepLines w:val="0"/>
        <w:pageBreakBefore w:val="0"/>
        <w:widowControl w:val="0"/>
        <w:kinsoku/>
        <w:wordWrap/>
        <w:overflowPunct/>
        <w:topLinePunct/>
        <w:autoSpaceDE w:val="0"/>
        <w:autoSpaceDN/>
        <w:bidi w:val="0"/>
        <w:adjustRightInd/>
        <w:snapToGrid/>
        <w:spacing w:before="157" w:beforeLines="50" w:after="157" w:afterLines="50" w:line="360" w:lineRule="auto"/>
        <w:jc w:val="both"/>
        <w:textAlignment w:val="baseline"/>
      </w:pPr>
      <w:r>
        <w:rPr>
          <w:rFonts w:ascii="宋体" w:hAnsi="宋体" w:eastAsia="宋体" w:cs="宋体"/>
          <w:b/>
          <w:i w:val="0"/>
          <w:strike w:val="0"/>
          <w:color w:val="000000"/>
          <w:spacing w:val="0"/>
          <w:sz w:val="28"/>
          <w:u w:val="none"/>
          <w:vertAlign w:val="baseline"/>
        </w:rPr>
        <w:t>7.3.2.1 环境保护目标和具体质量标准</w:t>
      </w:r>
    </w:p>
    <w:p w14:paraId="0D68560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遵循可持续发展战略思想，切实保障资源合理开发和利用，保护生态环境，改善周围环境质量，形成生态良性循环。</w:t>
      </w:r>
    </w:p>
    <w:p w14:paraId="2E91662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环境质量标准：</w:t>
      </w:r>
    </w:p>
    <w:p w14:paraId="3EDAE3C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1、项目范围内大气环境质量须达到《环境空气质量标准》（GB3095-2012）的二级标准；</w:t>
      </w:r>
    </w:p>
    <w:p w14:paraId="67B9BA2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2、根据《声环境质量标准》（GB3096-2008），项目区噪声平均等效声级昼间值≤65dB；夜间值≤55dB；</w:t>
      </w:r>
    </w:p>
    <w:p w14:paraId="31A546F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3、《声环境质量标准》（GB3096-2008）；</w:t>
      </w:r>
    </w:p>
    <w:p w14:paraId="18BBF0A4">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4、《生活饮用水卫生规范》(GB5749-2006)；</w:t>
      </w:r>
    </w:p>
    <w:p w14:paraId="1C02E3F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5、《地下水质量标准》（GB/T14848-93）；</w:t>
      </w:r>
    </w:p>
    <w:p w14:paraId="19A322A8">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6、《大气污染物综合排放标准》（GB16297-1996）；</w:t>
      </w:r>
    </w:p>
    <w:p w14:paraId="4659231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7、《污水排入城镇下水道水质》（CJ343-2010）；</w:t>
      </w:r>
    </w:p>
    <w:p w14:paraId="41553DA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8、《建筑施工场界环境噪声排放标准》（GB12523-2011）；</w:t>
      </w:r>
    </w:p>
    <w:p w14:paraId="12E4D2C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9、《一般工业固体废物贮存、处置场污染控制标准》（GB18599-2001）及其修改单。</w:t>
      </w:r>
    </w:p>
    <w:p w14:paraId="1017D193">
      <w:pPr>
        <w:keepNext w:val="0"/>
        <w:keepLines w:val="0"/>
        <w:pageBreakBefore w:val="0"/>
        <w:widowControl w:val="0"/>
        <w:kinsoku/>
        <w:wordWrap/>
        <w:overflowPunct/>
        <w:topLinePunct/>
        <w:autoSpaceDE w:val="0"/>
        <w:autoSpaceDN/>
        <w:bidi w:val="0"/>
        <w:adjustRightInd/>
        <w:snapToGrid/>
        <w:spacing w:before="157" w:beforeLines="50" w:after="157" w:afterLines="50" w:line="360" w:lineRule="auto"/>
        <w:ind w:right="0" w:rightChars="0"/>
        <w:jc w:val="both"/>
        <w:textAlignment w:val="baseline"/>
      </w:pPr>
      <w:r>
        <w:rPr>
          <w:rFonts w:ascii="宋体" w:hAnsi="宋体" w:eastAsia="宋体" w:cs="宋体"/>
          <w:b/>
          <w:i w:val="0"/>
          <w:strike w:val="0"/>
          <w:color w:val="000000"/>
          <w:spacing w:val="0"/>
          <w:sz w:val="28"/>
          <w:u w:val="none"/>
        </w:rPr>
        <w:t>7.3.2.2</w:t>
      </w:r>
      <w:r>
        <w:rPr>
          <w:rFonts w:hint="eastAsia" w:ascii="宋体" w:hAnsi="宋体" w:eastAsia="宋体" w:cs="宋体"/>
          <w:b/>
          <w:i w:val="0"/>
          <w:strike w:val="0"/>
          <w:color w:val="000000"/>
          <w:spacing w:val="0"/>
          <w:sz w:val="28"/>
          <w:u w:val="none"/>
          <w:lang w:val="en-US" w:eastAsia="zh-CN"/>
        </w:rPr>
        <w:t xml:space="preserve"> </w:t>
      </w:r>
      <w:r>
        <w:rPr>
          <w:rFonts w:ascii="宋体" w:hAnsi="宋体" w:eastAsia="宋体" w:cs="宋体"/>
          <w:b/>
          <w:i w:val="0"/>
          <w:strike w:val="0"/>
          <w:color w:val="000000"/>
          <w:spacing w:val="0"/>
          <w:sz w:val="28"/>
          <w:u w:val="none"/>
        </w:rPr>
        <w:t>建设期环境影响及治理措施</w:t>
      </w:r>
    </w:p>
    <w:p w14:paraId="0F8AFE9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的建设，主要是施工期间对环境的影响，通过采取有效的环保治理措施，对周围环境的影响可降低到最低程度。项目实施后，可取得工程建设和环境整治兼顾的效果，既促进区域社会经济发展，又促进生态环境的改善。</w:t>
      </w:r>
    </w:p>
    <w:p w14:paraId="587CAAC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本项目施工期内，应妥善处理工程建设对周边环境及秩序的影响。</w:t>
      </w:r>
    </w:p>
    <w:p w14:paraId="7C1ED6F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1、对大气环境的影响</w:t>
      </w:r>
    </w:p>
    <w:p w14:paraId="76609CE4">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施工现场运输建筑材料的临时施工道路应经常洒水，运送砂石料的运输车辆，用帆布等遮盖，以防物料飞扬，沿途撒漏。混凝土搅拌作业尽量在固定地点封闭进行。施工期间车辆排放的废气会对周围环境产生一定的影响，车辆排出的CO、NOX和HC会使沿线空气质量下降，造成轻度污染，对当地环境有轻微影响。施工单位应使用符合环保标准的施工车辆设备，减少废气排放。</w:t>
      </w:r>
    </w:p>
    <w:p w14:paraId="605C967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2、对声环境的影响</w:t>
      </w:r>
    </w:p>
    <w:p w14:paraId="74EB507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工程施工中将使用的施工机械包括大型挖土机、空压机、混凝土搅拌机等高噪声机械，在土方、基础结构等施工阶段各类机械单独或共同作业时产生的噪声与振动影响不容忽视。应采取以下措施：</w:t>
      </w:r>
    </w:p>
    <w:p w14:paraId="0DCE2C2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（1）施工场地布局合理，相对集中固定施工机械并远离环境敏感点。</w:t>
      </w:r>
    </w:p>
    <w:p w14:paraId="179F681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（2）对噪声震动固定设备采用固定或移动式隔振降噪处理。</w:t>
      </w:r>
    </w:p>
    <w:p w14:paraId="7423115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（3）避免现场混凝土搅拌作业，采用新技术缩短连续浇灌作业时间。</w:t>
      </w:r>
    </w:p>
    <w:p w14:paraId="346E33D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（4）尽可能避免高噪声震动设备同时作业。</w:t>
      </w:r>
    </w:p>
    <w:p w14:paraId="0348BDA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（5）保障施工场地交通畅通，减缓运输作业引起的噪声影响。</w:t>
      </w:r>
    </w:p>
    <w:p w14:paraId="248562D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（6）施工现场严格管理，加强环境监测，严格执行环境管理规定。</w:t>
      </w:r>
    </w:p>
    <w:p w14:paraId="38FAA864">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加强宣传特别是对现场周边居民，使其充分理解建设工程的重要性，做好相应的环境补偿工作。</w:t>
      </w:r>
    </w:p>
    <w:p w14:paraId="51B4E78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3、固体废弃物影响</w:t>
      </w:r>
    </w:p>
    <w:p w14:paraId="0A0187F0">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施工期固体废弃物主要来自施工过程中开挖的土方和废弃的建筑材料，经集中收集后全部运至城市垃圾处理场妥善堆放，以减少对环境的影响。</w:t>
      </w:r>
    </w:p>
    <w:p w14:paraId="62DFAA1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4、水土保护的影响</w:t>
      </w:r>
    </w:p>
    <w:p w14:paraId="3834DA6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在施工中对地表及植被的扰动较大，若土质疏松，在降雨集中季节受雨水的冲刷作用，不可避免地造成一定程度的水土流失，可能会造成局部暂时的沟渠堵塞。因此，需对这些部位注意防范。本工程应注意选择集中取土、弃土位置，尽量做到取土、弃土与城市其他建设相结合。对于道路两侧因施工破坏的其它用地，施工完成后应尽可能的给予人工恢复。</w:t>
      </w:r>
    </w:p>
    <w:p w14:paraId="19685087">
      <w:pPr>
        <w:keepNext w:val="0"/>
        <w:keepLines w:val="0"/>
        <w:pageBreakBefore w:val="0"/>
        <w:widowControl w:val="0"/>
        <w:kinsoku/>
        <w:wordWrap/>
        <w:overflowPunct/>
        <w:topLinePunct/>
        <w:autoSpaceDE w:val="0"/>
        <w:autoSpaceDN/>
        <w:bidi w:val="0"/>
        <w:adjustRightInd/>
        <w:snapToGrid/>
        <w:spacing w:before="157" w:beforeLines="50" w:after="157" w:afterLines="50" w:line="360" w:lineRule="auto"/>
        <w:ind w:right="0" w:rightChars="0" w:firstLine="0" w:firstLineChars="0"/>
        <w:jc w:val="both"/>
        <w:textAlignment w:val="baseline"/>
      </w:pPr>
      <w:r>
        <w:rPr>
          <w:rFonts w:ascii="宋体" w:hAnsi="宋体" w:eastAsia="宋体" w:cs="宋体"/>
          <w:b/>
          <w:i w:val="0"/>
          <w:strike w:val="0"/>
          <w:color w:val="000000"/>
          <w:spacing w:val="0"/>
          <w:sz w:val="28"/>
          <w:u w:val="none"/>
        </w:rPr>
        <w:t>7.3.2.3 地质灾害影响分析</w:t>
      </w:r>
    </w:p>
    <w:p w14:paraId="47F3D59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该项目所处地段，地势平坦，自然条件较好。交通运输十分便利，拟建项目为管道设备，项目选址所在地的地质情况良好，不存在灾害问题，项目的建设和运营不会诱发地质灾害。</w:t>
      </w:r>
    </w:p>
    <w:p w14:paraId="7B85C2B8">
      <w:pPr>
        <w:keepNext w:val="0"/>
        <w:keepLines w:val="0"/>
        <w:pageBreakBefore w:val="0"/>
        <w:widowControl w:val="0"/>
        <w:kinsoku/>
        <w:wordWrap/>
        <w:overflowPunct/>
        <w:topLinePunct/>
        <w:autoSpaceDE w:val="0"/>
        <w:autoSpaceDN/>
        <w:bidi w:val="0"/>
        <w:adjustRightInd/>
        <w:snapToGrid/>
        <w:spacing w:before="157" w:beforeLines="50" w:after="157" w:afterLines="50" w:line="360" w:lineRule="auto"/>
        <w:ind w:right="0" w:rightChars="0"/>
        <w:jc w:val="both"/>
        <w:textAlignment w:val="baseline"/>
      </w:pPr>
      <w:r>
        <w:rPr>
          <w:rFonts w:ascii="宋体" w:hAnsi="宋体" w:eastAsia="宋体" w:cs="宋体"/>
          <w:b/>
          <w:i w:val="0"/>
          <w:strike w:val="0"/>
          <w:color w:val="000000"/>
          <w:spacing w:val="0"/>
          <w:sz w:val="28"/>
          <w:u w:val="none"/>
        </w:rPr>
        <w:t>7.3.2.4</w:t>
      </w:r>
      <w:r>
        <w:rPr>
          <w:rFonts w:hint="eastAsia" w:ascii="宋体" w:hAnsi="宋体" w:eastAsia="宋体" w:cs="宋体"/>
          <w:b/>
          <w:i w:val="0"/>
          <w:strike w:val="0"/>
          <w:color w:val="000000"/>
          <w:spacing w:val="0"/>
          <w:sz w:val="28"/>
          <w:u w:val="none"/>
          <w:lang w:val="en-US" w:eastAsia="zh-CN"/>
        </w:rPr>
        <w:t xml:space="preserve"> </w:t>
      </w:r>
      <w:r>
        <w:rPr>
          <w:rFonts w:ascii="宋体" w:hAnsi="宋体" w:eastAsia="宋体" w:cs="宋体"/>
          <w:b/>
          <w:i w:val="0"/>
          <w:strike w:val="0"/>
          <w:color w:val="000000"/>
          <w:spacing w:val="0"/>
          <w:sz w:val="28"/>
          <w:u w:val="none"/>
        </w:rPr>
        <w:t>特殊环境影响</w:t>
      </w:r>
    </w:p>
    <w:p w14:paraId="7C04034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项目周围没有历史文化遗产、自然遗产、风景名胜和自然景观等，无特殊环境影响。</w:t>
      </w:r>
    </w:p>
    <w:p w14:paraId="582670AD">
      <w:pPr>
        <w:keepNext w:val="0"/>
        <w:keepLines w:val="0"/>
        <w:pageBreakBefore w:val="0"/>
        <w:widowControl w:val="0"/>
        <w:kinsoku/>
        <w:wordWrap/>
        <w:overflowPunct/>
        <w:topLinePunct/>
        <w:autoSpaceDE w:val="0"/>
        <w:autoSpaceDN/>
        <w:bidi w:val="0"/>
        <w:adjustRightInd/>
        <w:snapToGrid/>
        <w:spacing w:before="157" w:beforeLines="50" w:after="157" w:afterLines="50" w:line="360" w:lineRule="auto"/>
        <w:ind w:right="0" w:rightChars="0"/>
        <w:jc w:val="both"/>
        <w:textAlignment w:val="baseline"/>
      </w:pPr>
      <w:r>
        <w:rPr>
          <w:rFonts w:ascii="宋体" w:hAnsi="宋体" w:eastAsia="宋体" w:cs="宋体"/>
          <w:b/>
          <w:i w:val="0"/>
          <w:strike w:val="0"/>
          <w:color w:val="000000"/>
          <w:spacing w:val="0"/>
          <w:sz w:val="28"/>
          <w:u w:val="none"/>
        </w:rPr>
        <w:t>7.3.2.5</w:t>
      </w:r>
      <w:r>
        <w:rPr>
          <w:rFonts w:hint="eastAsia" w:ascii="宋体" w:hAnsi="宋体" w:eastAsia="宋体" w:cs="宋体"/>
          <w:b/>
          <w:i w:val="0"/>
          <w:strike w:val="0"/>
          <w:color w:val="000000"/>
          <w:spacing w:val="0"/>
          <w:sz w:val="28"/>
          <w:u w:val="none"/>
          <w:lang w:val="en-US" w:eastAsia="zh-CN"/>
        </w:rPr>
        <w:t xml:space="preserve"> </w:t>
      </w:r>
      <w:r>
        <w:rPr>
          <w:rFonts w:ascii="宋体" w:hAnsi="宋体" w:eastAsia="宋体" w:cs="宋体"/>
          <w:b/>
          <w:i w:val="0"/>
          <w:strike w:val="0"/>
          <w:color w:val="000000"/>
          <w:spacing w:val="0"/>
          <w:sz w:val="28"/>
          <w:u w:val="none"/>
        </w:rPr>
        <w:t>环境影响分析结论</w:t>
      </w:r>
    </w:p>
    <w:p w14:paraId="2C7BD26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在建设期和运营期通过采取适当的污染防治措施对污染物的进行妥当处理，可以做到废气、废水、噪声及固体废弃物达标排放；并严格执行环保设施与主体工程同时设计、同时施工、同时投入运行的“三同时”制度，将对环境的影响降到最小。</w:t>
      </w:r>
    </w:p>
    <w:p w14:paraId="5A1ADC8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因此，从环境保护的角度进行分析，本项目的建设是可行的。</w:t>
      </w:r>
    </w:p>
    <w:p w14:paraId="61B95EC8">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103" w:name="_Toc21575"/>
      <w:bookmarkStart w:id="104" w:name="_Toc12272"/>
      <w:bookmarkStart w:id="105" w:name="_Toc8439"/>
      <w:r>
        <w:rPr>
          <w:rFonts w:hint="eastAsia" w:ascii="宋体" w:hAnsi="宋体" w:eastAsia="宋体" w:cs="宋体"/>
          <w:b/>
          <w:bCs/>
          <w:sz w:val="28"/>
          <w:szCs w:val="28"/>
        </w:rPr>
        <w:t>7.4 资源和能源利用效果分析</w:t>
      </w:r>
      <w:bookmarkEnd w:id="103"/>
      <w:bookmarkEnd w:id="104"/>
      <w:bookmarkEnd w:id="105"/>
    </w:p>
    <w:p w14:paraId="1BAB3E7A">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7.4.1 项目所需消耗的资源品种、数量、来源情况</w:t>
      </w:r>
    </w:p>
    <w:p w14:paraId="50C04C20">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本项目非重要资源的项目，项目建设完成后，项目运营方式为中光伏电站发电、储能调峰及源网荷储等，项目所消耗能源主要为电力。</w:t>
      </w:r>
    </w:p>
    <w:p w14:paraId="5BB792F2">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7.4.2 资源综合利用方案和资源节约措施</w:t>
      </w:r>
    </w:p>
    <w:p w14:paraId="6E7D1ED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节能是国家发展经济的一项长远战略方针。节能是指加强用能管理，采用技术上可行、经济上合理以及环境社会可以承受的措施，减少从能源生产到消费各个环节中的损失和浪费，更加有效、合理地利用能源，提高能源利用效率和经济效益，以保护环境，保障国民经济和社会的发展，满足人民生活需要。根据项目建设的不同阶段，采取相应的措施进行节能。</w:t>
      </w:r>
    </w:p>
    <w:p w14:paraId="33897341">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7.4.2.1 电气节能</w:t>
      </w:r>
    </w:p>
    <w:p w14:paraId="3214251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节能设备的选用及节电控制措施：变压器选用过载能力强、低损耗、低噪音、体积小、维护方便的SCB13干式变压器，并选择合适的装机容量，减少设备本身的能源消耗；对于空调机组等季节性负荷设专用变压器供电；电梯、水泵、风机等设备均采用节能型设备并采取合适的节电控制方案；功率在200kW及以上的电动机采用高压电动机，对大容量交流异步电动机采用恒频变压软启动器启动，改善启动特性；多台电梯集中排列时应具有按规定程序集中调度和控制的群控功能；办公照明采用LED节能灯盘，走道、楼梯间照明及应急照明均采用LED灯光源，办公区域走道、卫生间、楼梯间照明采用人体感应节能自熄开关。</w:t>
      </w:r>
    </w:p>
    <w:p w14:paraId="34BBC5C0">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（2）功率因数的提高及谐波治理：室内外照明灯具均采用高功率因数的电子镇流器；变电所内采用低压集中无功动态补偿装置，补偿后的功率因数大于0.93；变电所设谐波保护装置以抑制系统谐波,提高供电质量。</w:t>
      </w:r>
    </w:p>
    <w:p w14:paraId="28526F7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照度及照明功率密度值的确定选择合理的照度标准，选用合适的光源及高效节能灯具，采用合理的灯具安装方式及照明配电系统，并根据建筑的使用条件和天然采光状况采用合理有效的照明控制装置来实施。</w:t>
      </w:r>
    </w:p>
    <w:p w14:paraId="519CFD1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（4）本工程设置的变配电所均靠近每个区域的用电负荷中心，缩短线缆、母线的长度。</w:t>
      </w:r>
    </w:p>
    <w:p w14:paraId="1F66FE64">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（5）多项分级计量：本工程供配电系统采用能源管理系统，对各类型负荷均能实现电能的计量、统计、分析,实现本工程变配电设备自动化监测和管理。</w:t>
      </w:r>
    </w:p>
    <w:p w14:paraId="4170FDA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（6）配电线路的选择：通过计算合理的选择导线的截面及线路敷设方案，降低配电线路的损耗；采用单芯电缆组成的供配电回路时，电缆呈品字形敷设以降低线路阻抗。</w:t>
      </w:r>
    </w:p>
    <w:p w14:paraId="11E1FF4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本工程在设计中根据地理环境和应用条件，充分考虑自然光、太阳能等新型能源的应用。</w:t>
      </w:r>
    </w:p>
    <w:p w14:paraId="2C8BF33A">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7.4.2.2 节水措施</w:t>
      </w:r>
    </w:p>
    <w:p w14:paraId="690A213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1、供水系统中，尽量使用节能型阀门、水龙头等产品，做到有效合理用水，减少浪费；</w:t>
      </w:r>
    </w:p>
    <w:p w14:paraId="4A54831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2、经常检查供水系统是否正常，及时堵漏，以杜绝水从地下白白流失；</w:t>
      </w:r>
    </w:p>
    <w:p w14:paraId="61A83F2B">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3、制定用水、节水相关制度，树立自觉节水、节水人人有责的意识；</w:t>
      </w:r>
    </w:p>
    <w:p w14:paraId="27B3033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4、提高用水回收率和重复利用率；</w:t>
      </w:r>
    </w:p>
    <w:p w14:paraId="65A77D0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5、卫生间采用节水型设备和器具，如采用感应式阀门，冲水采用自闭式冲水阀等，降低水资源的无效消耗，达到节约用水的目的；</w:t>
      </w:r>
    </w:p>
    <w:p w14:paraId="5CE930D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6、回收雨水作为浇洒绿地用水。</w:t>
      </w:r>
    </w:p>
    <w:p w14:paraId="23D7F0DC">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7.4.2.3 可再生能源利用</w:t>
      </w:r>
    </w:p>
    <w:p w14:paraId="7B1CC69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在项目设计和实施过程中，项目单位根据实际情况考虑增加可再生能源利用措施。</w:t>
      </w:r>
    </w:p>
    <w:p w14:paraId="29B2644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1、太阳能热水系统</w:t>
      </w:r>
    </w:p>
    <w:p w14:paraId="068E2944">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从建筑节能角度，利用太阳能不仅可行，而且节能效果明显，这一点从以往的研究和实践中都得到了充分证明，建议生活服务用房采用太阳能热水系统。</w:t>
      </w:r>
    </w:p>
    <w:p w14:paraId="31BC04B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太阳能热水系统与建筑节能结合，就是把太阳能热水系统产品作为建筑构件安装，使其与建筑有机结合。同时要有相关的设计、安装、施工与验收标准，从技术标准的高度解决太阳能热水系统与建筑结合问题。这是太阳能热水系统在建筑领域得到广泛应用、促进太阳能产业快速发展的关键。</w:t>
      </w:r>
    </w:p>
    <w:p w14:paraId="1CA3684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2、太阳能路灯</w:t>
      </w:r>
    </w:p>
    <w:p w14:paraId="5364CB78">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此外，建议项目可考虑室外太阳能光伏电源用于户外路灯、草坪灯的节能项目，与传统路灯相比，太阳能路灯在外观上并没有太多不同，只是每根灯杆上方增加了两块太阳能板，这两块太阳能吸收板，是太阳能路灯的关键所在。太阳能灯白天靠日光发电蓄电，晚上光线暗到一定程度时根据自动感应器决定开灯时间，照明时间为6至8小时，在阴天的情况下，太阳能灯可以连续工作5至6天。</w:t>
      </w:r>
    </w:p>
    <w:p w14:paraId="1A7B967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3、雨水收集处理技术</w:t>
      </w:r>
    </w:p>
    <w:p w14:paraId="7BC11ED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为节约用水，建议项目单位考虑对雨水进行收集利用。对雨水进行收集、储存、水质净化，然后回用于绿化、道路广场浇洒、景观用水等。</w:t>
      </w:r>
    </w:p>
    <w:p w14:paraId="5AF700A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雨水回用系统，就是将雨水收集后，按照不同的需求对收集的雨水进行处理后达到符合设计使用标准的系统。是由截污挂篮装置、弃流过滤装置、蓄水系统、净化系统组成。</w:t>
      </w:r>
    </w:p>
    <w:p w14:paraId="447E82B4">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可设置两套雨水管道，一套为雨水收集回用管道，一套为雨水收集排放管道。屋面雨水经雨水管道收集后，排向室外雨水收集回用管道，经室外初期雨水弃流井完成初期雨水弃流后，进入雨水收集模块池储存并回用。雨水收集回用系统弃流的初期雨水、超过雨水收集系统能力的溢流雨水均由室外雨水收集排放管道收集；雨水收集排放管道收集的雨水，最终排入市政雨水管道。</w:t>
      </w:r>
    </w:p>
    <w:p w14:paraId="0149600C">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106" w:name="_Toc23202"/>
      <w:bookmarkStart w:id="107" w:name="_Toc1119"/>
      <w:bookmarkStart w:id="108" w:name="_Toc28750"/>
      <w:r>
        <w:rPr>
          <w:rFonts w:hint="eastAsia" w:ascii="宋体" w:hAnsi="宋体" w:eastAsia="宋体" w:cs="宋体"/>
          <w:b/>
          <w:bCs/>
          <w:sz w:val="28"/>
          <w:szCs w:val="28"/>
        </w:rPr>
        <w:t>7.5 碳达峰碳中和分析</w:t>
      </w:r>
      <w:bookmarkEnd w:id="106"/>
      <w:bookmarkEnd w:id="107"/>
      <w:bookmarkEnd w:id="108"/>
    </w:p>
    <w:p w14:paraId="3CF9187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的建设与碳达峰碳中和目标紧密相连，具有重要的战略意义和积极影响。在建设过程中，通过大力发展源网荷储一体化系统，优先利用太阳能、风能等清洁能源进行发电，从能源生产源头减少碳排放。智能电网的建设优化了电力传输与分配效率，降低了电网损耗，进一步减少了间接碳排放。储能系统的应用有效平抑了新能源发电的间歇性波动，增强了电力供应的稳定性和可靠性，提高了清洁能源在能源消费结构中的占比，有助于减少对传统化石能源的依赖，从而降低碳排放总量。项目建成后的长期运营，将持续为周边地区提供低碳甚至零碳的电力供应，推动工业、商业及居民生活等领域的能源消费向绿色低碳转型，为区域能源结构的优化升级和碳达峰碳中和目标的实现提供有力支撑，在应对气候变化、推动可持续发展方面发挥关键作用，具有显著的环境效益和社会效益，是迈向绿色低碳未来的重要实践。</w:t>
      </w:r>
    </w:p>
    <w:p w14:paraId="31F0BDB8">
      <w:pPr>
        <w:rPr>
          <w:rFonts w:ascii="宋体" w:hAnsi="宋体" w:eastAsia="宋体" w:cs="宋体"/>
          <w:b/>
          <w:i w:val="0"/>
          <w:strike w:val="0"/>
          <w:color w:val="000000"/>
          <w:spacing w:val="0"/>
          <w:sz w:val="36"/>
          <w:u w:val="none"/>
          <w:vertAlign w:val="baseline"/>
        </w:rPr>
      </w:pPr>
      <w:r>
        <w:rPr>
          <w:rFonts w:ascii="宋体" w:hAnsi="宋体" w:eastAsia="宋体" w:cs="宋体"/>
          <w:b/>
          <w:i w:val="0"/>
          <w:strike w:val="0"/>
          <w:color w:val="000000"/>
          <w:spacing w:val="0"/>
          <w:sz w:val="36"/>
          <w:u w:val="none"/>
          <w:vertAlign w:val="baseline"/>
        </w:rPr>
        <w:br w:type="page"/>
      </w:r>
    </w:p>
    <w:p w14:paraId="495BEA5B">
      <w:pPr>
        <w:keepNext w:val="0"/>
        <w:keepLines w:val="0"/>
        <w:pageBreakBefore w:val="0"/>
        <w:widowControl/>
        <w:kinsoku w:val="0"/>
        <w:wordWrap/>
        <w:overflowPunct/>
        <w:topLinePunct w:val="0"/>
        <w:autoSpaceDE w:val="0"/>
        <w:autoSpaceDN w:val="0"/>
        <w:bidi w:val="0"/>
        <w:adjustRightInd/>
        <w:snapToGrid/>
        <w:spacing w:before="0" w:beforeLines="100" w:after="0" w:afterLines="100" w:line="360" w:lineRule="auto"/>
        <w:jc w:val="center"/>
        <w:textAlignment w:val="baseline"/>
        <w:outlineLvl w:val="0"/>
        <w:rPr>
          <w:rFonts w:hint="eastAsia" w:ascii="宋体" w:hAnsi="宋体" w:eastAsia="宋体" w:cs="宋体"/>
          <w:b/>
          <w:bCs/>
          <w:sz w:val="36"/>
          <w:szCs w:val="36"/>
        </w:rPr>
      </w:pPr>
      <w:bookmarkStart w:id="109" w:name="_Toc15550"/>
      <w:bookmarkStart w:id="110" w:name="_Toc5060"/>
      <w:bookmarkStart w:id="111" w:name="_Toc23354"/>
      <w:r>
        <w:rPr>
          <w:rFonts w:hint="eastAsia" w:ascii="宋体" w:hAnsi="宋体" w:eastAsia="宋体" w:cs="宋体"/>
          <w:b/>
          <w:bCs/>
          <w:sz w:val="36"/>
          <w:szCs w:val="36"/>
        </w:rPr>
        <w:t>第八章 项目风险管控方案</w:t>
      </w:r>
      <w:bookmarkEnd w:id="109"/>
      <w:bookmarkEnd w:id="110"/>
      <w:bookmarkEnd w:id="111"/>
    </w:p>
    <w:p w14:paraId="5C43207E">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112" w:name="_Toc21389"/>
      <w:bookmarkStart w:id="113" w:name="_Toc16035"/>
      <w:bookmarkStart w:id="114" w:name="_Toc19940"/>
      <w:r>
        <w:rPr>
          <w:rFonts w:hint="eastAsia" w:ascii="宋体" w:hAnsi="宋体" w:eastAsia="宋体" w:cs="宋体"/>
          <w:b/>
          <w:bCs/>
          <w:sz w:val="28"/>
          <w:szCs w:val="28"/>
        </w:rPr>
        <w:t>8.1 风险识别与评价</w:t>
      </w:r>
      <w:bookmarkEnd w:id="112"/>
      <w:bookmarkEnd w:id="113"/>
      <w:bookmarkEnd w:id="114"/>
    </w:p>
    <w:p w14:paraId="34A803E8">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项目风险贯穿于项目建设和运营的全过程。本项目在建设、实施以及运营阶段可能主要存在以下风险：</w:t>
      </w:r>
    </w:p>
    <w:p w14:paraId="24F7B4F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1、市场风险</w:t>
      </w:r>
    </w:p>
    <w:p w14:paraId="78EB24C0">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首先，电力市场价格波动会对项目收益产生影响，电力价格受能源供需关系、政策调整等因素影响，若价格下跌可能导致项目收入减少。其次，电力需求存在不确定性，经济发展状况、产业结构调整、气候变化等都会使电力需求发生变化，若需求低于预期，会影响项目的能源销售和收益。再者，市场竞争日益激烈，随着源网荷储一体化项目的发展，越来越多的企业参与其中，可能会在能源供应、客户资源等方面形成竞争，若项目竞争力不足，可能会失去市场份额。另外，储能设备成本和技术的变化也会带来风险，成本上升会增加项目投资，而新技术的出现可能使现有储能技术过时，影响项目的长期效益。</w:t>
      </w:r>
    </w:p>
    <w:p w14:paraId="3BE9D88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2、融资风险</w:t>
      </w:r>
    </w:p>
    <w:p w14:paraId="2C564958">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投资金额较大，为了确保项目建设资金按时、足额到位；建设单位应做好详细的预算，如果项目资金不能及时到位，将会给项目的顺利进行带来一定程度的风险，同时更需要拓展直接融资渠道，大力发展风险投资，建立适合建设单位融资的资本市场体系。</w:t>
      </w:r>
    </w:p>
    <w:p w14:paraId="7CE8678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3、项目策划及管理风险</w:t>
      </w:r>
    </w:p>
    <w:p w14:paraId="302F7715">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策划的风险是指在项目开发阶段的环境调查和分析、项目定义和论证、组织、管理、合同、经济、技术等策划的过程中，在项目实施阶段的环境调查和分析，项目目标分析和再论证，项目实施的组织、管理、合同、经济和技术策划过程中，由于项目经营人才技术程度低而带来的风险。项目管理风险是指项目在实施和使用的过程中因管理不善而导致项目失败的可能性。主要包括管理方法落后，管理人员综合素质不高以及决策失误等诸多因素可能增加的管理风险。</w:t>
      </w:r>
    </w:p>
    <w:p w14:paraId="028C6707">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4、政策风险</w:t>
      </w:r>
    </w:p>
    <w:p w14:paraId="4487429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随着能源领域的快速发展和国家战略的动态调整，相关政策法规存在变动的可能性。例如，补贴政策的退坡或取消可能会影响项目的收益预期，因为项目前期的投资决策或许部分基于现行补贴机制进行规划。而在行业标准和规范方面，若未来出台更为严格的准入门槛和技术要求，项目可能需要追加投资进行设备升级和技术改造，以满足新的政策规定，否则可能面临限产甚至停产的风险，从而对项目的持续稳定运营构成挑战。</w:t>
      </w:r>
    </w:p>
    <w:p w14:paraId="32E120F3">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5、技术风险</w:t>
      </w:r>
    </w:p>
    <w:p w14:paraId="63AA700D">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本项目主要为光伏发电、储能调峰及源网荷储，项目涉及的技术风险较小。</w:t>
      </w:r>
    </w:p>
    <w:p w14:paraId="27AC2031">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115" w:name="_Toc31594"/>
      <w:bookmarkStart w:id="116" w:name="_Toc17477"/>
      <w:bookmarkStart w:id="117" w:name="_Toc22602"/>
      <w:r>
        <w:rPr>
          <w:rFonts w:hint="eastAsia" w:ascii="宋体" w:hAnsi="宋体" w:eastAsia="宋体" w:cs="宋体"/>
          <w:b/>
          <w:bCs/>
          <w:sz w:val="28"/>
          <w:szCs w:val="28"/>
        </w:rPr>
        <w:t>8.2 风险评估</w:t>
      </w:r>
      <w:bookmarkEnd w:id="115"/>
      <w:bookmarkEnd w:id="116"/>
      <w:bookmarkEnd w:id="117"/>
    </w:p>
    <w:p w14:paraId="7DEADB1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通过分析，本项目的风险的主要因素是市场因素和资金因素及管理风险变化因素等构成。</w:t>
      </w:r>
    </w:p>
    <w:p w14:paraId="675A990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由于本项目得到当地政府以及广大群众和相关部门的支持，关于资金、技术、工程方面的风险，均已在项目前期得到了相当的重视，通过政府各部门的有力协调源网荷储一体化等合理措施的制定与实施，可以将这些风险控制在可控范围内，对项目的实施影响程度较小。</w:t>
      </w:r>
    </w:p>
    <w:p w14:paraId="1E4770E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确保项目顺利实施，建议项目的建设单位及相关部门应高度重视项目的具体操作，一开始就应该建立风险管理机制，确定相关的责任人，协调和监督项目在各阶段的运行情况，协助项目管理者制定各项管理办法，搜集信息，及时反馈，并编制和不断更新各项风险应急预案，在风险出现之前及时采取措施，有效规避风险，保证项目顺利实施。</w:t>
      </w:r>
    </w:p>
    <w:p w14:paraId="7FEFFE2B">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jc w:val="center"/>
        <w:textAlignment w:val="baseline"/>
        <w:outlineLvl w:val="9"/>
        <w:rPr>
          <w:rFonts w:hint="eastAsia" w:ascii="宋体" w:hAnsi="宋体" w:eastAsia="宋体" w:cs="宋体"/>
          <w:b/>
          <w:bCs/>
          <w:sz w:val="28"/>
          <w:szCs w:val="28"/>
        </w:rPr>
      </w:pPr>
      <w:r>
        <w:rPr>
          <w:rFonts w:hint="eastAsia" w:ascii="宋体" w:hAnsi="宋体" w:eastAsia="宋体" w:cs="宋体"/>
          <w:b/>
          <w:bCs/>
          <w:sz w:val="28"/>
          <w:szCs w:val="28"/>
        </w:rPr>
        <w:t>表8-1风险因素分析</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0"/>
        <w:gridCol w:w="2445"/>
        <w:gridCol w:w="2850"/>
      </w:tblGrid>
      <w:tr w14:paraId="6F224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00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0DE4494B">
            <w:pPr>
              <w:widowControl w:val="0"/>
              <w:snapToGrid/>
              <w:spacing w:before="0" w:after="0" w:line="240" w:lineRule="auto"/>
              <w:jc w:val="center"/>
            </w:pPr>
            <w:r>
              <w:rPr>
                <w:rFonts w:ascii="宋体" w:hAnsi="宋体" w:eastAsia="宋体" w:cs="宋体"/>
                <w:b/>
                <w:i w:val="0"/>
                <w:strike w:val="0"/>
                <w:color w:val="000000"/>
                <w:spacing w:val="0"/>
                <w:sz w:val="21"/>
                <w:u w:val="none"/>
              </w:rPr>
              <w:t>风险因素名称</w:t>
            </w:r>
          </w:p>
        </w:tc>
        <w:tc>
          <w:tcPr>
            <w:tcW w:w="244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6C98C459">
            <w:pPr>
              <w:widowControl w:val="0"/>
              <w:snapToGrid/>
              <w:spacing w:before="0" w:after="0" w:line="240" w:lineRule="auto"/>
              <w:jc w:val="center"/>
            </w:pPr>
            <w:r>
              <w:rPr>
                <w:rFonts w:ascii="宋体" w:hAnsi="宋体" w:eastAsia="宋体" w:cs="宋体"/>
                <w:b/>
                <w:i w:val="0"/>
                <w:strike w:val="0"/>
                <w:color w:val="000000"/>
                <w:spacing w:val="0"/>
                <w:sz w:val="21"/>
                <w:u w:val="none"/>
              </w:rPr>
              <w:t>风险程度</w:t>
            </w:r>
          </w:p>
        </w:tc>
        <w:tc>
          <w:tcPr>
            <w:tcW w:w="285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41C6D4E1">
            <w:pPr>
              <w:widowControl w:val="0"/>
              <w:snapToGrid/>
              <w:spacing w:before="0" w:after="0" w:line="240" w:lineRule="auto"/>
              <w:jc w:val="center"/>
            </w:pPr>
            <w:r>
              <w:rPr>
                <w:rFonts w:ascii="宋体" w:hAnsi="宋体" w:eastAsia="宋体" w:cs="宋体"/>
                <w:b/>
                <w:i w:val="0"/>
                <w:strike w:val="0"/>
                <w:color w:val="000000"/>
                <w:spacing w:val="0"/>
                <w:sz w:val="21"/>
                <w:u w:val="none"/>
              </w:rPr>
              <w:t>说明</w:t>
            </w:r>
          </w:p>
        </w:tc>
      </w:tr>
      <w:tr w14:paraId="37D8A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00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22771EC9">
            <w:pPr>
              <w:widowControl w:val="0"/>
              <w:snapToGrid/>
              <w:spacing w:before="0" w:after="0" w:line="240" w:lineRule="auto"/>
              <w:jc w:val="center"/>
            </w:pPr>
            <w:r>
              <w:rPr>
                <w:rFonts w:ascii="宋体" w:hAnsi="宋体" w:eastAsia="宋体" w:cs="宋体"/>
                <w:i w:val="0"/>
                <w:strike w:val="0"/>
                <w:color w:val="000000"/>
                <w:spacing w:val="0"/>
                <w:sz w:val="21"/>
                <w:u w:val="none"/>
              </w:rPr>
              <w:t>市场风险</w:t>
            </w:r>
          </w:p>
        </w:tc>
        <w:tc>
          <w:tcPr>
            <w:tcW w:w="244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3288792B">
            <w:pPr>
              <w:widowControl w:val="0"/>
              <w:snapToGrid/>
              <w:spacing w:before="0" w:after="0" w:line="240" w:lineRule="auto"/>
              <w:jc w:val="center"/>
            </w:pPr>
            <w:r>
              <w:rPr>
                <w:rFonts w:ascii="宋体" w:hAnsi="宋体" w:eastAsia="宋体" w:cs="宋体"/>
                <w:i w:val="0"/>
                <w:strike w:val="0"/>
                <w:color w:val="000000"/>
                <w:spacing w:val="0"/>
                <w:sz w:val="21"/>
                <w:u w:val="none"/>
              </w:rPr>
              <w:t>一般</w:t>
            </w:r>
          </w:p>
        </w:tc>
        <w:tc>
          <w:tcPr>
            <w:tcW w:w="285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34476F1C">
            <w:pPr>
              <w:widowControl w:val="0"/>
              <w:snapToGrid/>
              <w:spacing w:before="0" w:after="0" w:line="240" w:lineRule="auto"/>
              <w:jc w:val="center"/>
            </w:pPr>
            <w:r>
              <w:rPr>
                <w:rFonts w:ascii="宋体" w:hAnsi="宋体" w:eastAsia="宋体" w:cs="宋体"/>
                <w:i w:val="0"/>
                <w:strike w:val="0"/>
                <w:color w:val="000000"/>
                <w:spacing w:val="0"/>
                <w:sz w:val="21"/>
                <w:u w:val="none"/>
              </w:rPr>
              <w:t>市场需求及竞争</w:t>
            </w:r>
          </w:p>
        </w:tc>
      </w:tr>
      <w:tr w14:paraId="0A62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00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438D6175">
            <w:pPr>
              <w:widowControl w:val="0"/>
              <w:snapToGrid/>
              <w:spacing w:before="0" w:after="0" w:line="240" w:lineRule="auto"/>
              <w:jc w:val="center"/>
            </w:pPr>
            <w:r>
              <w:rPr>
                <w:rFonts w:ascii="宋体" w:hAnsi="宋体" w:eastAsia="宋体" w:cs="宋体"/>
                <w:i w:val="0"/>
                <w:strike w:val="0"/>
                <w:color w:val="000000"/>
                <w:spacing w:val="0"/>
                <w:sz w:val="21"/>
                <w:u w:val="none"/>
              </w:rPr>
              <w:t>资金风险</w:t>
            </w:r>
          </w:p>
        </w:tc>
        <w:tc>
          <w:tcPr>
            <w:tcW w:w="244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24512724">
            <w:pPr>
              <w:widowControl w:val="0"/>
              <w:snapToGrid/>
              <w:spacing w:before="0" w:after="0" w:line="240" w:lineRule="auto"/>
              <w:jc w:val="center"/>
            </w:pPr>
            <w:r>
              <w:rPr>
                <w:rFonts w:ascii="宋体" w:hAnsi="宋体" w:eastAsia="宋体" w:cs="宋体"/>
                <w:i w:val="0"/>
                <w:strike w:val="0"/>
                <w:color w:val="000000"/>
                <w:spacing w:val="0"/>
                <w:sz w:val="21"/>
                <w:u w:val="none"/>
              </w:rPr>
              <w:t>一般</w:t>
            </w:r>
          </w:p>
        </w:tc>
        <w:tc>
          <w:tcPr>
            <w:tcW w:w="285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2883DF64">
            <w:pPr>
              <w:widowControl w:val="0"/>
              <w:snapToGrid/>
              <w:spacing w:before="0" w:after="0" w:line="240" w:lineRule="auto"/>
              <w:jc w:val="center"/>
            </w:pPr>
            <w:r>
              <w:rPr>
                <w:rFonts w:ascii="宋体" w:hAnsi="宋体" w:eastAsia="宋体" w:cs="宋体"/>
                <w:i w:val="0"/>
                <w:strike w:val="0"/>
                <w:color w:val="000000"/>
                <w:spacing w:val="0"/>
                <w:sz w:val="21"/>
                <w:u w:val="none"/>
              </w:rPr>
              <w:t>项目投资额较大</w:t>
            </w:r>
          </w:p>
        </w:tc>
      </w:tr>
      <w:tr w14:paraId="43B49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00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2330870F">
            <w:pPr>
              <w:widowControl w:val="0"/>
              <w:snapToGrid/>
              <w:spacing w:before="0" w:after="0" w:line="240" w:lineRule="auto"/>
              <w:jc w:val="center"/>
            </w:pPr>
            <w:r>
              <w:rPr>
                <w:rFonts w:ascii="宋体" w:hAnsi="宋体" w:eastAsia="宋体" w:cs="宋体"/>
                <w:i w:val="0"/>
                <w:strike w:val="0"/>
                <w:color w:val="000000"/>
                <w:spacing w:val="0"/>
                <w:sz w:val="21"/>
                <w:u w:val="none"/>
              </w:rPr>
              <w:t>项目策划与管理风险</w:t>
            </w:r>
          </w:p>
        </w:tc>
        <w:tc>
          <w:tcPr>
            <w:tcW w:w="244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32AFF568">
            <w:pPr>
              <w:widowControl w:val="0"/>
              <w:snapToGrid/>
              <w:spacing w:before="0" w:after="0" w:line="240" w:lineRule="auto"/>
              <w:jc w:val="center"/>
            </w:pPr>
            <w:r>
              <w:rPr>
                <w:rFonts w:ascii="宋体" w:hAnsi="宋体" w:eastAsia="宋体" w:cs="宋体"/>
                <w:i w:val="0"/>
                <w:strike w:val="0"/>
                <w:color w:val="000000"/>
                <w:spacing w:val="0"/>
                <w:sz w:val="21"/>
                <w:u w:val="none"/>
              </w:rPr>
              <w:t>一般</w:t>
            </w:r>
          </w:p>
        </w:tc>
        <w:tc>
          <w:tcPr>
            <w:tcW w:w="285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00525B7F">
            <w:pPr>
              <w:widowControl w:val="0"/>
              <w:snapToGrid/>
              <w:spacing w:before="0" w:after="0" w:line="240" w:lineRule="auto"/>
              <w:jc w:val="center"/>
            </w:pPr>
            <w:r>
              <w:rPr>
                <w:rFonts w:ascii="宋体" w:hAnsi="宋体" w:eastAsia="宋体" w:cs="宋体"/>
                <w:i w:val="0"/>
                <w:strike w:val="0"/>
                <w:color w:val="000000"/>
                <w:spacing w:val="0"/>
                <w:sz w:val="21"/>
                <w:u w:val="none"/>
              </w:rPr>
              <w:t>项目功能系统复杂</w:t>
            </w:r>
          </w:p>
        </w:tc>
      </w:tr>
      <w:tr w14:paraId="64CD3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00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038B9F2A">
            <w:pPr>
              <w:widowControl w:val="0"/>
              <w:snapToGrid/>
              <w:spacing w:before="0" w:after="0" w:line="240" w:lineRule="auto"/>
              <w:jc w:val="center"/>
            </w:pPr>
            <w:r>
              <w:rPr>
                <w:rFonts w:ascii="宋体" w:hAnsi="宋体" w:eastAsia="宋体" w:cs="宋体"/>
                <w:i w:val="0"/>
                <w:strike w:val="0"/>
                <w:color w:val="000000"/>
                <w:spacing w:val="0"/>
                <w:sz w:val="21"/>
                <w:u w:val="none"/>
              </w:rPr>
              <w:t>政策风险</w:t>
            </w:r>
          </w:p>
        </w:tc>
        <w:tc>
          <w:tcPr>
            <w:tcW w:w="244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44F2406D">
            <w:pPr>
              <w:widowControl w:val="0"/>
              <w:snapToGrid/>
              <w:spacing w:before="0" w:after="0" w:line="240" w:lineRule="auto"/>
              <w:jc w:val="center"/>
            </w:pPr>
            <w:r>
              <w:rPr>
                <w:rFonts w:ascii="宋体" w:hAnsi="宋体" w:eastAsia="宋体" w:cs="宋体"/>
                <w:i w:val="0"/>
                <w:strike w:val="0"/>
                <w:color w:val="000000"/>
                <w:spacing w:val="0"/>
                <w:sz w:val="21"/>
                <w:u w:val="none"/>
              </w:rPr>
              <w:t>一般</w:t>
            </w:r>
          </w:p>
        </w:tc>
        <w:tc>
          <w:tcPr>
            <w:tcW w:w="285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66A3AB46">
            <w:pPr>
              <w:widowControl w:val="0"/>
              <w:snapToGrid/>
              <w:spacing w:before="0" w:after="0" w:line="240" w:lineRule="auto"/>
              <w:jc w:val="center"/>
            </w:pPr>
            <w:r>
              <w:rPr>
                <w:rFonts w:ascii="宋体" w:hAnsi="宋体" w:eastAsia="宋体" w:cs="宋体"/>
                <w:i w:val="0"/>
                <w:strike w:val="0"/>
                <w:color w:val="000000"/>
                <w:spacing w:val="0"/>
                <w:sz w:val="21"/>
                <w:u w:val="none"/>
              </w:rPr>
              <w:t>具有政策优势</w:t>
            </w:r>
          </w:p>
        </w:tc>
      </w:tr>
      <w:tr w14:paraId="332E3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00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71B1FF63">
            <w:pPr>
              <w:widowControl w:val="0"/>
              <w:snapToGrid/>
              <w:spacing w:before="0" w:after="0" w:line="240" w:lineRule="auto"/>
              <w:jc w:val="center"/>
            </w:pPr>
            <w:r>
              <w:rPr>
                <w:rFonts w:ascii="宋体" w:hAnsi="宋体" w:eastAsia="宋体" w:cs="宋体"/>
                <w:i w:val="0"/>
                <w:strike w:val="0"/>
                <w:color w:val="000000"/>
                <w:spacing w:val="0"/>
                <w:sz w:val="21"/>
                <w:u w:val="none"/>
              </w:rPr>
              <w:t>技术风险</w:t>
            </w:r>
          </w:p>
        </w:tc>
        <w:tc>
          <w:tcPr>
            <w:tcW w:w="244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39F541C1">
            <w:pPr>
              <w:widowControl w:val="0"/>
              <w:snapToGrid/>
              <w:spacing w:before="0" w:after="0" w:line="240" w:lineRule="auto"/>
              <w:jc w:val="center"/>
            </w:pPr>
            <w:r>
              <w:rPr>
                <w:rFonts w:ascii="宋体" w:hAnsi="宋体" w:eastAsia="宋体" w:cs="宋体"/>
                <w:i w:val="0"/>
                <w:strike w:val="0"/>
                <w:color w:val="000000"/>
                <w:spacing w:val="0"/>
                <w:sz w:val="21"/>
                <w:u w:val="none"/>
              </w:rPr>
              <w:t>较小</w:t>
            </w:r>
          </w:p>
        </w:tc>
        <w:tc>
          <w:tcPr>
            <w:tcW w:w="285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14:paraId="50B93609">
            <w:pPr>
              <w:widowControl w:val="0"/>
              <w:snapToGrid/>
              <w:spacing w:before="0" w:after="0" w:line="240" w:lineRule="auto"/>
              <w:jc w:val="center"/>
            </w:pPr>
            <w:r>
              <w:rPr>
                <w:rFonts w:ascii="宋体" w:hAnsi="宋体" w:eastAsia="宋体" w:cs="宋体"/>
                <w:i w:val="0"/>
                <w:strike w:val="0"/>
                <w:color w:val="000000"/>
                <w:spacing w:val="0"/>
                <w:sz w:val="21"/>
                <w:u w:val="none"/>
              </w:rPr>
              <w:t>技术成熟</w:t>
            </w:r>
          </w:p>
        </w:tc>
      </w:tr>
    </w:tbl>
    <w:p w14:paraId="743B1732">
      <w:pPr>
        <w:keepNext w:val="0"/>
        <w:keepLines w:val="0"/>
        <w:pageBreakBefore w:val="0"/>
        <w:widowControl w:val="0"/>
        <w:kinsoku/>
        <w:wordWrap/>
        <w:overflowPunct/>
        <w:topLinePunct w:val="0"/>
        <w:autoSpaceDE w:val="0"/>
        <w:autoSpaceDN w:val="0"/>
        <w:bidi w:val="0"/>
        <w:adjustRightInd/>
        <w:snapToGrid/>
        <w:spacing w:before="157" w:beforeLines="50" w:after="157" w:afterLines="50" w:line="360" w:lineRule="auto"/>
        <w:ind w:right="0" w:rightChars="0" w:firstLine="420" w:firstLineChars="200"/>
        <w:jc w:val="both"/>
        <w:textAlignment w:val="baseline"/>
        <w:rPr>
          <w:sz w:val="21"/>
          <w:szCs w:val="21"/>
        </w:rPr>
      </w:pPr>
      <w:r>
        <w:rPr>
          <w:rFonts w:ascii="宋体" w:hAnsi="宋体" w:eastAsia="宋体" w:cs="宋体"/>
          <w:i w:val="0"/>
          <w:strike w:val="0"/>
          <w:color w:val="000000"/>
          <w:spacing w:val="0"/>
          <w:sz w:val="21"/>
          <w:szCs w:val="21"/>
          <w:u w:val="none"/>
        </w:rPr>
        <w:t>注：上表把风险程度分为五个档次：微小、较小、一般、较大、重大。</w:t>
      </w:r>
    </w:p>
    <w:p w14:paraId="3D25BEC6">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118" w:name="_Toc17111"/>
      <w:bookmarkStart w:id="119" w:name="_Toc5068"/>
      <w:bookmarkStart w:id="120" w:name="_Toc17787"/>
      <w:r>
        <w:rPr>
          <w:rFonts w:hint="eastAsia" w:ascii="宋体" w:hAnsi="宋体" w:eastAsia="宋体" w:cs="宋体"/>
          <w:b/>
          <w:bCs/>
          <w:sz w:val="28"/>
          <w:szCs w:val="28"/>
        </w:rPr>
        <w:t>8.3 风险管控方案</w:t>
      </w:r>
      <w:bookmarkEnd w:id="118"/>
      <w:bookmarkEnd w:id="119"/>
      <w:bookmarkEnd w:id="120"/>
    </w:p>
    <w:p w14:paraId="01B5453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项目投资的成功在很大程度上依赖于对风险的认识和管理，及早发现或预测到上述风险并能及时地采取有效的措施，可以化解或缓和、减轻、控制这些风险。本项目控制风险的措施如下：</w:t>
      </w:r>
    </w:p>
    <w:p w14:paraId="4C482378">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1、政策风险应对措施</w:t>
      </w:r>
    </w:p>
    <w:p w14:paraId="1D9792C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加强项目管理和建设，确保项目建设始终沿着正确的方向进行。</w:t>
      </w:r>
    </w:p>
    <w:p w14:paraId="00C1133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2、市场风险应对措施</w:t>
      </w:r>
    </w:p>
    <w:p w14:paraId="5499308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针对市场风险，应做好配套的项目招商引资方案，从项目前期策划就对市场进行详细分析，制定针对性的营销策略，完善软硬件配套设施，增强服务的深度和广度，不断的开拓新的市场份额。</w:t>
      </w:r>
    </w:p>
    <w:p w14:paraId="08286FC0">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3、财务风险应对措施</w:t>
      </w:r>
    </w:p>
    <w:p w14:paraId="414B6DC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实行严格的资金借贷和运用审批制度，根据项目发展情况和资金市场成本变化，调整资本结构；使投资项目尽快产生效益，提高资产盈利能力，降低投资风险；加强对业务收入、业务支出、日常现金等的管理，在保持较高的流动性的基础上，减少资金占用；加大资本运营的力度，构筑和拓宽畅通的融资渠道，为项目的资金供应建立稳固的渠道，加强对资金运行情况的监控，最大限度地提高资金使用效率；实施财务预决算制度；建立相应的风险预警机制，加强内部管理，严格规章制度，把可能发生的损失降低到最低程度。</w:t>
      </w:r>
    </w:p>
    <w:p w14:paraId="5ADE505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4、管理风险应对措施</w:t>
      </w:r>
    </w:p>
    <w:p w14:paraId="09EE35A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制定完善各项管理制度；加强对管理人员组织结构、管理制度、管理方法等方面的内部培训、外部培训，提高其整体素质和经营管理水平；推行目标成本全面管理，加强成本控制；倡导组织创新、思想创新，以适应不断变化的外部环境。设计项目管理运营模式时应本着“严谨、细实”的原则，建立并完善了相应的管理体制和内部组织机构，并使之规范运行。不断向同行业其它经营较好的企业学习，不断丰富自身管理经验，逐步提升管理水平。</w:t>
      </w:r>
    </w:p>
    <w:p w14:paraId="7ACE52F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5、技术风险应对措施</w:t>
      </w:r>
    </w:p>
    <w:p w14:paraId="7AC496D9">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提高技术水平，开发具有自主知识产权的技术，重视技术方案的咨询论证，就技术方案的可行性进行研究，对项目方案的风险水平与收益水平进行比较，对方案实施后的可能结果进行猜测。应改善内部组织，建立有利于技术创新的生产过程组织。建立健全技术开发的风险预警系统，及时发现技术开发和项目运营过程中的风险隐患。</w:t>
      </w:r>
    </w:p>
    <w:p w14:paraId="047ED08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6、自然风险应对措施</w:t>
      </w:r>
    </w:p>
    <w:p w14:paraId="7D70CFFE">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避免项目在实施过程中发生意外及其他各种不可抗拒因素给政府造成损失，一方面建议项目单位在财务预算中拨出专款，购买各种保险以规避可能遇到的风险；另一方面建议建设单位建立完善的自然风险预警制度和自然风险应急救援措施。</w:t>
      </w:r>
    </w:p>
    <w:p w14:paraId="63A050A8">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121" w:name="_Toc4480"/>
      <w:bookmarkStart w:id="122" w:name="_Toc26235"/>
      <w:bookmarkStart w:id="123" w:name="_Toc21641"/>
      <w:r>
        <w:rPr>
          <w:rFonts w:hint="eastAsia" w:ascii="宋体" w:hAnsi="宋体" w:eastAsia="宋体" w:cs="宋体"/>
          <w:b/>
          <w:bCs/>
          <w:sz w:val="28"/>
          <w:szCs w:val="28"/>
        </w:rPr>
        <w:t>8.4 重大风险管控应急预案</w:t>
      </w:r>
      <w:bookmarkEnd w:id="121"/>
      <w:bookmarkEnd w:id="122"/>
      <w:bookmarkEnd w:id="123"/>
    </w:p>
    <w:p w14:paraId="239050A0">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根据对各种风险因素及风险程度的分析，本项目面临的主要风险已经明确，针对这些风险因素提出如下的防范和降低风险的措施：</w:t>
      </w:r>
    </w:p>
    <w:p w14:paraId="4930FD7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1、为了使该项目顺利实施，甲方事前做好充分准备，通过多渠道进行融资，利用好各级政府的各项优惠政策，在保证质量的前提下，加快项目实施进度，尽可能规避融资风险。</w:t>
      </w:r>
    </w:p>
    <w:p w14:paraId="41B466F4">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2、加强工程的施工管理，提高工程质量，保证施工进度。</w:t>
      </w:r>
    </w:p>
    <w:p w14:paraId="12FF0E2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3、加强企业的自身管理，提高监管能力，有效控制工程造价。</w:t>
      </w:r>
    </w:p>
    <w:p w14:paraId="4D9328D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密切关注国家宏观经济政策的变化，加强对影响行业的政策和相关因素的分析研究，及时制定有效的对策，使建设规模和结构适应行业发展和市场供求的趋势，尽可能把政策影响降低到最低水平，确保本项目的顺利实施。</w:t>
      </w:r>
    </w:p>
    <w:p w14:paraId="32D51F06">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5、要严格贯彻执行建设和管理的有关法规，加强人员培训，严格技术管理，严把建设过程的每一道关口，确保工程质量稳定可靠。</w:t>
      </w:r>
    </w:p>
    <w:p w14:paraId="2CCB01A6">
      <w:pPr>
        <w:rPr>
          <w:rFonts w:ascii="宋体" w:hAnsi="宋体" w:eastAsia="宋体" w:cs="宋体"/>
          <w:i w:val="0"/>
          <w:strike w:val="0"/>
          <w:color w:val="000000"/>
          <w:spacing w:val="0"/>
          <w:sz w:val="28"/>
          <w:u w:val="none"/>
        </w:rPr>
      </w:pPr>
      <w:r>
        <w:rPr>
          <w:rFonts w:ascii="宋体" w:hAnsi="宋体" w:eastAsia="宋体" w:cs="宋体"/>
          <w:i w:val="0"/>
          <w:strike w:val="0"/>
          <w:color w:val="000000"/>
          <w:spacing w:val="0"/>
          <w:sz w:val="28"/>
          <w:u w:val="none"/>
        </w:rPr>
        <w:br w:type="page"/>
      </w:r>
    </w:p>
    <w:p w14:paraId="6140CB10">
      <w:pPr>
        <w:keepNext w:val="0"/>
        <w:keepLines w:val="0"/>
        <w:pageBreakBefore w:val="0"/>
        <w:widowControl/>
        <w:kinsoku w:val="0"/>
        <w:wordWrap/>
        <w:overflowPunct/>
        <w:topLinePunct w:val="0"/>
        <w:autoSpaceDE w:val="0"/>
        <w:autoSpaceDN w:val="0"/>
        <w:bidi w:val="0"/>
        <w:adjustRightInd/>
        <w:snapToGrid/>
        <w:spacing w:before="0" w:beforeLines="100" w:after="0" w:afterLines="100" w:line="360" w:lineRule="auto"/>
        <w:jc w:val="center"/>
        <w:textAlignment w:val="baseline"/>
        <w:outlineLvl w:val="0"/>
        <w:rPr>
          <w:rFonts w:hint="eastAsia" w:ascii="宋体" w:hAnsi="宋体" w:eastAsia="宋体" w:cs="宋体"/>
          <w:b/>
          <w:bCs/>
          <w:sz w:val="36"/>
          <w:szCs w:val="36"/>
        </w:rPr>
      </w:pPr>
      <w:bookmarkStart w:id="124" w:name="_Toc17603"/>
      <w:bookmarkStart w:id="125" w:name="_Toc1846"/>
      <w:bookmarkStart w:id="126" w:name="_Toc14313"/>
      <w:r>
        <w:rPr>
          <w:rFonts w:hint="eastAsia" w:ascii="宋体" w:hAnsi="宋体" w:eastAsia="宋体" w:cs="宋体"/>
          <w:b/>
          <w:bCs/>
          <w:sz w:val="36"/>
          <w:szCs w:val="36"/>
        </w:rPr>
        <w:t>第九章 结论和建议</w:t>
      </w:r>
      <w:bookmarkEnd w:id="124"/>
      <w:bookmarkEnd w:id="125"/>
      <w:bookmarkEnd w:id="126"/>
    </w:p>
    <w:p w14:paraId="2469DC3E">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127" w:name="_Toc6270"/>
      <w:bookmarkStart w:id="128" w:name="_Toc25714"/>
      <w:bookmarkStart w:id="129" w:name="_Toc18930"/>
      <w:r>
        <w:rPr>
          <w:rFonts w:hint="eastAsia" w:ascii="宋体" w:hAnsi="宋体" w:eastAsia="宋体" w:cs="宋体"/>
          <w:b/>
          <w:bCs/>
          <w:sz w:val="28"/>
          <w:szCs w:val="28"/>
        </w:rPr>
        <w:t>9.1 结论</w:t>
      </w:r>
      <w:bookmarkEnd w:id="127"/>
      <w:bookmarkEnd w:id="128"/>
      <w:bookmarkEnd w:id="129"/>
    </w:p>
    <w:p w14:paraId="1D565C4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获嘉县作为一个工业+农业蓬勃发展的区域，区域内有着众多大中小企业聚集，在经济下行的大环境下，企业亟需降本增效进行转型升级。在此背景下，本项目的实施显得尤为重要。本项目不仅能够帮助获嘉县中小企业降低经营成本，更通过技术创新与资源整合，显著提升了绿色能源的开发和使用，推动了双碳的战略发展进度，促进了当地中小企业转型升级，为获嘉县营造了一个更加优越的投资与营商环境。</w:t>
      </w:r>
    </w:p>
    <w:p w14:paraId="1AA34DA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2、本项目建设规模合理，建设条件具备，建设方案可行，投资规模适中，资金来源有保证，具有一定的抗风险能力、良好的经济和社会效益，建议尽快实施早日建成发挥良好的经济效益和社会效益。</w:t>
      </w:r>
    </w:p>
    <w:p w14:paraId="3609965C">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3、本项目的建设是积极顺应供给侧结构性改革大势，大力实施创新新驱动战略，努力推动经济发展方式转变和经济结构调整的重要举措。</w:t>
      </w:r>
    </w:p>
    <w:p w14:paraId="6D7777E4">
      <w:pPr>
        <w:keepNext w:val="0"/>
        <w:keepLines w:val="0"/>
        <w:pageBreakBefore w:val="0"/>
        <w:widowControl/>
        <w:kinsoku w:val="0"/>
        <w:wordWrap/>
        <w:overflowPunct/>
        <w:topLinePunct w:val="0"/>
        <w:autoSpaceDE w:val="0"/>
        <w:autoSpaceDN w:val="0"/>
        <w:bidi w:val="0"/>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130" w:name="_Toc3775"/>
      <w:bookmarkStart w:id="131" w:name="_Toc31302"/>
      <w:bookmarkStart w:id="132" w:name="_Toc12580"/>
      <w:r>
        <w:rPr>
          <w:rFonts w:hint="eastAsia" w:ascii="宋体" w:hAnsi="宋体" w:eastAsia="宋体" w:cs="宋体"/>
          <w:b/>
          <w:bCs/>
          <w:sz w:val="28"/>
          <w:szCs w:val="28"/>
        </w:rPr>
        <w:t>9.2 建议</w:t>
      </w:r>
      <w:bookmarkEnd w:id="130"/>
      <w:bookmarkEnd w:id="131"/>
      <w:bookmarkEnd w:id="132"/>
    </w:p>
    <w:p w14:paraId="04AD4211">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议建设单位加快项目的前期工作进程，积极落实建设资金，落实设计及施工单位，尽早开工，保质保量按时完成工程建设，及时投入使用，尽快发挥项目应有的社会效益。同时也建议政府各有关部门积极支持该项目的建设。</w:t>
      </w:r>
    </w:p>
    <w:p w14:paraId="13C4D07A">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1、向地方政府争取相关政策支持和优惠措施，例如税收优惠等。这些政策能够降低项目建设和运营成本，提高投资回报率，吸引更多资金和资源参与到项目中来。</w:t>
      </w:r>
    </w:p>
    <w:p w14:paraId="7880F91B">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2、建设项目单位应尽早办理各种手续，抓紧时间落实，做好项目前期工作，并尽早组织开工建设。</w:t>
      </w:r>
    </w:p>
    <w:p w14:paraId="1EA44532">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3、水、电、气、通风等设施应积极采用节能、节水、节材并符合环境保护和计量要求的新技术、新设备，电度表、水表等计量设备安装使用前应进行首次强制检测。</w:t>
      </w:r>
    </w:p>
    <w:p w14:paraId="0E5053A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4、建议建设单位通过加强管理来控制工程风险。良好的项目管理是项目取得成功的重要保证。从投资开发来看，项目全过程的投资、进度和质量是控制的重点。</w:t>
      </w:r>
    </w:p>
    <w:p w14:paraId="0943B614">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5、为了尽快实施该项目，应当优化项目管理流程和执行计划。确保项目各阶段的设计、审批、采购和施工能够高效有序地进行，避免因流程繁琐或延迟导致项目推迟。</w:t>
      </w:r>
    </w:p>
    <w:p w14:paraId="27C4840F">
      <w:pPr>
        <w:keepNext w:val="0"/>
        <w:keepLines w:val="0"/>
        <w:pageBreakBefore w:val="0"/>
        <w:widowControl w:val="0"/>
        <w:kinsoku/>
        <w:wordWrap/>
        <w:overflowPunct/>
        <w:topLinePunct/>
        <w:autoSpaceDE w:val="0"/>
        <w:autoSpaceDN/>
        <w:bidi w:val="0"/>
        <w:adjustRightInd/>
        <w:snapToGrid/>
        <w:spacing w:before="157" w:beforeLines="50" w:beforeAutospacing="0" w:after="157" w:afterLines="50" w:afterAutospacing="0"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6、项目应严格按环保“三同时”原则，搞好环境治理工作。</w:t>
      </w:r>
    </w:p>
    <w:p w14:paraId="272180D3">
      <w:pPr>
        <w:snapToGrid/>
        <w:spacing w:line="240" w:lineRule="auto"/>
      </w:pPr>
    </w:p>
    <w:p w14:paraId="1C7E8929">
      <w:pPr>
        <w:snapToGrid/>
        <w:spacing w:line="240" w:lineRule="auto"/>
      </w:pPr>
    </w:p>
    <w:p w14:paraId="0292783C">
      <w:pPr>
        <w:snapToGrid/>
        <w:spacing w:line="240" w:lineRule="auto"/>
      </w:pPr>
      <w:r>
        <w:rPr>
          <w:rFonts w:ascii="Arial" w:hAnsi="Arial" w:eastAsia="Arial" w:cs="Arial"/>
          <w:i w:val="0"/>
          <w:strike w:val="0"/>
          <w:color w:val="000000"/>
          <w:sz w:val="21"/>
          <w:u w:val="none"/>
        </w:rPr>
        <w:t> </w:t>
      </w:r>
    </w:p>
    <w:p w14:paraId="5DF4013C">
      <w:pPr>
        <w:snapToGrid/>
        <w:spacing w:before="157" w:after="157" w:line="360" w:lineRule="auto"/>
        <w:ind w:right="0" w:rightChars="0" w:firstLine="420" w:firstLineChars="200"/>
        <w:jc w:val="both"/>
      </w:pPr>
    </w:p>
    <w:p w14:paraId="199B912B">
      <w:pPr>
        <w:keepNext w:val="0"/>
        <w:keepLines w:val="0"/>
        <w:pageBreakBefore w:val="0"/>
        <w:widowControl w:val="0"/>
        <w:pBdr>
          <w:bottom w:val="none" w:color="auto" w:sz="0" w:space="0"/>
        </w:pBdr>
        <w:kinsoku/>
        <w:wordWrap/>
        <w:overflowPunct/>
        <w:topLinePunct w:val="0"/>
        <w:autoSpaceDE/>
        <w:autoSpaceDN/>
        <w:bidi w:val="0"/>
        <w:adjustRightInd/>
        <w:snapToGrid/>
        <w:spacing w:before="157" w:beforeLines="50" w:beforeAutospacing="0" w:after="157" w:afterLines="50" w:afterAutospacing="0" w:line="360" w:lineRule="auto"/>
        <w:ind w:left="0" w:firstLine="560" w:firstLineChars="200"/>
        <w:jc w:val="both"/>
        <w:textAlignment w:val="auto"/>
        <w:outlineLvl w:val="9"/>
      </w:pPr>
      <w:r>
        <w:rPr>
          <w:rFonts w:hint="eastAsia" w:ascii="宋体" w:hAnsi="宋体" w:eastAsia="宋体" w:cs="宋体"/>
          <w:snapToGrid/>
          <w:spacing w:val="0"/>
          <w:w w:val="100"/>
          <w:kern w:val="2"/>
          <w:position w:val="0"/>
          <w:sz w:val="28"/>
          <w:szCs w:val="28"/>
          <w:lang w:val="en-US" w:eastAsia="zh-CN" w:bidi="zh-CN"/>
        </w:rPr>
        <w:br w:type="page"/>
      </w:r>
    </w:p>
    <w:p w14:paraId="31E0DDBB">
      <w:p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54F2782B">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0"/>
        <w:rPr>
          <w:rFonts w:hint="eastAsia" w:ascii="宋体" w:hAnsi="宋体" w:eastAsia="宋体" w:cs="宋体"/>
          <w:b/>
          <w:bCs/>
          <w:i w:val="0"/>
          <w:iCs w:val="0"/>
          <w:color w:val="auto"/>
          <w:kern w:val="0"/>
          <w:sz w:val="28"/>
          <w:szCs w:val="28"/>
          <w:u w:val="none"/>
          <w:lang w:val="en-US" w:eastAsia="zh-CN"/>
        </w:rPr>
      </w:pPr>
      <w:bookmarkStart w:id="133" w:name="_Toc1013"/>
      <w:bookmarkStart w:id="134" w:name="_Toc4429"/>
      <w:bookmarkStart w:id="135" w:name="_Toc10969"/>
      <w:r>
        <w:rPr>
          <w:rFonts w:hint="eastAsia" w:ascii="宋体" w:hAnsi="宋体" w:eastAsia="宋体" w:cs="宋体"/>
          <w:b/>
          <w:bCs/>
          <w:i w:val="0"/>
          <w:iCs w:val="0"/>
          <w:color w:val="auto"/>
          <w:kern w:val="0"/>
          <w:sz w:val="28"/>
          <w:szCs w:val="28"/>
          <w:u w:val="none"/>
          <w:lang w:val="en-US" w:eastAsia="zh-CN"/>
        </w:rPr>
        <w:t>附表1：建设投资估算表</w:t>
      </w:r>
      <w:bookmarkEnd w:id="133"/>
      <w:bookmarkEnd w:id="134"/>
      <w:bookmarkEnd w:id="135"/>
    </w:p>
    <w:tbl>
      <w:tblPr>
        <w:tblStyle w:val="16"/>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71"/>
        <w:gridCol w:w="3091"/>
        <w:gridCol w:w="1230"/>
        <w:gridCol w:w="1156"/>
        <w:gridCol w:w="1285"/>
        <w:gridCol w:w="1285"/>
        <w:gridCol w:w="1284"/>
        <w:gridCol w:w="840"/>
        <w:gridCol w:w="1245"/>
        <w:gridCol w:w="1754"/>
      </w:tblGrid>
      <w:tr w14:paraId="1ABFF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blHeader/>
        </w:trPr>
        <w:tc>
          <w:tcPr>
            <w:tcW w:w="13941" w:type="dxa"/>
            <w:gridSpan w:val="10"/>
            <w:tcBorders>
              <w:top w:val="nil"/>
              <w:left w:val="nil"/>
              <w:bottom w:val="nil"/>
              <w:right w:val="nil"/>
            </w:tcBorders>
            <w:shd w:val="clear" w:color="auto" w:fill="auto"/>
            <w:vAlign w:val="center"/>
          </w:tcPr>
          <w:p w14:paraId="191ECE63">
            <w:pPr>
              <w:keepNext w:val="0"/>
              <w:keepLines w:val="0"/>
              <w:widowControl/>
              <w:suppressLineNumbers w:val="0"/>
              <w:jc w:val="righ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1"/>
                <w:szCs w:val="21"/>
                <w:u w:val="none"/>
                <w:lang w:val="en-US" w:eastAsia="zh-CN"/>
              </w:rPr>
              <w:t>单位：万元</w:t>
            </w:r>
          </w:p>
        </w:tc>
      </w:tr>
      <w:tr w14:paraId="582FC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blHeader/>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1104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rPr>
              <w:t>序号</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ACB3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rPr>
              <w:t>工程或费用名称</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3AF0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rPr>
              <w:t>建筑工程费</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64CE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rPr>
              <w:t>安装工程费</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E35A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rPr>
              <w:t>设备购置费</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3AF4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rPr>
              <w:t>其他费用</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383D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rPr>
              <w:t>合计</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2753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rPr>
              <w:t>单位</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AD58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rPr>
              <w:t>数量</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E494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rPr>
              <w:t>综合单价（万元）</w:t>
            </w:r>
          </w:p>
        </w:tc>
      </w:tr>
      <w:tr w14:paraId="25C30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7D799">
            <w:pPr>
              <w:keepNext w:val="0"/>
              <w:keepLines w:val="0"/>
              <w:widowControl/>
              <w:suppressLineNumbers w:val="0"/>
              <w:jc w:val="center"/>
              <w:textAlignment w:val="top"/>
              <w:rPr>
                <w:rFonts w:hint="eastAsia" w:ascii="宋体" w:hAnsi="宋体" w:eastAsia="宋体" w:cs="宋体"/>
                <w:b/>
                <w:bCs/>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一</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A2C3A">
            <w:pPr>
              <w:keepNext w:val="0"/>
              <w:keepLines w:val="0"/>
              <w:widowControl/>
              <w:suppressLineNumbers w:val="0"/>
              <w:jc w:val="center"/>
              <w:textAlignment w:val="top"/>
              <w:rPr>
                <w:rFonts w:hint="eastAsia" w:ascii="宋体" w:hAnsi="宋体" w:eastAsia="宋体" w:cs="宋体"/>
                <w:b/>
                <w:bCs/>
                <w:i w:val="0"/>
                <w:iCs w:val="0"/>
                <w:color w:val="FF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工程费用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61EA9">
            <w:pPr>
              <w:keepNext w:val="0"/>
              <w:keepLines w:val="0"/>
              <w:widowControl/>
              <w:suppressLineNumbers w:val="0"/>
              <w:jc w:val="center"/>
              <w:textAlignment w:val="top"/>
              <w:rPr>
                <w:rFonts w:hint="eastAsia" w:ascii="宋体" w:hAnsi="宋体" w:eastAsia="宋体" w:cs="宋体"/>
                <w:b/>
                <w:bCs/>
                <w:i w:val="0"/>
                <w:iCs w:val="0"/>
                <w:color w:val="FF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163.33</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78B9C">
            <w:pPr>
              <w:keepNext w:val="0"/>
              <w:keepLines w:val="0"/>
              <w:widowControl/>
              <w:suppressLineNumbers w:val="0"/>
              <w:jc w:val="center"/>
              <w:textAlignment w:val="top"/>
              <w:rPr>
                <w:rFonts w:hint="eastAsia" w:ascii="宋体" w:hAnsi="宋体" w:eastAsia="宋体" w:cs="宋体"/>
                <w:b/>
                <w:bCs/>
                <w:i w:val="0"/>
                <w:iCs w:val="0"/>
                <w:color w:val="FF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362.26</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7B8D4">
            <w:pPr>
              <w:keepNext w:val="0"/>
              <w:keepLines w:val="0"/>
              <w:widowControl/>
              <w:suppressLineNumbers w:val="0"/>
              <w:jc w:val="center"/>
              <w:textAlignment w:val="top"/>
              <w:rPr>
                <w:rFonts w:hint="eastAsia" w:ascii="宋体" w:hAnsi="宋体" w:eastAsia="宋体" w:cs="宋体"/>
                <w:b/>
                <w:bCs/>
                <w:i w:val="0"/>
                <w:iCs w:val="0"/>
                <w:color w:val="FF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7376.98</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30B17">
            <w:pPr>
              <w:jc w:val="center"/>
              <w:rPr>
                <w:rFonts w:hint="eastAsia" w:ascii="宋体" w:hAnsi="宋体" w:eastAsia="宋体" w:cs="宋体"/>
                <w:b/>
                <w:bCs/>
                <w:i w:val="0"/>
                <w:iCs w:val="0"/>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61B6E">
            <w:pPr>
              <w:keepNext w:val="0"/>
              <w:keepLines w:val="0"/>
              <w:widowControl/>
              <w:suppressLineNumbers w:val="0"/>
              <w:jc w:val="center"/>
              <w:textAlignment w:val="top"/>
              <w:rPr>
                <w:rFonts w:hint="eastAsia" w:ascii="宋体" w:hAnsi="宋体" w:eastAsia="宋体" w:cs="宋体"/>
                <w:b/>
                <w:bCs/>
                <w:i w:val="0"/>
                <w:iCs w:val="0"/>
                <w:color w:val="FF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7902.57</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A22934">
            <w:pPr>
              <w:keepNext w:val="0"/>
              <w:keepLines w:val="0"/>
              <w:widowControl/>
              <w:suppressLineNumbers w:val="0"/>
              <w:jc w:val="center"/>
              <w:textAlignment w:val="top"/>
              <w:rPr>
                <w:rFonts w:hint="eastAsia" w:ascii="宋体" w:hAnsi="宋体" w:eastAsia="宋体" w:cs="宋体"/>
                <w:b/>
                <w:bCs/>
                <w:i w:val="0"/>
                <w:iCs w:val="0"/>
                <w:color w:val="FF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90.13%</w:t>
            </w:r>
          </w:p>
        </w:tc>
      </w:tr>
      <w:tr w14:paraId="3F541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774F9">
            <w:pPr>
              <w:keepNext w:val="0"/>
              <w:keepLines w:val="0"/>
              <w:widowControl/>
              <w:suppressLineNumbers w:val="0"/>
              <w:jc w:val="center"/>
              <w:textAlignment w:val="top"/>
              <w:rPr>
                <w:rFonts w:hint="eastAsia" w:ascii="宋体" w:hAnsi="宋体" w:eastAsia="宋体" w:cs="宋体"/>
                <w:b/>
                <w:bCs/>
                <w:i w:val="0"/>
                <w:iCs w:val="0"/>
                <w:color w:val="FF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338D1">
            <w:pPr>
              <w:keepNext w:val="0"/>
              <w:keepLines w:val="0"/>
              <w:widowControl/>
              <w:suppressLineNumbers w:val="0"/>
              <w:jc w:val="center"/>
              <w:textAlignment w:val="top"/>
              <w:rPr>
                <w:rFonts w:hint="eastAsia" w:ascii="宋体" w:hAnsi="宋体" w:eastAsia="宋体" w:cs="宋体"/>
                <w:b/>
                <w:bCs/>
                <w:i w:val="0"/>
                <w:iCs w:val="0"/>
                <w:color w:val="FF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光伏组件</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0A1C1">
            <w:pPr>
              <w:keepNext w:val="0"/>
              <w:keepLines w:val="0"/>
              <w:widowControl/>
              <w:suppressLineNumbers w:val="0"/>
              <w:jc w:val="center"/>
              <w:textAlignment w:val="top"/>
              <w:rPr>
                <w:rFonts w:hint="eastAsia" w:ascii="宋体" w:hAnsi="宋体" w:eastAsia="宋体" w:cs="宋体"/>
                <w:b/>
                <w:bCs/>
                <w:i w:val="0"/>
                <w:iCs w:val="0"/>
                <w:color w:val="FF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96.75</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E431B">
            <w:pPr>
              <w:keepNext w:val="0"/>
              <w:keepLines w:val="0"/>
              <w:widowControl/>
              <w:suppressLineNumbers w:val="0"/>
              <w:jc w:val="center"/>
              <w:textAlignment w:val="top"/>
              <w:rPr>
                <w:rFonts w:hint="eastAsia" w:ascii="宋体" w:hAnsi="宋体" w:eastAsia="宋体" w:cs="宋体"/>
                <w:b/>
                <w:bCs/>
                <w:i w:val="0"/>
                <w:iCs w:val="0"/>
                <w:color w:val="FF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160.65</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AFE4C">
            <w:pPr>
              <w:keepNext w:val="0"/>
              <w:keepLines w:val="0"/>
              <w:widowControl/>
              <w:suppressLineNumbers w:val="0"/>
              <w:jc w:val="center"/>
              <w:textAlignment w:val="top"/>
              <w:rPr>
                <w:rFonts w:hint="eastAsia" w:ascii="宋体" w:hAnsi="宋体" w:eastAsia="宋体" w:cs="宋体"/>
                <w:b/>
                <w:bCs/>
                <w:i w:val="0"/>
                <w:iCs w:val="0"/>
                <w:color w:val="FF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1451.25</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93549">
            <w:pPr>
              <w:keepNext w:val="0"/>
              <w:keepLines w:val="0"/>
              <w:widowControl/>
              <w:suppressLineNumbers w:val="0"/>
              <w:jc w:val="center"/>
              <w:textAlignment w:val="top"/>
              <w:rPr>
                <w:rFonts w:hint="eastAsia" w:ascii="宋体" w:hAnsi="宋体" w:eastAsia="宋体" w:cs="宋体"/>
                <w:b/>
                <w:bCs/>
                <w:i w:val="0"/>
                <w:iCs w:val="0"/>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45A3B">
            <w:pPr>
              <w:keepNext w:val="0"/>
              <w:keepLines w:val="0"/>
              <w:widowControl/>
              <w:suppressLineNumbers w:val="0"/>
              <w:jc w:val="center"/>
              <w:textAlignment w:val="top"/>
              <w:rPr>
                <w:rFonts w:hint="eastAsia" w:ascii="宋体" w:hAnsi="宋体" w:eastAsia="宋体" w:cs="宋体"/>
                <w:b/>
                <w:bCs/>
                <w:i w:val="0"/>
                <w:iCs w:val="0"/>
                <w:color w:val="FF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1708.65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5E107">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b/>
                <w:bCs/>
                <w:i w:val="0"/>
                <w:iCs w:val="0"/>
                <w:snapToGrid w:val="0"/>
                <w:color w:val="000000"/>
                <w:kern w:val="0"/>
                <w:sz w:val="18"/>
                <w:szCs w:val="18"/>
                <w:u w:val="none"/>
                <w:lang w:val="en-US" w:eastAsia="zh-CN" w:bidi="ar"/>
              </w:rPr>
              <w:t>KW</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8BA62">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b/>
                <w:bCs/>
                <w:i w:val="0"/>
                <w:iCs w:val="0"/>
                <w:snapToGrid w:val="0"/>
                <w:color w:val="000000"/>
                <w:kern w:val="0"/>
                <w:sz w:val="18"/>
                <w:szCs w:val="18"/>
                <w:u w:val="none"/>
                <w:lang w:val="en-US" w:eastAsia="zh-CN" w:bidi="ar"/>
              </w:rPr>
              <w:t>5956.00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3A60F">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b/>
                <w:bCs/>
                <w:i w:val="0"/>
                <w:iCs w:val="0"/>
                <w:snapToGrid w:val="0"/>
                <w:color w:val="000000"/>
                <w:kern w:val="0"/>
                <w:sz w:val="18"/>
                <w:szCs w:val="18"/>
                <w:u w:val="none"/>
                <w:lang w:val="en-US" w:eastAsia="zh-CN" w:bidi="ar"/>
              </w:rPr>
              <w:t>0.29</w:t>
            </w:r>
          </w:p>
        </w:tc>
      </w:tr>
      <w:tr w14:paraId="018C4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nil"/>
              <w:right w:val="single" w:color="000000" w:sz="4" w:space="0"/>
            </w:tcBorders>
            <w:shd w:val="clear" w:color="auto" w:fill="auto"/>
            <w:vAlign w:val="center"/>
          </w:tcPr>
          <w:p w14:paraId="6C5D973B">
            <w:pPr>
              <w:keepNext w:val="0"/>
              <w:keepLines w:val="0"/>
              <w:widowControl/>
              <w:suppressLineNumbers w:val="0"/>
              <w:jc w:val="center"/>
              <w:textAlignment w:val="top"/>
              <w:rPr>
                <w:rFonts w:hint="eastAsia" w:ascii="宋体" w:hAnsi="宋体" w:eastAsia="宋体" w:cs="宋体"/>
                <w:b/>
                <w:bCs/>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w:t>
            </w:r>
          </w:p>
        </w:tc>
        <w:tc>
          <w:tcPr>
            <w:tcW w:w="3091" w:type="dxa"/>
            <w:tcBorders>
              <w:top w:val="single" w:color="000000" w:sz="4" w:space="0"/>
              <w:left w:val="single" w:color="000000" w:sz="4" w:space="0"/>
              <w:bottom w:val="nil"/>
              <w:right w:val="single" w:color="000000" w:sz="4" w:space="0"/>
            </w:tcBorders>
            <w:shd w:val="clear" w:color="auto" w:fill="auto"/>
            <w:noWrap/>
            <w:vAlign w:val="center"/>
          </w:tcPr>
          <w:p w14:paraId="7A552B98">
            <w:pPr>
              <w:keepNext w:val="0"/>
              <w:keepLines w:val="0"/>
              <w:widowControl/>
              <w:suppressLineNumbers w:val="0"/>
              <w:jc w:val="center"/>
              <w:textAlignment w:val="top"/>
              <w:rPr>
                <w:rFonts w:hint="eastAsia" w:ascii="宋体" w:hAnsi="宋体" w:eastAsia="宋体" w:cs="宋体"/>
                <w:b/>
                <w:bCs/>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640Wp单晶N型</w:t>
            </w:r>
          </w:p>
        </w:tc>
        <w:tc>
          <w:tcPr>
            <w:tcW w:w="1230" w:type="dxa"/>
            <w:tcBorders>
              <w:top w:val="single" w:color="000000" w:sz="4" w:space="0"/>
              <w:left w:val="single" w:color="000000" w:sz="4" w:space="0"/>
              <w:bottom w:val="nil"/>
              <w:right w:val="single" w:color="000000" w:sz="4" w:space="0"/>
            </w:tcBorders>
            <w:shd w:val="clear" w:color="auto" w:fill="auto"/>
            <w:noWrap/>
            <w:vAlign w:val="center"/>
          </w:tcPr>
          <w:p w14:paraId="23AEB986">
            <w:pPr>
              <w:keepNext w:val="0"/>
              <w:keepLines w:val="0"/>
              <w:widowControl/>
              <w:suppressLineNumbers w:val="0"/>
              <w:jc w:val="center"/>
              <w:textAlignment w:val="top"/>
              <w:rPr>
                <w:rFonts w:hint="eastAsia" w:ascii="宋体" w:hAnsi="宋体" w:eastAsia="宋体" w:cs="宋体"/>
                <w:b/>
                <w:bCs/>
                <w:i w:val="0"/>
                <w:iCs w:val="0"/>
                <w:color w:val="FF0000"/>
                <w:sz w:val="18"/>
                <w:szCs w:val="18"/>
                <w:u w:val="none"/>
              </w:rPr>
            </w:pPr>
          </w:p>
        </w:tc>
        <w:tc>
          <w:tcPr>
            <w:tcW w:w="1156" w:type="dxa"/>
            <w:tcBorders>
              <w:top w:val="single" w:color="000000" w:sz="4" w:space="0"/>
              <w:left w:val="single" w:color="000000" w:sz="4" w:space="0"/>
              <w:bottom w:val="nil"/>
              <w:right w:val="single" w:color="000000" w:sz="4" w:space="0"/>
            </w:tcBorders>
            <w:shd w:val="clear" w:color="auto" w:fill="auto"/>
            <w:noWrap/>
            <w:vAlign w:val="center"/>
          </w:tcPr>
          <w:p w14:paraId="25B026DE">
            <w:pPr>
              <w:keepNext w:val="0"/>
              <w:keepLines w:val="0"/>
              <w:widowControl/>
              <w:suppressLineNumbers w:val="0"/>
              <w:jc w:val="center"/>
              <w:textAlignment w:val="top"/>
              <w:rPr>
                <w:rFonts w:hint="eastAsia" w:ascii="宋体" w:hAnsi="宋体" w:eastAsia="宋体" w:cs="宋体"/>
                <w:b/>
                <w:bCs/>
                <w:i w:val="0"/>
                <w:iCs w:val="0"/>
                <w:color w:val="FF0000"/>
                <w:sz w:val="18"/>
                <w:szCs w:val="18"/>
                <w:u w:val="none"/>
              </w:rPr>
            </w:pPr>
          </w:p>
        </w:tc>
        <w:tc>
          <w:tcPr>
            <w:tcW w:w="1285" w:type="dxa"/>
            <w:tcBorders>
              <w:top w:val="single" w:color="000000" w:sz="4" w:space="0"/>
              <w:left w:val="single" w:color="000000" w:sz="4" w:space="0"/>
              <w:bottom w:val="nil"/>
              <w:right w:val="single" w:color="000000" w:sz="4" w:space="0"/>
            </w:tcBorders>
            <w:shd w:val="clear" w:color="auto" w:fill="auto"/>
            <w:noWrap/>
            <w:vAlign w:val="center"/>
          </w:tcPr>
          <w:p w14:paraId="77A6A9D7">
            <w:pPr>
              <w:keepNext w:val="0"/>
              <w:keepLines w:val="0"/>
              <w:widowControl/>
              <w:suppressLineNumbers w:val="0"/>
              <w:jc w:val="center"/>
              <w:textAlignment w:val="top"/>
              <w:rPr>
                <w:rFonts w:hint="eastAsia" w:ascii="宋体" w:hAnsi="宋体" w:eastAsia="宋体" w:cs="宋体"/>
                <w:b/>
                <w:bCs/>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882.27</w:t>
            </w:r>
          </w:p>
        </w:tc>
        <w:tc>
          <w:tcPr>
            <w:tcW w:w="1285" w:type="dxa"/>
            <w:tcBorders>
              <w:top w:val="single" w:color="000000" w:sz="4" w:space="0"/>
              <w:left w:val="single" w:color="000000" w:sz="4" w:space="0"/>
              <w:bottom w:val="nil"/>
              <w:right w:val="single" w:color="000000" w:sz="4" w:space="0"/>
            </w:tcBorders>
            <w:shd w:val="clear" w:color="auto" w:fill="auto"/>
            <w:noWrap/>
            <w:vAlign w:val="center"/>
          </w:tcPr>
          <w:p w14:paraId="0F03C1A9">
            <w:pPr>
              <w:keepNext w:val="0"/>
              <w:keepLines w:val="0"/>
              <w:widowControl/>
              <w:suppressLineNumbers w:val="0"/>
              <w:jc w:val="center"/>
              <w:textAlignment w:val="top"/>
              <w:rPr>
                <w:rFonts w:hint="eastAsia" w:ascii="宋体" w:hAnsi="宋体" w:eastAsia="宋体" w:cs="宋体"/>
                <w:b/>
                <w:bCs/>
                <w:i w:val="0"/>
                <w:iCs w:val="0"/>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FC738">
            <w:pPr>
              <w:keepNext w:val="0"/>
              <w:keepLines w:val="0"/>
              <w:widowControl/>
              <w:suppressLineNumbers w:val="0"/>
              <w:jc w:val="center"/>
              <w:textAlignment w:val="top"/>
              <w:rPr>
                <w:rFonts w:hint="eastAsia" w:ascii="宋体" w:hAnsi="宋体" w:eastAsia="宋体" w:cs="宋体"/>
                <w:b/>
                <w:bCs/>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882.27</w:t>
            </w:r>
          </w:p>
        </w:tc>
        <w:tc>
          <w:tcPr>
            <w:tcW w:w="840" w:type="dxa"/>
            <w:tcBorders>
              <w:top w:val="single" w:color="000000" w:sz="4" w:space="0"/>
              <w:left w:val="single" w:color="000000" w:sz="4" w:space="0"/>
              <w:bottom w:val="nil"/>
              <w:right w:val="single" w:color="000000" w:sz="4" w:space="0"/>
            </w:tcBorders>
            <w:shd w:val="clear" w:color="auto" w:fill="auto"/>
            <w:vAlign w:val="center"/>
          </w:tcPr>
          <w:p w14:paraId="7CD5AE75">
            <w:pPr>
              <w:keepNext w:val="0"/>
              <w:keepLines w:val="0"/>
              <w:widowControl/>
              <w:suppressLineNumbers w:val="0"/>
              <w:jc w:val="center"/>
              <w:textAlignment w:val="center"/>
              <w:rPr>
                <w:rFonts w:hint="eastAsia" w:ascii="宋体" w:hAnsi="宋体" w:eastAsia="宋体" w:cs="宋体"/>
                <w:b/>
                <w:bCs/>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块</w:t>
            </w:r>
          </w:p>
        </w:tc>
        <w:tc>
          <w:tcPr>
            <w:tcW w:w="1245" w:type="dxa"/>
            <w:tcBorders>
              <w:top w:val="single" w:color="000000" w:sz="4" w:space="0"/>
              <w:left w:val="single" w:color="000000" w:sz="4" w:space="0"/>
              <w:bottom w:val="nil"/>
              <w:right w:val="single" w:color="000000" w:sz="4" w:space="0"/>
            </w:tcBorders>
            <w:shd w:val="clear" w:color="auto" w:fill="auto"/>
            <w:vAlign w:val="center"/>
          </w:tcPr>
          <w:p w14:paraId="4D10A1A4">
            <w:pPr>
              <w:keepNext w:val="0"/>
              <w:keepLines w:val="0"/>
              <w:widowControl/>
              <w:suppressLineNumbers w:val="0"/>
              <w:jc w:val="center"/>
              <w:textAlignment w:val="center"/>
              <w:rPr>
                <w:rFonts w:hint="eastAsia" w:ascii="宋体" w:hAnsi="宋体" w:eastAsia="宋体" w:cs="宋体"/>
                <w:b/>
                <w:bCs/>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11168.00</w:t>
            </w:r>
          </w:p>
        </w:tc>
        <w:tc>
          <w:tcPr>
            <w:tcW w:w="1754" w:type="dxa"/>
            <w:tcBorders>
              <w:top w:val="single" w:color="000000" w:sz="4" w:space="0"/>
              <w:left w:val="single" w:color="000000" w:sz="4" w:space="0"/>
              <w:bottom w:val="nil"/>
              <w:right w:val="single" w:color="000000" w:sz="4" w:space="0"/>
            </w:tcBorders>
            <w:shd w:val="clear" w:color="auto" w:fill="auto"/>
            <w:vAlign w:val="center"/>
          </w:tcPr>
          <w:p w14:paraId="0B45744A">
            <w:pPr>
              <w:keepNext w:val="0"/>
              <w:keepLines w:val="0"/>
              <w:widowControl/>
              <w:suppressLineNumbers w:val="0"/>
              <w:jc w:val="center"/>
              <w:textAlignment w:val="center"/>
              <w:rPr>
                <w:rFonts w:hint="eastAsia" w:ascii="宋体" w:hAnsi="宋体" w:eastAsia="宋体" w:cs="宋体"/>
                <w:b/>
                <w:bCs/>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0.08</w:t>
            </w:r>
          </w:p>
        </w:tc>
      </w:tr>
      <w:tr w14:paraId="4D4FC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F1AA6">
            <w:pPr>
              <w:keepNext w:val="0"/>
              <w:keepLines w:val="0"/>
              <w:widowControl/>
              <w:suppressLineNumbers w:val="0"/>
              <w:jc w:val="center"/>
              <w:textAlignment w:val="top"/>
              <w:rPr>
                <w:rFonts w:hint="eastAsia" w:ascii="宋体" w:hAnsi="宋体" w:eastAsia="宋体" w:cs="宋体"/>
                <w:i w:val="0"/>
                <w:iCs w:val="0"/>
                <w:color w:val="FF0000"/>
                <w:sz w:val="18"/>
                <w:szCs w:val="18"/>
                <w:u w:val="none"/>
                <w:lang w:val="en-US" w:eastAsia="zh-CN"/>
              </w:rPr>
            </w:pPr>
            <w:r>
              <w:rPr>
                <w:rFonts w:hint="eastAsia" w:ascii="宋体" w:hAnsi="宋体" w:eastAsia="宋体" w:cs="宋体"/>
                <w:i w:val="0"/>
                <w:iCs w:val="0"/>
                <w:snapToGrid w:val="0"/>
                <w:color w:val="000000"/>
                <w:kern w:val="0"/>
                <w:sz w:val="18"/>
                <w:szCs w:val="18"/>
                <w:u w:val="none"/>
                <w:lang w:val="en-US" w:eastAsia="zh-CN" w:bidi="ar"/>
              </w:rPr>
              <w:t>1.2</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D5D7C">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逆变器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55ADE">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CDC1B">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8513E">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81.00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2F9F2">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E8A36">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81.00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AFA1D">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29849">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iCs w:val="0"/>
                <w:snapToGrid w:val="0"/>
                <w:color w:val="000000"/>
                <w:kern w:val="0"/>
                <w:sz w:val="18"/>
                <w:szCs w:val="18"/>
                <w:u w:val="none"/>
                <w:lang w:val="en-US" w:eastAsia="zh-CN" w:bidi="ar"/>
              </w:rPr>
              <w:t>57.00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6A027">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iCs w:val="0"/>
                <w:snapToGrid w:val="0"/>
                <w:color w:val="000000"/>
                <w:kern w:val="0"/>
                <w:sz w:val="18"/>
                <w:szCs w:val="18"/>
                <w:u w:val="none"/>
                <w:lang w:val="en-US" w:eastAsia="zh-CN" w:bidi="ar"/>
              </w:rPr>
              <w:t>1.42</w:t>
            </w:r>
          </w:p>
        </w:tc>
      </w:tr>
      <w:tr w14:paraId="5ABAC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7B4F4">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DD107">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交流汇流箱</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A8CCD">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54440">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A9806">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9.32</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20B2E">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07574">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9.32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C9BD5">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6B544">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iCs w:val="0"/>
                <w:snapToGrid w:val="0"/>
                <w:color w:val="000000"/>
                <w:kern w:val="0"/>
                <w:sz w:val="18"/>
                <w:szCs w:val="18"/>
                <w:u w:val="none"/>
                <w:lang w:val="en-US" w:eastAsia="zh-CN" w:bidi="ar"/>
              </w:rPr>
              <w:t>9.00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9227B">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iCs w:val="0"/>
                <w:snapToGrid w:val="0"/>
                <w:color w:val="000000"/>
                <w:kern w:val="0"/>
                <w:sz w:val="18"/>
                <w:szCs w:val="18"/>
                <w:u w:val="none"/>
                <w:lang w:val="en-US" w:eastAsia="zh-CN" w:bidi="ar"/>
              </w:rPr>
              <w:t>1.04</w:t>
            </w:r>
          </w:p>
        </w:tc>
      </w:tr>
      <w:tr w14:paraId="153C4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32B47">
            <w:pPr>
              <w:keepNext w:val="0"/>
              <w:keepLines w:val="0"/>
              <w:widowControl/>
              <w:suppressLineNumbers w:val="0"/>
              <w:jc w:val="center"/>
              <w:textAlignment w:val="top"/>
              <w:rPr>
                <w:rFonts w:hint="eastAsia" w:ascii="宋体" w:hAnsi="宋体" w:eastAsia="宋体" w:cs="宋体"/>
                <w:b w:val="0"/>
                <w:bCs w:val="0"/>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971D7">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光伏支架及配件</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6C07F">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2E9E9">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DC0F7">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157.03</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2057C">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74B49">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157.03</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025FB">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km</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180B5">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iCs w:val="0"/>
                <w:snapToGrid w:val="0"/>
                <w:color w:val="000000"/>
                <w:kern w:val="0"/>
                <w:sz w:val="18"/>
                <w:szCs w:val="18"/>
                <w:u w:val="none"/>
                <w:lang w:val="en-US" w:eastAsia="zh-CN" w:bidi="ar"/>
              </w:rPr>
              <w:t>87.29</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85A0A">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iCs w:val="0"/>
                <w:snapToGrid w:val="0"/>
                <w:color w:val="000000"/>
                <w:kern w:val="0"/>
                <w:sz w:val="18"/>
                <w:szCs w:val="18"/>
                <w:u w:val="none"/>
                <w:lang w:val="en-US" w:eastAsia="zh-CN" w:bidi="ar"/>
              </w:rPr>
              <w:t>1.80</w:t>
            </w:r>
          </w:p>
        </w:tc>
      </w:tr>
      <w:tr w14:paraId="336E8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E3FB1">
            <w:pPr>
              <w:keepNext w:val="0"/>
              <w:keepLines w:val="0"/>
              <w:widowControl/>
              <w:suppressLineNumbers w:val="0"/>
              <w:jc w:val="center"/>
              <w:textAlignment w:val="top"/>
              <w:rPr>
                <w:rFonts w:hint="eastAsia" w:ascii="宋体" w:hAnsi="宋体" w:eastAsia="宋体" w:cs="宋体"/>
                <w:b w:val="0"/>
                <w:bCs w:val="0"/>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D891C">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光伏直流电缆</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DCBFC">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AC46F">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72DDB">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4779F">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F8C94">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11.00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D2B9F">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km</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841F1">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iCs w:val="0"/>
                <w:snapToGrid w:val="0"/>
                <w:color w:val="000000"/>
                <w:kern w:val="0"/>
                <w:sz w:val="18"/>
                <w:szCs w:val="18"/>
                <w:u w:val="none"/>
                <w:lang w:val="en-US" w:eastAsia="zh-CN" w:bidi="ar"/>
              </w:rPr>
              <w:t>2.00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A50DE">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iCs w:val="0"/>
                <w:snapToGrid w:val="0"/>
                <w:color w:val="000000"/>
                <w:kern w:val="0"/>
                <w:sz w:val="18"/>
                <w:szCs w:val="18"/>
                <w:u w:val="none"/>
                <w:lang w:val="en-US" w:eastAsia="zh-CN" w:bidi="ar"/>
              </w:rPr>
              <w:t>5.50</w:t>
            </w:r>
          </w:p>
        </w:tc>
      </w:tr>
      <w:tr w14:paraId="750DA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A86F5">
            <w:pPr>
              <w:keepNext w:val="0"/>
              <w:keepLines w:val="0"/>
              <w:widowControl/>
              <w:suppressLineNumbers w:val="0"/>
              <w:jc w:val="center"/>
              <w:textAlignment w:val="top"/>
              <w:rPr>
                <w:rFonts w:hint="eastAsia" w:ascii="宋体" w:hAnsi="宋体" w:eastAsia="宋体" w:cs="宋体"/>
                <w:b w:val="0"/>
                <w:bCs w:val="0"/>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A39A4">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MC4连接器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A5ABD">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2A11D">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3AD51">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1.32</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3D5F0">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E1258">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EE565">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1CE1B">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iCs w:val="0"/>
                <w:snapToGrid w:val="0"/>
                <w:color w:val="000000"/>
                <w:kern w:val="0"/>
                <w:sz w:val="18"/>
                <w:szCs w:val="18"/>
                <w:u w:val="none"/>
                <w:lang w:val="en-US" w:eastAsia="zh-CN" w:bidi="ar"/>
              </w:rPr>
              <w:t>610.00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050E4">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iCs w:val="0"/>
                <w:snapToGrid w:val="0"/>
                <w:color w:val="000000"/>
                <w:kern w:val="0"/>
                <w:sz w:val="18"/>
                <w:szCs w:val="18"/>
                <w:u w:val="none"/>
                <w:lang w:val="en-US" w:eastAsia="zh-CN" w:bidi="ar"/>
              </w:rPr>
              <w:t>0.02</w:t>
            </w:r>
          </w:p>
        </w:tc>
      </w:tr>
      <w:tr w14:paraId="0270B1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B8743">
            <w:pPr>
              <w:keepNext w:val="0"/>
              <w:keepLines w:val="0"/>
              <w:widowControl/>
              <w:suppressLineNumbers w:val="0"/>
              <w:jc w:val="center"/>
              <w:textAlignment w:val="top"/>
              <w:rPr>
                <w:rFonts w:hint="eastAsia" w:ascii="宋体" w:hAnsi="宋体" w:eastAsia="宋体" w:cs="宋体"/>
                <w:b w:val="0"/>
                <w:bCs w:val="0"/>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491D4">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交流电缆</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473CF">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C23FE">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907EB">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147.62</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940BB">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7A78E">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147.62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3CD89">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km</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13648">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iCs w:val="0"/>
                <w:snapToGrid w:val="0"/>
                <w:color w:val="000000"/>
                <w:kern w:val="0"/>
                <w:sz w:val="18"/>
                <w:szCs w:val="18"/>
                <w:u w:val="none"/>
                <w:lang w:val="en-US" w:eastAsia="zh-CN" w:bidi="ar"/>
              </w:rPr>
              <w:t>8.10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40509">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iCs w:val="0"/>
                <w:snapToGrid w:val="0"/>
                <w:color w:val="000000"/>
                <w:kern w:val="0"/>
                <w:sz w:val="18"/>
                <w:szCs w:val="18"/>
                <w:u w:val="none"/>
                <w:lang w:val="en-US" w:eastAsia="zh-CN" w:bidi="ar"/>
              </w:rPr>
              <w:t>18.23</w:t>
            </w:r>
          </w:p>
        </w:tc>
      </w:tr>
      <w:tr w14:paraId="3436C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A2A58">
            <w:pPr>
              <w:keepNext w:val="0"/>
              <w:keepLines w:val="0"/>
              <w:widowControl/>
              <w:suppressLineNumbers w:val="0"/>
              <w:jc w:val="center"/>
              <w:textAlignment w:val="top"/>
              <w:rPr>
                <w:rFonts w:hint="eastAsia" w:ascii="宋体" w:hAnsi="宋体" w:eastAsia="宋体" w:cs="宋体"/>
                <w:b w:val="0"/>
                <w:bCs w:val="0"/>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w:t>
            </w:r>
          </w:p>
        </w:tc>
        <w:tc>
          <w:tcPr>
            <w:tcW w:w="3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AD373">
            <w:pPr>
              <w:keepNext w:val="0"/>
              <w:keepLines w:val="0"/>
              <w:widowControl/>
              <w:suppressLineNumbers w:val="0"/>
              <w:jc w:val="center"/>
              <w:textAlignment w:val="top"/>
              <w:rPr>
                <w:rFonts w:hint="eastAsia" w:ascii="宋体" w:hAnsi="宋体" w:eastAsia="宋体" w:cs="宋体"/>
                <w:b/>
                <w:bCs/>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干式变压器（箱变)</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FDBE7">
            <w:pPr>
              <w:keepNext w:val="0"/>
              <w:keepLines w:val="0"/>
              <w:widowControl/>
              <w:suppressLineNumbers w:val="0"/>
              <w:jc w:val="center"/>
              <w:textAlignment w:val="top"/>
              <w:rPr>
                <w:rFonts w:hint="eastAsia" w:ascii="宋体" w:hAnsi="宋体" w:eastAsia="宋体" w:cs="宋体"/>
                <w:b/>
                <w:bCs/>
                <w:i w:val="0"/>
                <w:iCs w:val="0"/>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F8FBF">
            <w:pPr>
              <w:keepNext w:val="0"/>
              <w:keepLines w:val="0"/>
              <w:widowControl/>
              <w:suppressLineNumbers w:val="0"/>
              <w:jc w:val="center"/>
              <w:textAlignment w:val="top"/>
              <w:rPr>
                <w:rFonts w:hint="eastAsia" w:ascii="宋体" w:hAnsi="宋体" w:eastAsia="宋体" w:cs="宋体"/>
                <w:b/>
                <w:bCs/>
                <w:i w:val="0"/>
                <w:iCs w:val="0"/>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CC11">
            <w:pPr>
              <w:keepNext w:val="0"/>
              <w:keepLines w:val="0"/>
              <w:widowControl/>
              <w:suppressLineNumbers w:val="0"/>
              <w:jc w:val="center"/>
              <w:textAlignment w:val="top"/>
              <w:rPr>
                <w:rFonts w:hint="eastAsia" w:ascii="宋体" w:hAnsi="宋体" w:eastAsia="宋体" w:cs="宋体"/>
                <w:b/>
                <w:bCs/>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25.26</w:t>
            </w: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FF792">
            <w:pPr>
              <w:keepNext w:val="0"/>
              <w:keepLines w:val="0"/>
              <w:widowControl/>
              <w:suppressLineNumbers w:val="0"/>
              <w:jc w:val="center"/>
              <w:textAlignment w:val="top"/>
              <w:rPr>
                <w:rFonts w:hint="eastAsia" w:ascii="宋体" w:hAnsi="宋体" w:eastAsia="宋体" w:cs="宋体"/>
                <w:b/>
                <w:bCs/>
                <w:i w:val="0"/>
                <w:iCs w:val="0"/>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FFDC5">
            <w:pPr>
              <w:keepNext w:val="0"/>
              <w:keepLines w:val="0"/>
              <w:widowControl/>
              <w:suppressLineNumbers w:val="0"/>
              <w:jc w:val="center"/>
              <w:textAlignment w:val="top"/>
              <w:rPr>
                <w:rFonts w:hint="eastAsia" w:ascii="宋体" w:hAnsi="宋体" w:eastAsia="宋体" w:cs="宋体"/>
                <w:b/>
                <w:bCs/>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25.26</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55650">
            <w:pPr>
              <w:keepNext w:val="0"/>
              <w:keepLines w:val="0"/>
              <w:widowControl/>
              <w:suppressLineNumbers w:val="0"/>
              <w:jc w:val="center"/>
              <w:textAlignment w:val="center"/>
              <w:rPr>
                <w:rFonts w:hint="eastAsia" w:ascii="宋体" w:hAnsi="宋体" w:eastAsia="宋体" w:cs="宋体"/>
                <w:b/>
                <w:bCs/>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E939D">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iCs w:val="0"/>
                <w:snapToGrid w:val="0"/>
                <w:color w:val="000000"/>
                <w:kern w:val="0"/>
                <w:sz w:val="18"/>
                <w:szCs w:val="18"/>
                <w:u w:val="none"/>
                <w:lang w:val="en-US" w:eastAsia="zh-CN" w:bidi="ar"/>
              </w:rPr>
              <w:t>1.00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DF2B3">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iCs w:val="0"/>
                <w:snapToGrid w:val="0"/>
                <w:color w:val="000000"/>
                <w:kern w:val="0"/>
                <w:sz w:val="18"/>
                <w:szCs w:val="18"/>
                <w:u w:val="none"/>
                <w:lang w:val="en-US" w:eastAsia="zh-CN" w:bidi="ar"/>
              </w:rPr>
              <w:t>20.26</w:t>
            </w:r>
          </w:p>
        </w:tc>
      </w:tr>
      <w:tr w14:paraId="6793C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456ED">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1.9</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E47E3">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光伏接入柜</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62B34">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6D0D1">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656F2">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5.13</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07E79">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3256D">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5.13</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81B6F">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FDB99">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iCs w:val="0"/>
                <w:snapToGrid w:val="0"/>
                <w:color w:val="000000"/>
                <w:kern w:val="0"/>
                <w:sz w:val="18"/>
                <w:szCs w:val="18"/>
                <w:u w:val="none"/>
                <w:lang w:val="en-US" w:eastAsia="zh-CN" w:bidi="ar"/>
              </w:rPr>
              <w:t>1.00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89C68">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iCs w:val="0"/>
                <w:snapToGrid w:val="0"/>
                <w:color w:val="000000"/>
                <w:kern w:val="0"/>
                <w:sz w:val="18"/>
                <w:szCs w:val="18"/>
                <w:u w:val="none"/>
                <w:lang w:val="en-US" w:eastAsia="zh-CN" w:bidi="ar"/>
              </w:rPr>
              <w:t>5.13</w:t>
            </w:r>
          </w:p>
        </w:tc>
      </w:tr>
      <w:tr w14:paraId="118F6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4753D">
            <w:pPr>
              <w:keepNext w:val="0"/>
              <w:keepLines w:val="0"/>
              <w:widowControl/>
              <w:suppressLineNumbers w:val="0"/>
              <w:jc w:val="center"/>
              <w:textAlignment w:val="top"/>
              <w:rPr>
                <w:rFonts w:hint="eastAsia" w:ascii="宋体" w:hAnsi="宋体" w:eastAsia="宋体" w:cs="宋体"/>
                <w:b w:val="0"/>
                <w:bCs w:val="0"/>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1.10</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EEC4D">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并网柜</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D7F4F">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0B146">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1E4FD">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FB251">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07EF8">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17975">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4D444">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iCs w:val="0"/>
                <w:snapToGrid w:val="0"/>
                <w:color w:val="000000"/>
                <w:kern w:val="0"/>
                <w:sz w:val="18"/>
                <w:szCs w:val="18"/>
                <w:u w:val="none"/>
                <w:lang w:val="en-US" w:eastAsia="zh-CN" w:bidi="ar"/>
              </w:rPr>
              <w:t>1.00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CC52D">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iCs w:val="0"/>
                <w:snapToGrid w:val="0"/>
                <w:color w:val="000000"/>
                <w:kern w:val="0"/>
                <w:sz w:val="18"/>
                <w:szCs w:val="18"/>
                <w:u w:val="none"/>
                <w:lang w:val="en-US" w:eastAsia="zh-CN" w:bidi="ar"/>
              </w:rPr>
              <w:t>5.00</w:t>
            </w:r>
          </w:p>
        </w:tc>
      </w:tr>
      <w:tr w14:paraId="035A2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B9FE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1.11</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0FE2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站用变电柜</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4074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1C84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1C01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4.71</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7CF0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C292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4.71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EBDEC">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6C4CD">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1.00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562FC">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4.71</w:t>
            </w:r>
          </w:p>
        </w:tc>
      </w:tr>
      <w:tr w14:paraId="6B0AA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1187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1.12</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43F1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10kV动态无功补偿装置</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B4A5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214C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9A87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39.07</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1E7D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D87A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39.07</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A8358">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FC991">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1.00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9F0AA">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35.00</w:t>
            </w:r>
          </w:p>
        </w:tc>
      </w:tr>
      <w:tr w14:paraId="2793A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7007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1.13</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2AF6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高压电缆</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453B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11C4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DEF4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82.51</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7124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C5EE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82.51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79540">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km</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FD091">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2.00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641B8">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41.30</w:t>
            </w:r>
          </w:p>
        </w:tc>
      </w:tr>
      <w:tr w14:paraId="52C68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3515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1.14</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ECFA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土建基础</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EF57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96.75</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8817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2F96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52E4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7CD2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96.75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30D8D">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项</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F6D35">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1.00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0582A">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80.25</w:t>
            </w:r>
          </w:p>
        </w:tc>
      </w:tr>
      <w:tr w14:paraId="241CC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5715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1.15</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B8D8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组件、电气安装、辅材等</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3CAF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490A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160.65</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7678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AAF0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855F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160.65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C592B">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KW</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C0C55">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5950.00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E3076">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0.03</w:t>
            </w:r>
          </w:p>
        </w:tc>
      </w:tr>
      <w:tr w14:paraId="26D79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EE869">
            <w:pPr>
              <w:keepNext w:val="0"/>
              <w:keepLines w:val="0"/>
              <w:widowControl/>
              <w:suppressLineNumbers w:val="0"/>
              <w:jc w:val="center"/>
              <w:textAlignment w:val="top"/>
              <w:rPr>
                <w:rFonts w:hint="eastAsia" w:ascii="宋体" w:hAnsi="宋体" w:eastAsia="宋体" w:cs="宋体"/>
                <w:i w:val="0"/>
                <w:iCs w:val="0"/>
                <w:snapToGrid w:val="0"/>
                <w:color w:val="FF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2</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809FB">
            <w:pPr>
              <w:keepNext w:val="0"/>
              <w:keepLines w:val="0"/>
              <w:widowControl/>
              <w:suppressLineNumbers w:val="0"/>
              <w:jc w:val="center"/>
              <w:textAlignment w:val="top"/>
              <w:rPr>
                <w:rFonts w:hint="eastAsia" w:ascii="宋体" w:hAnsi="宋体" w:eastAsia="宋体" w:cs="宋体"/>
                <w:i w:val="0"/>
                <w:iCs w:val="0"/>
                <w:snapToGrid w:val="0"/>
                <w:color w:val="FF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电池储能</w:t>
            </w:r>
            <w:r>
              <w:rPr>
                <w:rFonts w:hint="eastAsia" w:ascii="宋体" w:hAnsi="宋体" w:eastAsia="宋体" w:cs="宋体"/>
                <w:b/>
                <w:bCs/>
                <w:i w:val="0"/>
                <w:iCs w:val="0"/>
                <w:snapToGrid w:val="0"/>
                <w:color w:val="000000"/>
                <w:kern w:val="0"/>
                <w:sz w:val="18"/>
                <w:szCs w:val="18"/>
                <w:u w:val="none"/>
                <w:lang w:val="en-US" w:eastAsia="zh-CN" w:bidi="ar"/>
              </w:rPr>
              <w:br w:type="textWrapping"/>
            </w:r>
            <w:r>
              <w:rPr>
                <w:rFonts w:hint="eastAsia" w:ascii="宋体" w:hAnsi="宋体" w:eastAsia="宋体" w:cs="宋体"/>
                <w:b/>
                <w:bCs/>
                <w:i w:val="0"/>
                <w:iCs w:val="0"/>
                <w:snapToGrid w:val="0"/>
                <w:color w:val="000000"/>
                <w:kern w:val="0"/>
                <w:sz w:val="18"/>
                <w:szCs w:val="18"/>
                <w:u w:val="none"/>
                <w:lang w:val="en-US" w:eastAsia="zh-CN" w:bidi="ar"/>
              </w:rPr>
              <w:t>集装箱</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05ED1">
            <w:pPr>
              <w:jc w:val="center"/>
              <w:rPr>
                <w:rFonts w:hint="eastAsia" w:ascii="宋体" w:hAnsi="宋体" w:eastAsia="宋体" w:cs="宋体"/>
                <w:i w:val="0"/>
                <w:iCs w:val="0"/>
                <w:snapToGrid w:val="0"/>
                <w:color w:val="FF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B9D9B">
            <w:pPr>
              <w:keepNext w:val="0"/>
              <w:keepLines w:val="0"/>
              <w:widowControl/>
              <w:suppressLineNumbers w:val="0"/>
              <w:jc w:val="center"/>
              <w:textAlignment w:val="top"/>
              <w:rPr>
                <w:rFonts w:hint="eastAsia" w:ascii="宋体" w:hAnsi="宋体" w:eastAsia="宋体" w:cs="宋体"/>
                <w:i w:val="0"/>
                <w:iCs w:val="0"/>
                <w:snapToGrid w:val="0"/>
                <w:color w:val="FF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130.00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722EB">
            <w:pPr>
              <w:keepNext w:val="0"/>
              <w:keepLines w:val="0"/>
              <w:widowControl/>
              <w:suppressLineNumbers w:val="0"/>
              <w:jc w:val="center"/>
              <w:textAlignment w:val="top"/>
              <w:rPr>
                <w:rFonts w:hint="eastAsia" w:ascii="宋体" w:hAnsi="宋体" w:eastAsia="宋体" w:cs="宋体"/>
                <w:i w:val="0"/>
                <w:iCs w:val="0"/>
                <w:snapToGrid w:val="0"/>
                <w:color w:val="FF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4969.70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18EC7">
            <w:pPr>
              <w:jc w:val="center"/>
              <w:rPr>
                <w:rFonts w:hint="eastAsia" w:ascii="宋体" w:hAnsi="宋体" w:eastAsia="宋体" w:cs="宋体"/>
                <w:i w:val="0"/>
                <w:iCs w:val="0"/>
                <w:snapToGrid w:val="0"/>
                <w:color w:val="FF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99661">
            <w:pPr>
              <w:keepNext w:val="0"/>
              <w:keepLines w:val="0"/>
              <w:widowControl/>
              <w:suppressLineNumbers w:val="0"/>
              <w:jc w:val="center"/>
              <w:textAlignment w:val="top"/>
              <w:rPr>
                <w:rFonts w:hint="eastAsia" w:ascii="宋体" w:hAnsi="宋体" w:eastAsia="宋体" w:cs="宋体"/>
                <w:i w:val="0"/>
                <w:iCs w:val="0"/>
                <w:snapToGrid w:val="0"/>
                <w:color w:val="FF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5099.70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5E2F8">
            <w:pPr>
              <w:keepNext w:val="0"/>
              <w:keepLines w:val="0"/>
              <w:widowControl/>
              <w:suppressLineNumbers w:val="0"/>
              <w:jc w:val="center"/>
              <w:textAlignment w:val="center"/>
              <w:rPr>
                <w:rFonts w:hint="eastAsia" w:ascii="宋体" w:hAnsi="宋体" w:eastAsia="宋体" w:cs="宋体"/>
                <w:i w:val="0"/>
                <w:iCs w:val="0"/>
                <w:snapToGrid w:val="0"/>
                <w:color w:val="FF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KWH</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A4E35">
            <w:pPr>
              <w:keepNext w:val="0"/>
              <w:keepLines w:val="0"/>
              <w:widowControl/>
              <w:suppressLineNumbers w:val="0"/>
              <w:jc w:val="center"/>
              <w:textAlignment w:val="center"/>
              <w:rPr>
                <w:rFonts w:hint="eastAsia" w:ascii="宋体" w:hAnsi="宋体" w:eastAsia="宋体" w:cs="宋体"/>
                <w:i w:val="0"/>
                <w:iCs w:val="0"/>
                <w:snapToGrid w:val="0"/>
                <w:color w:val="FF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40000.00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43C89">
            <w:pPr>
              <w:keepNext w:val="0"/>
              <w:keepLines w:val="0"/>
              <w:widowControl/>
              <w:suppressLineNumbers w:val="0"/>
              <w:jc w:val="center"/>
              <w:textAlignment w:val="center"/>
              <w:rPr>
                <w:rFonts w:hint="eastAsia" w:ascii="宋体" w:hAnsi="宋体" w:eastAsia="宋体" w:cs="宋体"/>
                <w:i w:val="0"/>
                <w:iCs w:val="0"/>
                <w:snapToGrid w:val="0"/>
                <w:color w:val="FF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0.13</w:t>
            </w:r>
          </w:p>
        </w:tc>
      </w:tr>
      <w:tr w14:paraId="1BEC6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2D8F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2.1</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647C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电池系统 5000KWH</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E4DC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6DF5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B4DD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3200.50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C518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ACF6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3200.50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702FE">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个</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0D28F">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7.40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78E78">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432.50</w:t>
            </w:r>
          </w:p>
        </w:tc>
      </w:tr>
      <w:tr w14:paraId="29BF4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7064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2.2</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FD95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储能变流器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FDA5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14A9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A666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370.00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681A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C181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370.00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50306">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个</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198B0">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7.40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EB559">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50.00</w:t>
            </w:r>
          </w:p>
        </w:tc>
      </w:tr>
      <w:tr w14:paraId="2033D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9C18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2.3</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23B1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集装箱柜体</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37FA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F6B0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3F50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111.00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DA1B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76E3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111.00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7096B">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个</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D86F4">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7.40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A4991">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15.00</w:t>
            </w:r>
          </w:p>
        </w:tc>
      </w:tr>
      <w:tr w14:paraId="3660A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6A2D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2.4</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2E0D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温控系统</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A07F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164B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3812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148.00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FE3F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CFAF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148.00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83506">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个</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3A66A">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7.40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056DC">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20.00</w:t>
            </w:r>
          </w:p>
        </w:tc>
      </w:tr>
      <w:tr w14:paraId="5D1B1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BF0B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2.5</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30B2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消防系统</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2113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61CA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0505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111.00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B7D8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483E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111.00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A5FD5">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个</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D405C">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7.40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A36DD">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15.00</w:t>
            </w:r>
          </w:p>
        </w:tc>
      </w:tr>
      <w:tr w14:paraId="6FD21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CA2F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2.6</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E054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储能EMS</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46B6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ABAB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DC68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370.00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8E57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8676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370.00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482D5">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个</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30D44">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7.40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BCEF5">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50.00</w:t>
            </w:r>
          </w:p>
        </w:tc>
      </w:tr>
      <w:tr w14:paraId="2996D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2904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2.7</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22CE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附件</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AC05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9751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F76F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59.20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B7B5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00E8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59.20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7E2CE">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个</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38D81">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7.40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A3DAF">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8.00</w:t>
            </w:r>
          </w:p>
        </w:tc>
      </w:tr>
      <w:tr w14:paraId="61190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2712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2.8</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F156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储能箱基础及连接电缆</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5DCA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6673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130.00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A3BA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83A6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4C1F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130.00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03BA5">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个</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EE4D9">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7.40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C097A">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25.00</w:t>
            </w:r>
          </w:p>
        </w:tc>
      </w:tr>
      <w:tr w14:paraId="6BB85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CB42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2.9</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FB1D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15KWH换电系统(3000KWH)</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DC457">
            <w:pPr>
              <w:jc w:val="center"/>
              <w:rPr>
                <w:rFonts w:hint="eastAsia" w:ascii="宋体" w:hAnsi="宋体" w:eastAsia="宋体" w:cs="宋体"/>
                <w:i w:val="0"/>
                <w:iCs w:val="0"/>
                <w:snapToGrid w:val="0"/>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C7E88">
            <w:pPr>
              <w:jc w:val="center"/>
              <w:rPr>
                <w:rFonts w:hint="eastAsia" w:ascii="宋体" w:hAnsi="宋体" w:eastAsia="宋体" w:cs="宋体"/>
                <w:i w:val="0"/>
                <w:iCs w:val="0"/>
                <w:snapToGrid w:val="0"/>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EC15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600.00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8B5AC">
            <w:pPr>
              <w:jc w:val="center"/>
              <w:rPr>
                <w:rFonts w:hint="eastAsia" w:ascii="宋体" w:hAnsi="宋体" w:eastAsia="宋体" w:cs="宋体"/>
                <w:i w:val="0"/>
                <w:iCs w:val="0"/>
                <w:snapToGrid w:val="0"/>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9FA3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600.00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47BA9">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个</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51C33">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200.00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6BE10">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3.00</w:t>
            </w:r>
          </w:p>
        </w:tc>
      </w:tr>
      <w:tr w14:paraId="7AB4F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2EF4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3</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9D46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园区配套工程</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A183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66.58</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2CB4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71.61</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E86B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956.03</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E7B6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079B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1094.22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C3691">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6885E">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5551.30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63F04">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0.23</w:t>
            </w:r>
          </w:p>
        </w:tc>
      </w:tr>
      <w:tr w14:paraId="2FFFF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7A9F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3.1</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CA01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升压/降压变压器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40D96">
            <w:pPr>
              <w:jc w:val="center"/>
              <w:rPr>
                <w:rFonts w:hint="eastAsia" w:ascii="宋体" w:hAnsi="宋体" w:eastAsia="宋体" w:cs="宋体"/>
                <w:i w:val="0"/>
                <w:iCs w:val="0"/>
                <w:snapToGrid w:val="0"/>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B56E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12.00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45ED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68.00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0B9F9">
            <w:pPr>
              <w:jc w:val="center"/>
              <w:rPr>
                <w:rFonts w:hint="eastAsia" w:ascii="宋体" w:hAnsi="宋体" w:eastAsia="宋体" w:cs="宋体"/>
                <w:i w:val="0"/>
                <w:iCs w:val="0"/>
                <w:snapToGrid w:val="0"/>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7EA4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80.00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B95DE">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21098">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2.00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012D3">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40.00</w:t>
            </w:r>
          </w:p>
        </w:tc>
      </w:tr>
      <w:tr w14:paraId="47635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F4E3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3.2</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37EA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中压输电电缆</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63A9F">
            <w:pPr>
              <w:jc w:val="center"/>
              <w:rPr>
                <w:rFonts w:hint="eastAsia" w:ascii="宋体" w:hAnsi="宋体" w:eastAsia="宋体" w:cs="宋体"/>
                <w:i w:val="0"/>
                <w:iCs w:val="0"/>
                <w:snapToGrid w:val="0"/>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3C24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22.50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DEA3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127.50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2D279">
            <w:pPr>
              <w:jc w:val="center"/>
              <w:rPr>
                <w:rFonts w:hint="eastAsia" w:ascii="宋体" w:hAnsi="宋体" w:eastAsia="宋体" w:cs="宋体"/>
                <w:i w:val="0"/>
                <w:iCs w:val="0"/>
                <w:snapToGrid w:val="0"/>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F5CE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150.00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3CBD0">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m</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70C0E">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3000.00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74459">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0.05</w:t>
            </w:r>
          </w:p>
        </w:tc>
      </w:tr>
      <w:tr w14:paraId="03091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46B8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3.3</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3C4B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绿化等相关配套工程</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5C05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41.84</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F5CA1">
            <w:pPr>
              <w:jc w:val="center"/>
              <w:rPr>
                <w:rFonts w:hint="eastAsia" w:ascii="宋体" w:hAnsi="宋体" w:eastAsia="宋体" w:cs="宋体"/>
                <w:i w:val="0"/>
                <w:iCs w:val="0"/>
                <w:snapToGrid w:val="0"/>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F5524">
            <w:pPr>
              <w:jc w:val="center"/>
              <w:rPr>
                <w:rFonts w:hint="eastAsia" w:ascii="宋体" w:hAnsi="宋体" w:eastAsia="宋体" w:cs="宋体"/>
                <w:i w:val="0"/>
                <w:iCs w:val="0"/>
                <w:snapToGrid w:val="0"/>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70DFA">
            <w:pPr>
              <w:jc w:val="center"/>
              <w:rPr>
                <w:rFonts w:hint="eastAsia" w:ascii="宋体" w:hAnsi="宋体" w:eastAsia="宋体" w:cs="宋体"/>
                <w:i w:val="0"/>
                <w:iCs w:val="0"/>
                <w:snapToGrid w:val="0"/>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2B2B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41.84</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F9D2A">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3F108">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132.00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1DDEE">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0.32</w:t>
            </w:r>
          </w:p>
        </w:tc>
      </w:tr>
      <w:tr w14:paraId="52843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0E70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3.4</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F35B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10kv储能变电站</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7DC5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24.74</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4DAE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37.11</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3B56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185.53</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B8871">
            <w:pPr>
              <w:jc w:val="center"/>
              <w:rPr>
                <w:rFonts w:hint="eastAsia" w:ascii="宋体" w:hAnsi="宋体" w:eastAsia="宋体" w:cs="宋体"/>
                <w:i w:val="0"/>
                <w:iCs w:val="0"/>
                <w:snapToGrid w:val="0"/>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615B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247.38</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01E54">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E2BE5">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179.00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7638F">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1.38</w:t>
            </w:r>
          </w:p>
        </w:tc>
      </w:tr>
      <w:tr w14:paraId="65B66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8D028">
            <w:pPr>
              <w:keepNext w:val="0"/>
              <w:keepLines w:val="0"/>
              <w:widowControl/>
              <w:suppressLineNumbers w:val="0"/>
              <w:jc w:val="center"/>
              <w:textAlignment w:val="top"/>
              <w:rPr>
                <w:rFonts w:hint="eastAsia" w:ascii="宋体" w:hAnsi="宋体" w:eastAsia="宋体" w:cs="宋体"/>
                <w:i w:val="0"/>
                <w:iCs w:val="0"/>
                <w:snapToGrid w:val="0"/>
                <w:color w:val="FF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3.5</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7FCCC">
            <w:pPr>
              <w:keepNext w:val="0"/>
              <w:keepLines w:val="0"/>
              <w:widowControl/>
              <w:suppressLineNumbers w:val="0"/>
              <w:jc w:val="center"/>
              <w:textAlignment w:val="top"/>
              <w:rPr>
                <w:rFonts w:hint="eastAsia" w:ascii="宋体" w:hAnsi="宋体" w:eastAsia="宋体" w:cs="宋体"/>
                <w:i w:val="0"/>
                <w:iCs w:val="0"/>
                <w:snapToGrid w:val="0"/>
                <w:color w:val="FF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中心配电室变压器2000KVA</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B29E8">
            <w:pPr>
              <w:keepNext w:val="0"/>
              <w:keepLines w:val="0"/>
              <w:widowControl/>
              <w:suppressLineNumbers w:val="0"/>
              <w:jc w:val="center"/>
              <w:textAlignment w:val="top"/>
              <w:rPr>
                <w:rFonts w:hint="eastAsia" w:ascii="宋体" w:hAnsi="宋体" w:eastAsia="宋体" w:cs="宋体"/>
                <w:i w:val="0"/>
                <w:iCs w:val="0"/>
                <w:snapToGrid w:val="0"/>
                <w:color w:val="FF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CED79">
            <w:pPr>
              <w:keepNext w:val="0"/>
              <w:keepLines w:val="0"/>
              <w:widowControl/>
              <w:suppressLineNumbers w:val="0"/>
              <w:jc w:val="center"/>
              <w:textAlignment w:val="top"/>
              <w:rPr>
                <w:rFonts w:hint="eastAsia" w:ascii="宋体" w:hAnsi="宋体" w:eastAsia="宋体" w:cs="宋体"/>
                <w:i w:val="0"/>
                <w:iCs w:val="0"/>
                <w:snapToGrid w:val="0"/>
                <w:color w:val="FF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712ED">
            <w:pPr>
              <w:keepNext w:val="0"/>
              <w:keepLines w:val="0"/>
              <w:widowControl/>
              <w:suppressLineNumbers w:val="0"/>
              <w:jc w:val="center"/>
              <w:textAlignment w:val="top"/>
              <w:rPr>
                <w:rFonts w:hint="eastAsia" w:ascii="宋体" w:hAnsi="宋体" w:eastAsia="宋体" w:cs="宋体"/>
                <w:i w:val="0"/>
                <w:iCs w:val="0"/>
                <w:snapToGrid w:val="0"/>
                <w:color w:val="FF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25.00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E3F43">
            <w:pPr>
              <w:keepNext w:val="0"/>
              <w:keepLines w:val="0"/>
              <w:widowControl/>
              <w:suppressLineNumbers w:val="0"/>
              <w:jc w:val="center"/>
              <w:textAlignment w:val="top"/>
              <w:rPr>
                <w:rFonts w:hint="eastAsia" w:ascii="宋体" w:hAnsi="宋体" w:eastAsia="宋体" w:cs="宋体"/>
                <w:i w:val="0"/>
                <w:iCs w:val="0"/>
                <w:snapToGrid w:val="0"/>
                <w:color w:val="FF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B8608">
            <w:pPr>
              <w:keepNext w:val="0"/>
              <w:keepLines w:val="0"/>
              <w:widowControl/>
              <w:suppressLineNumbers w:val="0"/>
              <w:jc w:val="center"/>
              <w:textAlignment w:val="top"/>
              <w:rPr>
                <w:rFonts w:hint="eastAsia" w:ascii="宋体" w:hAnsi="宋体" w:eastAsia="宋体" w:cs="宋体"/>
                <w:i w:val="0"/>
                <w:iCs w:val="0"/>
                <w:snapToGrid w:val="0"/>
                <w:color w:val="FF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25.00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7E223">
            <w:pPr>
              <w:keepNext w:val="0"/>
              <w:keepLines w:val="0"/>
              <w:widowControl/>
              <w:suppressLineNumbers w:val="0"/>
              <w:jc w:val="center"/>
              <w:textAlignment w:val="center"/>
              <w:rPr>
                <w:rFonts w:hint="eastAsia" w:ascii="宋体" w:hAnsi="宋体" w:eastAsia="宋体" w:cs="宋体"/>
                <w:i w:val="0"/>
                <w:iCs w:val="0"/>
                <w:snapToGrid w:val="0"/>
                <w:color w:val="FF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A0455">
            <w:pPr>
              <w:keepNext w:val="0"/>
              <w:keepLines w:val="0"/>
              <w:widowControl/>
              <w:suppressLineNumbers w:val="0"/>
              <w:jc w:val="center"/>
              <w:textAlignment w:val="center"/>
              <w:rPr>
                <w:rFonts w:hint="eastAsia" w:ascii="宋体" w:hAnsi="宋体" w:eastAsia="宋体" w:cs="宋体"/>
                <w:color w:val="FF0000"/>
                <w:sz w:val="18"/>
                <w:szCs w:val="18"/>
              </w:rPr>
            </w:pPr>
            <w:r>
              <w:rPr>
                <w:rFonts w:hint="eastAsia" w:ascii="宋体" w:hAnsi="宋体" w:eastAsia="宋体" w:cs="宋体"/>
                <w:i w:val="0"/>
                <w:iCs w:val="0"/>
                <w:snapToGrid w:val="0"/>
                <w:color w:val="000000"/>
                <w:kern w:val="0"/>
                <w:sz w:val="18"/>
                <w:szCs w:val="18"/>
                <w:u w:val="none"/>
                <w:lang w:val="en-US" w:eastAsia="zh-CN" w:bidi="ar"/>
              </w:rPr>
              <w:t>1.00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DCACB">
            <w:pPr>
              <w:keepNext w:val="0"/>
              <w:keepLines w:val="0"/>
              <w:widowControl/>
              <w:suppressLineNumbers w:val="0"/>
              <w:jc w:val="center"/>
              <w:textAlignment w:val="center"/>
              <w:rPr>
                <w:rFonts w:hint="eastAsia" w:ascii="宋体" w:hAnsi="宋体" w:eastAsia="宋体" w:cs="宋体"/>
                <w:color w:val="FF0000"/>
                <w:sz w:val="18"/>
                <w:szCs w:val="18"/>
              </w:rPr>
            </w:pPr>
            <w:r>
              <w:rPr>
                <w:rFonts w:hint="eastAsia" w:ascii="宋体" w:hAnsi="宋体" w:eastAsia="宋体" w:cs="宋体"/>
                <w:i w:val="0"/>
                <w:iCs w:val="0"/>
                <w:snapToGrid w:val="0"/>
                <w:color w:val="000000"/>
                <w:kern w:val="0"/>
                <w:sz w:val="18"/>
                <w:szCs w:val="18"/>
                <w:u w:val="none"/>
                <w:lang w:val="en-US" w:eastAsia="zh-CN" w:bidi="ar"/>
              </w:rPr>
              <w:t>25.00</w:t>
            </w:r>
          </w:p>
        </w:tc>
      </w:tr>
      <w:tr w14:paraId="5B68F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CAEF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3.6</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4BE8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光伏充电桩（600kw液冷）</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C2AD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1EE9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9571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550.00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33D5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7D86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550.00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A2D79">
            <w:pPr>
              <w:keepNext w:val="0"/>
              <w:keepLines w:val="0"/>
              <w:widowControl/>
              <w:suppressLineNumbers w:val="0"/>
              <w:jc w:val="center"/>
              <w:textAlignment w:val="center"/>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个</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13E78">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iCs w:val="0"/>
                <w:snapToGrid w:val="0"/>
                <w:color w:val="000000"/>
                <w:kern w:val="0"/>
                <w:sz w:val="18"/>
                <w:szCs w:val="18"/>
                <w:u w:val="none"/>
                <w:lang w:val="en-US" w:eastAsia="zh-CN" w:bidi="ar"/>
              </w:rPr>
              <w:t>5.00</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A5D45">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iCs w:val="0"/>
                <w:snapToGrid w:val="0"/>
                <w:color w:val="000000"/>
                <w:kern w:val="0"/>
                <w:sz w:val="18"/>
                <w:szCs w:val="18"/>
                <w:u w:val="none"/>
                <w:lang w:val="en-US" w:eastAsia="zh-CN" w:bidi="ar"/>
              </w:rPr>
              <w:t>110.00</w:t>
            </w:r>
          </w:p>
        </w:tc>
      </w:tr>
      <w:tr w14:paraId="778F9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6480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二</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421E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工程建设其他费用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3BA74">
            <w:pPr>
              <w:jc w:val="center"/>
              <w:rPr>
                <w:rFonts w:hint="eastAsia" w:ascii="宋体" w:hAnsi="宋体" w:eastAsia="宋体" w:cs="宋体"/>
                <w:i w:val="0"/>
                <w:iCs w:val="0"/>
                <w:snapToGrid w:val="0"/>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D69F8">
            <w:pPr>
              <w:jc w:val="center"/>
              <w:rPr>
                <w:rFonts w:hint="eastAsia" w:ascii="宋体" w:hAnsi="宋体" w:eastAsia="宋体" w:cs="宋体"/>
                <w:i w:val="0"/>
                <w:iCs w:val="0"/>
                <w:snapToGrid w:val="0"/>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DC0CF">
            <w:pPr>
              <w:jc w:val="center"/>
              <w:rPr>
                <w:rFonts w:hint="eastAsia" w:ascii="宋体" w:hAnsi="宋体" w:eastAsia="宋体" w:cs="宋体"/>
                <w:i w:val="0"/>
                <w:iCs w:val="0"/>
                <w:snapToGrid w:val="0"/>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80F8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372.52</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2BB7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372.52</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F7486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4.25%</w:t>
            </w:r>
          </w:p>
        </w:tc>
      </w:tr>
      <w:tr w14:paraId="6E329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0B28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E069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建设管理费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EC04E">
            <w:pPr>
              <w:jc w:val="center"/>
              <w:rPr>
                <w:rFonts w:hint="eastAsia" w:ascii="宋体" w:hAnsi="宋体" w:eastAsia="宋体" w:cs="宋体"/>
                <w:i w:val="0"/>
                <w:iCs w:val="0"/>
                <w:snapToGrid w:val="0"/>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5293C">
            <w:pPr>
              <w:jc w:val="center"/>
              <w:rPr>
                <w:rFonts w:hint="eastAsia" w:ascii="宋体" w:hAnsi="宋体" w:eastAsia="宋体" w:cs="宋体"/>
                <w:i w:val="0"/>
                <w:iCs w:val="0"/>
                <w:snapToGrid w:val="0"/>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13D57">
            <w:pPr>
              <w:jc w:val="center"/>
              <w:rPr>
                <w:rFonts w:hint="eastAsia" w:ascii="宋体" w:hAnsi="宋体" w:eastAsia="宋体" w:cs="宋体"/>
                <w:i w:val="0"/>
                <w:iCs w:val="0"/>
                <w:snapToGrid w:val="0"/>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4F9D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39.51</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2C62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39.51</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A17CB8">
            <w:pPr>
              <w:jc w:val="center"/>
              <w:rPr>
                <w:rFonts w:hint="eastAsia" w:ascii="宋体" w:hAnsi="宋体" w:eastAsia="宋体" w:cs="宋体"/>
                <w:i w:val="0"/>
                <w:iCs w:val="0"/>
                <w:snapToGrid w:val="0"/>
                <w:color w:val="000000"/>
                <w:kern w:val="0"/>
                <w:sz w:val="18"/>
                <w:szCs w:val="18"/>
                <w:u w:val="none"/>
                <w:lang w:val="en-US" w:eastAsia="zh-CN" w:bidi="ar"/>
              </w:rPr>
            </w:pPr>
          </w:p>
        </w:tc>
      </w:tr>
      <w:tr w14:paraId="320D8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1B3D4">
            <w:pPr>
              <w:keepNext w:val="0"/>
              <w:keepLines w:val="0"/>
              <w:widowControl/>
              <w:suppressLineNumbers w:val="0"/>
              <w:jc w:val="center"/>
              <w:textAlignment w:val="top"/>
              <w:rPr>
                <w:rFonts w:hint="eastAsia" w:ascii="宋体" w:hAnsi="宋体" w:eastAsia="宋体" w:cs="宋体"/>
                <w:b w:val="0"/>
                <w:bCs w:val="0"/>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FE64A">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建设工程监理费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7B52B">
            <w:pPr>
              <w:jc w:val="center"/>
              <w:rPr>
                <w:rFonts w:hint="eastAsia" w:ascii="宋体" w:hAnsi="宋体" w:eastAsia="宋体" w:cs="宋体"/>
                <w:i w:val="0"/>
                <w:iCs w:val="0"/>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41DBF">
            <w:pPr>
              <w:jc w:val="center"/>
              <w:rPr>
                <w:rFonts w:hint="eastAsia" w:ascii="宋体" w:hAnsi="宋体" w:eastAsia="宋体" w:cs="宋体"/>
                <w:i w:val="0"/>
                <w:iCs w:val="0"/>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BCA3F">
            <w:pPr>
              <w:jc w:val="center"/>
              <w:rPr>
                <w:rFonts w:hint="eastAsia" w:ascii="宋体" w:hAnsi="宋体" w:eastAsia="宋体" w:cs="宋体"/>
                <w:i w:val="0"/>
                <w:iCs w:val="0"/>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40026">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47.42</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426A8">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47.42</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857FE6">
            <w:pPr>
              <w:jc w:val="center"/>
              <w:rPr>
                <w:rFonts w:hint="eastAsia" w:ascii="宋体" w:hAnsi="宋体" w:eastAsia="宋体" w:cs="宋体"/>
                <w:sz w:val="18"/>
                <w:szCs w:val="18"/>
              </w:rPr>
            </w:pPr>
          </w:p>
        </w:tc>
      </w:tr>
      <w:tr w14:paraId="291B3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6991D">
            <w:pPr>
              <w:keepNext w:val="0"/>
              <w:keepLines w:val="0"/>
              <w:widowControl/>
              <w:suppressLineNumbers w:val="0"/>
              <w:jc w:val="center"/>
              <w:textAlignment w:val="top"/>
              <w:rPr>
                <w:rFonts w:hint="eastAsia" w:ascii="宋体" w:hAnsi="宋体" w:eastAsia="宋体" w:cs="宋体"/>
                <w:b w:val="0"/>
                <w:bCs w:val="0"/>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0C36C">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建设项目前期工作咨询费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37A27">
            <w:pPr>
              <w:jc w:val="center"/>
              <w:rPr>
                <w:rFonts w:hint="eastAsia" w:ascii="宋体" w:hAnsi="宋体" w:eastAsia="宋体" w:cs="宋体"/>
                <w:i w:val="0"/>
                <w:iCs w:val="0"/>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A6BBF">
            <w:pPr>
              <w:jc w:val="center"/>
              <w:rPr>
                <w:rFonts w:hint="eastAsia" w:ascii="宋体" w:hAnsi="宋体" w:eastAsia="宋体" w:cs="宋体"/>
                <w:i w:val="0"/>
                <w:iCs w:val="0"/>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496AC">
            <w:pPr>
              <w:jc w:val="center"/>
              <w:rPr>
                <w:rFonts w:hint="eastAsia" w:ascii="宋体" w:hAnsi="宋体" w:eastAsia="宋体" w:cs="宋体"/>
                <w:i w:val="0"/>
                <w:iCs w:val="0"/>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F45CB">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39.51</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B333F">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39.51</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CB0E0B">
            <w:pPr>
              <w:jc w:val="center"/>
              <w:rPr>
                <w:rFonts w:hint="eastAsia" w:ascii="宋体" w:hAnsi="宋体" w:eastAsia="宋体" w:cs="宋体"/>
                <w:sz w:val="18"/>
                <w:szCs w:val="18"/>
              </w:rPr>
            </w:pPr>
          </w:p>
        </w:tc>
      </w:tr>
      <w:tr w14:paraId="32726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84384">
            <w:pPr>
              <w:keepNext w:val="0"/>
              <w:keepLines w:val="0"/>
              <w:widowControl/>
              <w:suppressLineNumbers w:val="0"/>
              <w:jc w:val="center"/>
              <w:textAlignment w:val="top"/>
              <w:rPr>
                <w:rFonts w:hint="eastAsia" w:ascii="宋体" w:hAnsi="宋体" w:eastAsia="宋体" w:cs="宋体"/>
                <w:b w:val="0"/>
                <w:bCs w:val="0"/>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17B7E">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工程勘察费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B7D9A">
            <w:pPr>
              <w:jc w:val="center"/>
              <w:rPr>
                <w:rFonts w:hint="eastAsia" w:ascii="宋体" w:hAnsi="宋体" w:eastAsia="宋体" w:cs="宋体"/>
                <w:i w:val="0"/>
                <w:iCs w:val="0"/>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7EB75">
            <w:pPr>
              <w:jc w:val="center"/>
              <w:rPr>
                <w:rFonts w:hint="eastAsia" w:ascii="宋体" w:hAnsi="宋体" w:eastAsia="宋体" w:cs="宋体"/>
                <w:i w:val="0"/>
                <w:iCs w:val="0"/>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01CED">
            <w:pPr>
              <w:jc w:val="center"/>
              <w:rPr>
                <w:rFonts w:hint="eastAsia" w:ascii="宋体" w:hAnsi="宋体" w:eastAsia="宋体" w:cs="宋体"/>
                <w:i w:val="0"/>
                <w:iCs w:val="0"/>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69871">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26.17</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8B4D6">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26.17</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2B6FFA">
            <w:pPr>
              <w:jc w:val="center"/>
              <w:rPr>
                <w:rFonts w:hint="eastAsia" w:ascii="宋体" w:hAnsi="宋体" w:eastAsia="宋体" w:cs="宋体"/>
                <w:sz w:val="18"/>
                <w:szCs w:val="18"/>
              </w:rPr>
            </w:pPr>
          </w:p>
        </w:tc>
      </w:tr>
      <w:tr w14:paraId="55A3F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D94ED">
            <w:pPr>
              <w:keepNext w:val="0"/>
              <w:keepLines w:val="0"/>
              <w:widowControl/>
              <w:suppressLineNumbers w:val="0"/>
              <w:jc w:val="center"/>
              <w:textAlignment w:val="top"/>
              <w:rPr>
                <w:rFonts w:hint="eastAsia" w:ascii="宋体" w:hAnsi="宋体" w:eastAsia="宋体" w:cs="宋体"/>
                <w:b w:val="0"/>
                <w:bCs w:val="0"/>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8A998">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屋顶荷载检测费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C18B1">
            <w:pPr>
              <w:jc w:val="center"/>
              <w:rPr>
                <w:rFonts w:hint="eastAsia" w:ascii="宋体" w:hAnsi="宋体" w:eastAsia="宋体" w:cs="宋体"/>
                <w:i w:val="0"/>
                <w:iCs w:val="0"/>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1E669">
            <w:pPr>
              <w:jc w:val="center"/>
              <w:rPr>
                <w:rFonts w:hint="eastAsia" w:ascii="宋体" w:hAnsi="宋体" w:eastAsia="宋体" w:cs="宋体"/>
                <w:i w:val="0"/>
                <w:iCs w:val="0"/>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FEBFC">
            <w:pPr>
              <w:jc w:val="center"/>
              <w:rPr>
                <w:rFonts w:hint="eastAsia" w:ascii="宋体" w:hAnsi="宋体" w:eastAsia="宋体" w:cs="宋体"/>
                <w:i w:val="0"/>
                <w:iCs w:val="0"/>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6E4D7">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15.64</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FF889">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15.64</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CDCD9">
            <w:pPr>
              <w:jc w:val="center"/>
              <w:rPr>
                <w:rFonts w:hint="eastAsia" w:ascii="宋体" w:hAnsi="宋体" w:eastAsia="宋体" w:cs="宋体"/>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E4EB4">
            <w:pPr>
              <w:jc w:val="center"/>
              <w:rPr>
                <w:rFonts w:hint="eastAsia" w:ascii="宋体" w:hAnsi="宋体" w:eastAsia="宋体" w:cs="宋体"/>
                <w:sz w:val="18"/>
                <w:szCs w:val="18"/>
              </w:rPr>
            </w:pP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478FD">
            <w:pPr>
              <w:jc w:val="center"/>
              <w:rPr>
                <w:rFonts w:hint="eastAsia" w:ascii="宋体" w:hAnsi="宋体" w:eastAsia="宋体" w:cs="宋体"/>
                <w:sz w:val="18"/>
                <w:szCs w:val="18"/>
              </w:rPr>
            </w:pPr>
          </w:p>
        </w:tc>
      </w:tr>
      <w:tr w14:paraId="57E2E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FB129">
            <w:pPr>
              <w:keepNext w:val="0"/>
              <w:keepLines w:val="0"/>
              <w:widowControl/>
              <w:suppressLineNumbers w:val="0"/>
              <w:jc w:val="center"/>
              <w:textAlignment w:val="top"/>
              <w:rPr>
                <w:rFonts w:hint="eastAsia" w:ascii="宋体" w:hAnsi="宋体" w:eastAsia="宋体" w:cs="宋体"/>
                <w:b/>
                <w:bCs/>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w:t>
            </w:r>
          </w:p>
        </w:tc>
        <w:tc>
          <w:tcPr>
            <w:tcW w:w="3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2CF81">
            <w:pPr>
              <w:keepNext w:val="0"/>
              <w:keepLines w:val="0"/>
              <w:widowControl/>
              <w:suppressLineNumbers w:val="0"/>
              <w:jc w:val="center"/>
              <w:textAlignment w:val="top"/>
              <w:rPr>
                <w:rFonts w:hint="eastAsia" w:ascii="宋体" w:hAnsi="宋体" w:eastAsia="宋体" w:cs="宋体"/>
                <w:b/>
                <w:bCs/>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工程设计费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C0EF0">
            <w:pPr>
              <w:jc w:val="center"/>
              <w:rPr>
                <w:rFonts w:hint="eastAsia" w:ascii="宋体" w:hAnsi="宋体" w:eastAsia="宋体" w:cs="宋体"/>
                <w:b/>
                <w:bCs/>
                <w:i w:val="0"/>
                <w:iCs w:val="0"/>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C97D7">
            <w:pPr>
              <w:jc w:val="center"/>
              <w:rPr>
                <w:rFonts w:hint="eastAsia" w:ascii="宋体" w:hAnsi="宋体" w:eastAsia="宋体" w:cs="宋体"/>
                <w:b/>
                <w:bCs/>
                <w:i w:val="0"/>
                <w:iCs w:val="0"/>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FA930">
            <w:pPr>
              <w:jc w:val="center"/>
              <w:rPr>
                <w:rFonts w:hint="eastAsia" w:ascii="宋体" w:hAnsi="宋体" w:eastAsia="宋体" w:cs="宋体"/>
                <w:b/>
                <w:bCs/>
                <w:i w:val="0"/>
                <w:iCs w:val="0"/>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B7315">
            <w:pPr>
              <w:keepNext w:val="0"/>
              <w:keepLines w:val="0"/>
              <w:widowControl/>
              <w:suppressLineNumbers w:val="0"/>
              <w:jc w:val="center"/>
              <w:textAlignment w:val="top"/>
              <w:rPr>
                <w:rFonts w:hint="eastAsia" w:ascii="宋体" w:hAnsi="宋体" w:eastAsia="宋体" w:cs="宋体"/>
                <w:b/>
                <w:bCs/>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79.03</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93B54">
            <w:pPr>
              <w:keepNext w:val="0"/>
              <w:keepLines w:val="0"/>
              <w:widowControl/>
              <w:suppressLineNumbers w:val="0"/>
              <w:jc w:val="center"/>
              <w:textAlignment w:val="top"/>
              <w:rPr>
                <w:rFonts w:hint="eastAsia" w:ascii="宋体" w:hAnsi="宋体" w:eastAsia="宋体" w:cs="宋体"/>
                <w:b/>
                <w:bCs/>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79.03</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9FBB68">
            <w:pPr>
              <w:jc w:val="center"/>
              <w:rPr>
                <w:rFonts w:hint="eastAsia" w:ascii="宋体" w:hAnsi="宋体" w:eastAsia="宋体" w:cs="宋体"/>
                <w:sz w:val="18"/>
                <w:szCs w:val="18"/>
              </w:rPr>
            </w:pPr>
          </w:p>
        </w:tc>
      </w:tr>
      <w:tr w14:paraId="4C85E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66548">
            <w:pPr>
              <w:keepNext w:val="0"/>
              <w:keepLines w:val="0"/>
              <w:widowControl/>
              <w:suppressLineNumbers w:val="0"/>
              <w:jc w:val="center"/>
              <w:textAlignment w:val="top"/>
              <w:rPr>
                <w:rFonts w:hint="eastAsia" w:ascii="宋体" w:hAnsi="宋体" w:eastAsia="宋体" w:cs="宋体"/>
                <w:b w:val="0"/>
                <w:bCs w:val="0"/>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F35F0">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环境影响咨询服务费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3DD3C">
            <w:pPr>
              <w:jc w:val="center"/>
              <w:rPr>
                <w:rFonts w:hint="eastAsia" w:ascii="宋体" w:hAnsi="宋体" w:eastAsia="宋体" w:cs="宋体"/>
                <w:i w:val="0"/>
                <w:iCs w:val="0"/>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C08CC">
            <w:pPr>
              <w:jc w:val="center"/>
              <w:rPr>
                <w:rFonts w:hint="eastAsia" w:ascii="宋体" w:hAnsi="宋体" w:eastAsia="宋体" w:cs="宋体"/>
                <w:i w:val="0"/>
                <w:iCs w:val="0"/>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29B27">
            <w:pPr>
              <w:jc w:val="center"/>
              <w:rPr>
                <w:rFonts w:hint="eastAsia" w:ascii="宋体" w:hAnsi="宋体" w:eastAsia="宋体" w:cs="宋体"/>
                <w:i w:val="0"/>
                <w:iCs w:val="0"/>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910AB">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7.90</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B1349">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7.90</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22C572">
            <w:pPr>
              <w:jc w:val="center"/>
              <w:rPr>
                <w:rFonts w:hint="eastAsia" w:ascii="宋体" w:hAnsi="宋体" w:eastAsia="宋体" w:cs="宋体"/>
                <w:sz w:val="18"/>
                <w:szCs w:val="18"/>
              </w:rPr>
            </w:pPr>
          </w:p>
        </w:tc>
      </w:tr>
      <w:tr w14:paraId="44249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A9A01">
            <w:pPr>
              <w:keepNext w:val="0"/>
              <w:keepLines w:val="0"/>
              <w:widowControl/>
              <w:suppressLineNumbers w:val="0"/>
              <w:jc w:val="center"/>
              <w:textAlignment w:val="top"/>
              <w:rPr>
                <w:rFonts w:hint="eastAsia" w:ascii="宋体" w:hAnsi="宋体" w:eastAsia="宋体" w:cs="宋体"/>
                <w:b w:val="0"/>
                <w:bCs w:val="0"/>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D141F">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场地准备费及临时设施费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B191F">
            <w:pPr>
              <w:jc w:val="center"/>
              <w:rPr>
                <w:rFonts w:hint="eastAsia" w:ascii="宋体" w:hAnsi="宋体" w:eastAsia="宋体" w:cs="宋体"/>
                <w:i w:val="0"/>
                <w:iCs w:val="0"/>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A51DF">
            <w:pPr>
              <w:jc w:val="center"/>
              <w:rPr>
                <w:rFonts w:hint="eastAsia" w:ascii="宋体" w:hAnsi="宋体" w:eastAsia="宋体" w:cs="宋体"/>
                <w:i w:val="0"/>
                <w:iCs w:val="0"/>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6EFB8">
            <w:pPr>
              <w:jc w:val="center"/>
              <w:rPr>
                <w:rFonts w:hint="eastAsia" w:ascii="宋体" w:hAnsi="宋体" w:eastAsia="宋体" w:cs="宋体"/>
                <w:i w:val="0"/>
                <w:iCs w:val="0"/>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7CA55">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43.46</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05563">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43.46</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22FB680">
            <w:pPr>
              <w:jc w:val="center"/>
              <w:rPr>
                <w:rFonts w:hint="eastAsia" w:ascii="宋体" w:hAnsi="宋体" w:eastAsia="宋体" w:cs="宋体"/>
                <w:sz w:val="18"/>
                <w:szCs w:val="18"/>
              </w:rPr>
            </w:pPr>
          </w:p>
        </w:tc>
      </w:tr>
      <w:tr w14:paraId="2FB88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249A4">
            <w:pPr>
              <w:keepNext w:val="0"/>
              <w:keepLines w:val="0"/>
              <w:widowControl/>
              <w:suppressLineNumbers w:val="0"/>
              <w:jc w:val="center"/>
              <w:textAlignment w:val="top"/>
              <w:rPr>
                <w:rFonts w:hint="eastAsia" w:ascii="宋体" w:hAnsi="宋体" w:eastAsia="宋体" w:cs="宋体"/>
                <w:b w:val="0"/>
                <w:bCs w:val="0"/>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AFCEC">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工程保险费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BDD9C">
            <w:pPr>
              <w:jc w:val="center"/>
              <w:rPr>
                <w:rFonts w:hint="eastAsia" w:ascii="宋体" w:hAnsi="宋体" w:eastAsia="宋体" w:cs="宋体"/>
                <w:i w:val="0"/>
                <w:iCs w:val="0"/>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DD3AB">
            <w:pPr>
              <w:jc w:val="center"/>
              <w:rPr>
                <w:rFonts w:hint="eastAsia" w:ascii="宋体" w:hAnsi="宋体" w:eastAsia="宋体" w:cs="宋体"/>
                <w:i w:val="0"/>
                <w:iCs w:val="0"/>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0F3AD">
            <w:pPr>
              <w:jc w:val="center"/>
              <w:rPr>
                <w:rFonts w:hint="eastAsia" w:ascii="宋体" w:hAnsi="宋体" w:eastAsia="宋体" w:cs="宋体"/>
                <w:i w:val="0"/>
                <w:iCs w:val="0"/>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81F01">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23.30</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CE7D7">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23.30</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528B25">
            <w:pPr>
              <w:jc w:val="center"/>
              <w:rPr>
                <w:rFonts w:hint="eastAsia" w:ascii="宋体" w:hAnsi="宋体" w:eastAsia="宋体" w:cs="宋体"/>
                <w:sz w:val="18"/>
                <w:szCs w:val="18"/>
              </w:rPr>
            </w:pPr>
          </w:p>
        </w:tc>
      </w:tr>
      <w:tr w14:paraId="60542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00002">
            <w:pPr>
              <w:keepNext w:val="0"/>
              <w:keepLines w:val="0"/>
              <w:widowControl/>
              <w:suppressLineNumbers w:val="0"/>
              <w:jc w:val="center"/>
              <w:textAlignment w:val="top"/>
              <w:rPr>
                <w:rFonts w:hint="eastAsia" w:ascii="宋体" w:hAnsi="宋体" w:eastAsia="宋体" w:cs="宋体"/>
                <w:b w:val="0"/>
                <w:bCs w:val="0"/>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2FA93">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招标代理服务费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2AEB7">
            <w:pPr>
              <w:jc w:val="center"/>
              <w:rPr>
                <w:rFonts w:hint="eastAsia" w:ascii="宋体" w:hAnsi="宋体" w:eastAsia="宋体" w:cs="宋体"/>
                <w:i w:val="0"/>
                <w:iCs w:val="0"/>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D4992">
            <w:pPr>
              <w:jc w:val="center"/>
              <w:rPr>
                <w:rFonts w:hint="eastAsia" w:ascii="宋体" w:hAnsi="宋体" w:eastAsia="宋体" w:cs="宋体"/>
                <w:i w:val="0"/>
                <w:iCs w:val="0"/>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D53BA">
            <w:pPr>
              <w:jc w:val="center"/>
              <w:rPr>
                <w:rFonts w:hint="eastAsia" w:ascii="宋体" w:hAnsi="宋体" w:eastAsia="宋体" w:cs="宋体"/>
                <w:i w:val="0"/>
                <w:iCs w:val="0"/>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9FBE0">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26.87</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88B10">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26.87</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84D066">
            <w:pPr>
              <w:jc w:val="center"/>
              <w:rPr>
                <w:rFonts w:hint="eastAsia" w:ascii="宋体" w:hAnsi="宋体" w:eastAsia="宋体" w:cs="宋体"/>
                <w:sz w:val="18"/>
                <w:szCs w:val="18"/>
              </w:rPr>
            </w:pPr>
          </w:p>
        </w:tc>
      </w:tr>
      <w:tr w14:paraId="67211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72847">
            <w:pPr>
              <w:keepNext w:val="0"/>
              <w:keepLines w:val="0"/>
              <w:widowControl/>
              <w:suppressLineNumbers w:val="0"/>
              <w:jc w:val="center"/>
              <w:textAlignment w:val="top"/>
              <w:rPr>
                <w:rFonts w:hint="eastAsia" w:ascii="宋体" w:hAnsi="宋体" w:eastAsia="宋体" w:cs="宋体"/>
                <w:b w:val="0"/>
                <w:bCs w:val="0"/>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818AC">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造价咨询费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4AAC9">
            <w:pPr>
              <w:jc w:val="center"/>
              <w:rPr>
                <w:rFonts w:hint="eastAsia" w:ascii="宋体" w:hAnsi="宋体" w:eastAsia="宋体" w:cs="宋体"/>
                <w:i w:val="0"/>
                <w:iCs w:val="0"/>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FC364">
            <w:pPr>
              <w:jc w:val="center"/>
              <w:rPr>
                <w:rFonts w:hint="eastAsia" w:ascii="宋体" w:hAnsi="宋体" w:eastAsia="宋体" w:cs="宋体"/>
                <w:i w:val="0"/>
                <w:iCs w:val="0"/>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997EA">
            <w:pPr>
              <w:jc w:val="center"/>
              <w:rPr>
                <w:rFonts w:hint="eastAsia" w:ascii="宋体" w:hAnsi="宋体" w:eastAsia="宋体" w:cs="宋体"/>
                <w:i w:val="0"/>
                <w:iCs w:val="0"/>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7AD79">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23.71</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2DB11">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23.71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12CC0">
            <w:pPr>
              <w:jc w:val="center"/>
              <w:rPr>
                <w:rFonts w:hint="eastAsia" w:ascii="宋体" w:hAnsi="宋体" w:eastAsia="宋体" w:cs="宋体"/>
                <w:sz w:val="18"/>
                <w:szCs w:val="18"/>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5405F">
            <w:pPr>
              <w:jc w:val="center"/>
              <w:rPr>
                <w:rFonts w:hint="eastAsia" w:ascii="宋体" w:hAnsi="宋体" w:eastAsia="宋体" w:cs="宋体"/>
                <w:sz w:val="18"/>
                <w:szCs w:val="18"/>
              </w:rPr>
            </w:pP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5669D">
            <w:pPr>
              <w:jc w:val="center"/>
              <w:rPr>
                <w:rFonts w:hint="eastAsia" w:ascii="宋体" w:hAnsi="宋体" w:eastAsia="宋体" w:cs="宋体"/>
                <w:sz w:val="18"/>
                <w:szCs w:val="18"/>
              </w:rPr>
            </w:pPr>
          </w:p>
        </w:tc>
      </w:tr>
      <w:tr w14:paraId="0226B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BE1D3">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三</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A2599">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预备费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03DCB">
            <w:pPr>
              <w:jc w:val="center"/>
              <w:rPr>
                <w:rFonts w:hint="eastAsia" w:ascii="宋体" w:hAnsi="宋体" w:eastAsia="宋体" w:cs="宋体"/>
                <w:i w:val="0"/>
                <w:iCs w:val="0"/>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E0FEC">
            <w:pPr>
              <w:jc w:val="center"/>
              <w:rPr>
                <w:rFonts w:hint="eastAsia" w:ascii="宋体" w:hAnsi="宋体" w:eastAsia="宋体" w:cs="宋体"/>
                <w:i w:val="0"/>
                <w:iCs w:val="0"/>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089AF">
            <w:pPr>
              <w:jc w:val="center"/>
              <w:rPr>
                <w:rFonts w:hint="eastAsia" w:ascii="宋体" w:hAnsi="宋体" w:eastAsia="宋体" w:cs="宋体"/>
                <w:i w:val="0"/>
                <w:iCs w:val="0"/>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22E07">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413.75</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C8BBB">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413.75</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4B363D">
            <w:pPr>
              <w:keepNext w:val="0"/>
              <w:keepLines w:val="0"/>
              <w:widowControl/>
              <w:suppressLineNumbers w:val="0"/>
              <w:jc w:val="center"/>
              <w:textAlignment w:val="top"/>
              <w:rPr>
                <w:rFonts w:hint="eastAsia" w:ascii="宋体" w:hAnsi="宋体" w:eastAsia="宋体" w:cs="宋体"/>
                <w:sz w:val="18"/>
                <w:szCs w:val="18"/>
              </w:rPr>
            </w:pPr>
            <w:r>
              <w:rPr>
                <w:rFonts w:hint="eastAsia" w:ascii="宋体" w:hAnsi="宋体" w:eastAsia="宋体" w:cs="宋体"/>
                <w:b/>
                <w:bCs/>
                <w:i w:val="0"/>
                <w:iCs w:val="0"/>
                <w:snapToGrid w:val="0"/>
                <w:color w:val="000000"/>
                <w:kern w:val="0"/>
                <w:sz w:val="18"/>
                <w:szCs w:val="18"/>
                <w:u w:val="none"/>
                <w:lang w:val="en-US" w:eastAsia="zh-CN" w:bidi="ar"/>
              </w:rPr>
              <w:t>4.72%</w:t>
            </w:r>
          </w:p>
        </w:tc>
      </w:tr>
      <w:tr w14:paraId="02717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2E04F">
            <w:pPr>
              <w:keepNext w:val="0"/>
              <w:keepLines w:val="0"/>
              <w:widowControl/>
              <w:suppressLineNumbers w:val="0"/>
              <w:jc w:val="center"/>
              <w:textAlignment w:val="top"/>
              <w:rPr>
                <w:rFonts w:hint="eastAsia" w:ascii="宋体" w:hAnsi="宋体" w:eastAsia="宋体" w:cs="宋体"/>
                <w:b/>
                <w:bCs/>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3.1</w:t>
            </w:r>
          </w:p>
        </w:tc>
        <w:tc>
          <w:tcPr>
            <w:tcW w:w="3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B8520">
            <w:pPr>
              <w:keepNext w:val="0"/>
              <w:keepLines w:val="0"/>
              <w:widowControl/>
              <w:suppressLineNumbers w:val="0"/>
              <w:jc w:val="center"/>
              <w:textAlignment w:val="top"/>
              <w:rPr>
                <w:rFonts w:hint="eastAsia" w:ascii="宋体" w:hAnsi="宋体" w:eastAsia="宋体" w:cs="宋体"/>
                <w:b/>
                <w:bCs/>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基本预备费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59A3B">
            <w:pPr>
              <w:jc w:val="center"/>
              <w:rPr>
                <w:rFonts w:hint="eastAsia" w:ascii="宋体" w:hAnsi="宋体" w:eastAsia="宋体" w:cs="宋体"/>
                <w:b/>
                <w:bCs/>
                <w:i w:val="0"/>
                <w:iCs w:val="0"/>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9352F">
            <w:pPr>
              <w:jc w:val="center"/>
              <w:rPr>
                <w:rFonts w:hint="eastAsia" w:ascii="宋体" w:hAnsi="宋体" w:eastAsia="宋体" w:cs="宋体"/>
                <w:b/>
                <w:bCs/>
                <w:i w:val="0"/>
                <w:iCs w:val="0"/>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E0C23">
            <w:pPr>
              <w:jc w:val="center"/>
              <w:rPr>
                <w:rFonts w:hint="eastAsia" w:ascii="宋体" w:hAnsi="宋体" w:eastAsia="宋体" w:cs="宋体"/>
                <w:b/>
                <w:bCs/>
                <w:i w:val="0"/>
                <w:iCs w:val="0"/>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8373A">
            <w:pPr>
              <w:keepNext w:val="0"/>
              <w:keepLines w:val="0"/>
              <w:widowControl/>
              <w:suppressLineNumbers w:val="0"/>
              <w:jc w:val="center"/>
              <w:textAlignment w:val="top"/>
              <w:rPr>
                <w:rFonts w:hint="eastAsia" w:ascii="宋体" w:hAnsi="宋体" w:eastAsia="宋体" w:cs="宋体"/>
                <w:b/>
                <w:bCs/>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413.75</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35679">
            <w:pPr>
              <w:keepNext w:val="0"/>
              <w:keepLines w:val="0"/>
              <w:widowControl/>
              <w:suppressLineNumbers w:val="0"/>
              <w:jc w:val="center"/>
              <w:textAlignment w:val="top"/>
              <w:rPr>
                <w:rFonts w:hint="eastAsia" w:ascii="宋体" w:hAnsi="宋体" w:eastAsia="宋体" w:cs="宋体"/>
                <w:b/>
                <w:bCs/>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413.75</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3F46B2D">
            <w:pPr>
              <w:keepNext w:val="0"/>
              <w:keepLines w:val="0"/>
              <w:widowControl/>
              <w:suppressLineNumbers w:val="0"/>
              <w:jc w:val="center"/>
              <w:textAlignment w:val="top"/>
              <w:rPr>
                <w:rFonts w:hint="eastAsia" w:ascii="宋体" w:hAnsi="宋体" w:eastAsia="宋体" w:cs="宋体"/>
                <w:sz w:val="18"/>
                <w:szCs w:val="18"/>
              </w:rPr>
            </w:pPr>
            <w:r>
              <w:rPr>
                <w:rFonts w:hint="eastAsia" w:ascii="宋体" w:hAnsi="宋体" w:eastAsia="宋体" w:cs="宋体"/>
                <w:i w:val="0"/>
                <w:iCs w:val="0"/>
                <w:snapToGrid w:val="0"/>
                <w:color w:val="000000"/>
                <w:kern w:val="0"/>
                <w:sz w:val="18"/>
                <w:szCs w:val="18"/>
                <w:u w:val="none"/>
                <w:lang w:val="en-US" w:eastAsia="zh-CN" w:bidi="ar"/>
              </w:rPr>
              <w:t>（一+二）*5%</w:t>
            </w:r>
          </w:p>
        </w:tc>
      </w:tr>
      <w:tr w14:paraId="79B23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BAD12">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3.2</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78F2D">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涨价预备费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1C97D">
            <w:pPr>
              <w:jc w:val="center"/>
              <w:rPr>
                <w:rFonts w:hint="eastAsia" w:ascii="宋体" w:hAnsi="宋体" w:eastAsia="宋体" w:cs="宋体"/>
                <w:i w:val="0"/>
                <w:iCs w:val="0"/>
                <w:snapToGrid w:val="0"/>
                <w:color w:val="000000"/>
                <w:kern w:val="0"/>
                <w:sz w:val="18"/>
                <w:szCs w:val="18"/>
                <w:u w:val="none"/>
                <w:lang w:val="en-US" w:eastAsia="zh-CN" w:bidi="ar"/>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58533">
            <w:pPr>
              <w:jc w:val="center"/>
              <w:rPr>
                <w:rFonts w:hint="eastAsia" w:ascii="宋体" w:hAnsi="宋体" w:eastAsia="宋体" w:cs="宋体"/>
                <w:i w:val="0"/>
                <w:iCs w:val="0"/>
                <w:snapToGrid w:val="0"/>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56628">
            <w:pPr>
              <w:jc w:val="center"/>
              <w:rPr>
                <w:rFonts w:hint="eastAsia" w:ascii="宋体" w:hAnsi="宋体" w:eastAsia="宋体" w:cs="宋体"/>
                <w:i w:val="0"/>
                <w:iCs w:val="0"/>
                <w:snapToGrid w:val="0"/>
                <w:color w:val="000000"/>
                <w:kern w:val="0"/>
                <w:sz w:val="18"/>
                <w:szCs w:val="18"/>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B2584">
            <w:pPr>
              <w:jc w:val="center"/>
              <w:rPr>
                <w:rFonts w:hint="eastAsia" w:ascii="宋体" w:hAnsi="宋体" w:eastAsia="宋体" w:cs="宋体"/>
                <w:i w:val="0"/>
                <w:iCs w:val="0"/>
                <w:snapToGrid w:val="0"/>
                <w:color w:val="000000"/>
                <w:kern w:val="0"/>
                <w:sz w:val="18"/>
                <w:szCs w:val="18"/>
                <w:u w:val="none"/>
                <w:lang w:val="en-US" w:eastAsia="zh-CN" w:bidi="ar"/>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8E19F">
            <w:pPr>
              <w:jc w:val="center"/>
              <w:rPr>
                <w:rFonts w:hint="eastAsia" w:ascii="宋体" w:hAnsi="宋体" w:eastAsia="宋体" w:cs="宋体"/>
                <w:i w:val="0"/>
                <w:iCs w:val="0"/>
                <w:snapToGrid w:val="0"/>
                <w:color w:val="000000"/>
                <w:kern w:val="0"/>
                <w:sz w:val="18"/>
                <w:szCs w:val="18"/>
                <w:u w:val="none"/>
                <w:lang w:val="en-US" w:eastAsia="zh-CN" w:bidi="ar"/>
              </w:rPr>
            </w:pP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92898F">
            <w:pPr>
              <w:jc w:val="center"/>
              <w:rPr>
                <w:rFonts w:hint="eastAsia" w:ascii="宋体" w:hAnsi="宋体" w:eastAsia="宋体" w:cs="宋体"/>
                <w:sz w:val="18"/>
                <w:szCs w:val="18"/>
              </w:rPr>
            </w:pPr>
          </w:p>
        </w:tc>
      </w:tr>
      <w:tr w14:paraId="43B10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DB234">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四</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E57E0">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建设投资合计</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0944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163.33</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5FF5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362.26</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8CF4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7376.98</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0732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786.28</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32C9A">
            <w:pPr>
              <w:keepNext w:val="0"/>
              <w:keepLines w:val="0"/>
              <w:widowControl/>
              <w:suppressLineNumbers w:val="0"/>
              <w:jc w:val="center"/>
              <w:textAlignment w:val="top"/>
              <w:rPr>
                <w:rFonts w:hint="eastAsia" w:ascii="宋体" w:hAnsi="宋体" w:eastAsia="宋体" w:cs="宋体"/>
                <w:b/>
                <w:bCs/>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8688.84</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2B0BD2">
            <w:pPr>
              <w:keepNext w:val="0"/>
              <w:keepLines w:val="0"/>
              <w:widowControl/>
              <w:suppressLineNumbers w:val="0"/>
              <w:jc w:val="center"/>
              <w:textAlignment w:val="top"/>
              <w:rPr>
                <w:rFonts w:hint="eastAsia" w:ascii="宋体" w:hAnsi="宋体" w:eastAsia="宋体" w:cs="宋体"/>
                <w:sz w:val="18"/>
                <w:szCs w:val="18"/>
              </w:rPr>
            </w:pPr>
            <w:r>
              <w:rPr>
                <w:rFonts w:hint="eastAsia" w:ascii="宋体" w:hAnsi="宋体" w:eastAsia="宋体" w:cs="宋体"/>
                <w:b/>
                <w:bCs/>
                <w:i w:val="0"/>
                <w:iCs w:val="0"/>
                <w:snapToGrid w:val="0"/>
                <w:color w:val="000000"/>
                <w:kern w:val="0"/>
                <w:sz w:val="18"/>
                <w:szCs w:val="18"/>
                <w:u w:val="none"/>
                <w:lang w:val="en-US" w:eastAsia="zh-CN" w:bidi="ar"/>
              </w:rPr>
              <w:t>99.10%</w:t>
            </w:r>
          </w:p>
        </w:tc>
      </w:tr>
      <w:tr w14:paraId="2A7BD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F1BD1">
            <w:pPr>
              <w:jc w:val="center"/>
              <w:rPr>
                <w:rFonts w:hint="eastAsia" w:ascii="宋体" w:hAnsi="宋体" w:eastAsia="宋体" w:cs="宋体"/>
                <w:b/>
                <w:bCs/>
                <w:i w:val="0"/>
                <w:iCs w:val="0"/>
                <w:snapToGrid w:val="0"/>
                <w:color w:val="000000"/>
                <w:kern w:val="0"/>
                <w:sz w:val="18"/>
                <w:szCs w:val="18"/>
                <w:u w:val="none"/>
                <w:lang w:val="en-US" w:eastAsia="zh-CN" w:bidi="ar"/>
              </w:rPr>
            </w:pP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3A6B2">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比例（%）</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6346F">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1.88%</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7CC11">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4.17%</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4FD4A">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84.90%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E6ABE">
            <w:pPr>
              <w:keepNext w:val="0"/>
              <w:keepLines w:val="0"/>
              <w:widowControl/>
              <w:suppressLineNumbers w:val="0"/>
              <w:jc w:val="center"/>
              <w:textAlignment w:val="top"/>
              <w:rPr>
                <w:rFonts w:hint="eastAsia" w:ascii="宋体" w:hAnsi="宋体" w:eastAsia="宋体" w:cs="宋体"/>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9.05%</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10EF8">
            <w:pPr>
              <w:keepNext w:val="0"/>
              <w:keepLines w:val="0"/>
              <w:widowControl/>
              <w:suppressLineNumbers w:val="0"/>
              <w:jc w:val="center"/>
              <w:textAlignment w:val="top"/>
              <w:rPr>
                <w:rFonts w:hint="eastAsia" w:ascii="宋体" w:hAnsi="宋体" w:eastAsia="宋体" w:cs="宋体"/>
                <w:b/>
                <w:bCs/>
                <w:i w:val="0"/>
                <w:iCs w:val="0"/>
                <w:color w:val="FF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100.00%</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27E210">
            <w:pPr>
              <w:jc w:val="center"/>
              <w:rPr>
                <w:rFonts w:hint="eastAsia" w:ascii="宋体" w:hAnsi="宋体" w:eastAsia="宋体" w:cs="宋体"/>
                <w:sz w:val="18"/>
                <w:szCs w:val="18"/>
              </w:rPr>
            </w:pPr>
          </w:p>
        </w:tc>
      </w:tr>
      <w:tr w14:paraId="06D0E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1F2EB">
            <w:pPr>
              <w:keepNext w:val="0"/>
              <w:keepLines w:val="0"/>
              <w:widowControl/>
              <w:suppressLineNumbers w:val="0"/>
              <w:jc w:val="center"/>
              <w:textAlignment w:val="top"/>
              <w:rPr>
                <w:rFonts w:hint="eastAsia" w:ascii="宋体" w:hAnsi="宋体" w:eastAsia="宋体" w:cs="宋体"/>
                <w:b/>
                <w:bCs/>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五</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86550">
            <w:pPr>
              <w:keepNext w:val="0"/>
              <w:keepLines w:val="0"/>
              <w:widowControl/>
              <w:suppressLineNumbers w:val="0"/>
              <w:jc w:val="center"/>
              <w:textAlignment w:val="top"/>
              <w:rPr>
                <w:rFonts w:hint="eastAsia" w:ascii="宋体" w:hAnsi="宋体" w:eastAsia="宋体" w:cs="宋体"/>
                <w:b/>
                <w:bCs/>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建设期利息</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7EBED">
            <w:pPr>
              <w:jc w:val="center"/>
              <w:rPr>
                <w:rFonts w:hint="eastAsia" w:ascii="宋体" w:hAnsi="宋体" w:eastAsia="宋体" w:cs="宋体"/>
                <w:i w:val="0"/>
                <w:iCs w:val="0"/>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88617">
            <w:pPr>
              <w:jc w:val="center"/>
              <w:rPr>
                <w:rFonts w:hint="eastAsia" w:ascii="宋体" w:hAnsi="宋体" w:eastAsia="宋体" w:cs="宋体"/>
                <w:i w:val="0"/>
                <w:iCs w:val="0"/>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8131A">
            <w:pPr>
              <w:jc w:val="center"/>
              <w:rPr>
                <w:rFonts w:hint="eastAsia" w:ascii="宋体" w:hAnsi="宋体" w:eastAsia="宋体" w:cs="宋体"/>
                <w:i w:val="0"/>
                <w:iCs w:val="0"/>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6B1F3">
            <w:pPr>
              <w:jc w:val="center"/>
              <w:rPr>
                <w:rFonts w:hint="eastAsia" w:ascii="宋体" w:hAnsi="宋体" w:eastAsia="宋体" w:cs="宋体"/>
                <w:i w:val="0"/>
                <w:iCs w:val="0"/>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D0F5B">
            <w:pPr>
              <w:keepNext w:val="0"/>
              <w:keepLines w:val="0"/>
              <w:widowControl/>
              <w:suppressLineNumbers w:val="0"/>
              <w:jc w:val="center"/>
              <w:textAlignment w:val="top"/>
              <w:rPr>
                <w:rFonts w:hint="eastAsia" w:ascii="宋体" w:hAnsi="宋体" w:eastAsia="宋体" w:cs="宋体"/>
                <w:b/>
                <w:bCs/>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78.75</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E6F1BB">
            <w:pPr>
              <w:keepNext w:val="0"/>
              <w:keepLines w:val="0"/>
              <w:widowControl/>
              <w:suppressLineNumbers w:val="0"/>
              <w:jc w:val="center"/>
              <w:textAlignment w:val="top"/>
              <w:rPr>
                <w:rFonts w:hint="eastAsia" w:ascii="宋体" w:hAnsi="宋体" w:eastAsia="宋体" w:cs="宋体"/>
                <w:b/>
                <w:bCs/>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0.90%</w:t>
            </w:r>
          </w:p>
        </w:tc>
      </w:tr>
      <w:tr w14:paraId="36466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73B7B">
            <w:pPr>
              <w:keepNext w:val="0"/>
              <w:keepLines w:val="0"/>
              <w:widowControl/>
              <w:suppressLineNumbers w:val="0"/>
              <w:jc w:val="center"/>
              <w:textAlignment w:val="top"/>
              <w:rPr>
                <w:rFonts w:hint="eastAsia" w:ascii="宋体" w:hAnsi="宋体" w:eastAsia="宋体" w:cs="宋体"/>
                <w:b/>
                <w:bCs/>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六</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936D5">
            <w:pPr>
              <w:keepNext w:val="0"/>
              <w:keepLines w:val="0"/>
              <w:widowControl/>
              <w:suppressLineNumbers w:val="0"/>
              <w:jc w:val="center"/>
              <w:textAlignment w:val="top"/>
              <w:rPr>
                <w:rFonts w:hint="eastAsia" w:ascii="宋体" w:hAnsi="宋体" w:eastAsia="宋体" w:cs="宋体"/>
                <w:b/>
                <w:bCs/>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固定资产投资</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4BBD6">
            <w:pPr>
              <w:jc w:val="center"/>
              <w:rPr>
                <w:rFonts w:hint="eastAsia" w:ascii="宋体" w:hAnsi="宋体" w:eastAsia="宋体" w:cs="宋体"/>
                <w:i w:val="0"/>
                <w:iCs w:val="0"/>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303BE">
            <w:pPr>
              <w:jc w:val="center"/>
              <w:rPr>
                <w:rFonts w:hint="eastAsia" w:ascii="宋体" w:hAnsi="宋体" w:eastAsia="宋体" w:cs="宋体"/>
                <w:i w:val="0"/>
                <w:iCs w:val="0"/>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619E2">
            <w:pPr>
              <w:jc w:val="center"/>
              <w:rPr>
                <w:rFonts w:hint="eastAsia" w:ascii="宋体" w:hAnsi="宋体" w:eastAsia="宋体" w:cs="宋体"/>
                <w:i w:val="0"/>
                <w:iCs w:val="0"/>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CF418">
            <w:pPr>
              <w:jc w:val="center"/>
              <w:rPr>
                <w:rFonts w:hint="eastAsia" w:ascii="宋体" w:hAnsi="宋体" w:eastAsia="宋体" w:cs="宋体"/>
                <w:i w:val="0"/>
                <w:iCs w:val="0"/>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7384B">
            <w:pPr>
              <w:keepNext w:val="0"/>
              <w:keepLines w:val="0"/>
              <w:widowControl/>
              <w:suppressLineNumbers w:val="0"/>
              <w:jc w:val="center"/>
              <w:textAlignment w:val="top"/>
              <w:rPr>
                <w:rFonts w:hint="eastAsia" w:ascii="宋体" w:hAnsi="宋体" w:eastAsia="宋体" w:cs="宋体"/>
                <w:b/>
                <w:bCs/>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8767.59</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43350D">
            <w:pPr>
              <w:keepNext w:val="0"/>
              <w:keepLines w:val="0"/>
              <w:widowControl/>
              <w:suppressLineNumbers w:val="0"/>
              <w:jc w:val="center"/>
              <w:textAlignment w:val="top"/>
              <w:rPr>
                <w:rFonts w:hint="eastAsia" w:ascii="宋体" w:hAnsi="宋体" w:eastAsia="宋体" w:cs="宋体"/>
                <w:b/>
                <w:bCs/>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100.00%</w:t>
            </w:r>
          </w:p>
        </w:tc>
      </w:tr>
      <w:tr w14:paraId="3E75D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CBA01">
            <w:pPr>
              <w:keepNext w:val="0"/>
              <w:keepLines w:val="0"/>
              <w:widowControl/>
              <w:suppressLineNumbers w:val="0"/>
              <w:jc w:val="center"/>
              <w:textAlignment w:val="top"/>
              <w:rPr>
                <w:rFonts w:hint="eastAsia" w:ascii="宋体" w:hAnsi="宋体" w:eastAsia="宋体" w:cs="宋体"/>
                <w:b/>
                <w:bCs/>
                <w:i w:val="0"/>
                <w:iCs w:val="0"/>
                <w:snapToGrid w:val="0"/>
                <w:color w:val="000000"/>
                <w:kern w:val="0"/>
                <w:sz w:val="18"/>
                <w:szCs w:val="18"/>
                <w:u w:val="none"/>
                <w:lang w:val="en-US" w:eastAsia="zh-CN" w:bidi="ar"/>
              </w:rPr>
            </w:pPr>
            <w:bookmarkStart w:id="136" w:name="_Toc7389"/>
            <w:bookmarkStart w:id="137" w:name="_Toc967"/>
            <w:bookmarkStart w:id="138" w:name="_Toc13313"/>
            <w:r>
              <w:rPr>
                <w:rFonts w:hint="eastAsia" w:ascii="宋体" w:hAnsi="宋体" w:eastAsia="宋体" w:cs="宋体"/>
                <w:b/>
                <w:bCs/>
                <w:i w:val="0"/>
                <w:iCs w:val="0"/>
                <w:snapToGrid w:val="0"/>
                <w:color w:val="000000"/>
                <w:kern w:val="0"/>
                <w:sz w:val="18"/>
                <w:szCs w:val="18"/>
                <w:u w:val="none"/>
                <w:lang w:val="en-US" w:eastAsia="zh-CN" w:bidi="ar"/>
              </w:rPr>
              <w:t>七</w:t>
            </w:r>
          </w:p>
        </w:tc>
        <w:tc>
          <w:tcPr>
            <w:tcW w:w="3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AD3F5">
            <w:pPr>
              <w:keepNext w:val="0"/>
              <w:keepLines w:val="0"/>
              <w:widowControl/>
              <w:suppressLineNumbers w:val="0"/>
              <w:jc w:val="center"/>
              <w:textAlignment w:val="top"/>
              <w:rPr>
                <w:rFonts w:hint="eastAsia" w:ascii="宋体" w:hAnsi="宋体" w:eastAsia="宋体" w:cs="宋体"/>
                <w:b/>
                <w:bCs/>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项目总投资</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11CCD">
            <w:pPr>
              <w:jc w:val="center"/>
              <w:rPr>
                <w:rFonts w:hint="eastAsia" w:ascii="宋体" w:hAnsi="宋体" w:eastAsia="宋体" w:cs="宋体"/>
                <w:i w:val="0"/>
                <w:iCs w:val="0"/>
                <w:color w:val="FF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646AA">
            <w:pPr>
              <w:jc w:val="center"/>
              <w:rPr>
                <w:rFonts w:hint="eastAsia" w:ascii="宋体" w:hAnsi="宋体" w:eastAsia="宋体" w:cs="宋体"/>
                <w:i w:val="0"/>
                <w:iCs w:val="0"/>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B1C3E">
            <w:pPr>
              <w:jc w:val="center"/>
              <w:rPr>
                <w:rFonts w:hint="eastAsia" w:ascii="宋体" w:hAnsi="宋体" w:eastAsia="宋体" w:cs="宋体"/>
                <w:i w:val="0"/>
                <w:iCs w:val="0"/>
                <w:color w:val="FF0000"/>
                <w:sz w:val="18"/>
                <w:szCs w:val="18"/>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4857A">
            <w:pPr>
              <w:jc w:val="center"/>
              <w:rPr>
                <w:rFonts w:hint="eastAsia" w:ascii="宋体" w:hAnsi="宋体" w:eastAsia="宋体" w:cs="宋体"/>
                <w:i w:val="0"/>
                <w:iCs w:val="0"/>
                <w:color w:val="FF0000"/>
                <w:sz w:val="18"/>
                <w:szCs w:val="18"/>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00326">
            <w:pPr>
              <w:keepNext w:val="0"/>
              <w:keepLines w:val="0"/>
              <w:widowControl/>
              <w:suppressLineNumbers w:val="0"/>
              <w:jc w:val="center"/>
              <w:textAlignment w:val="top"/>
              <w:rPr>
                <w:rFonts w:hint="eastAsia" w:ascii="宋体" w:hAnsi="宋体" w:eastAsia="宋体" w:cs="宋体"/>
                <w:b/>
                <w:bCs/>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8767.59</w:t>
            </w:r>
          </w:p>
        </w:tc>
        <w:tc>
          <w:tcPr>
            <w:tcW w:w="38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8B302D">
            <w:pPr>
              <w:keepNext w:val="0"/>
              <w:keepLines w:val="0"/>
              <w:widowControl/>
              <w:suppressLineNumbers w:val="0"/>
              <w:jc w:val="center"/>
              <w:textAlignment w:val="top"/>
              <w:rPr>
                <w:rFonts w:hint="eastAsia" w:ascii="宋体" w:hAnsi="宋体" w:eastAsia="宋体" w:cs="宋体"/>
                <w:b/>
                <w:bCs/>
                <w:i w:val="0"/>
                <w:iCs w:val="0"/>
                <w:snapToGrid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100.00%</w:t>
            </w:r>
          </w:p>
        </w:tc>
      </w:tr>
    </w:tbl>
    <w:p w14:paraId="510F5F22">
      <w:pPr>
        <w:rPr>
          <w:rFonts w:hint="eastAsia" w:ascii="宋体" w:hAnsi="宋体" w:eastAsia="宋体" w:cs="宋体"/>
          <w:b/>
          <w:bCs/>
          <w:i w:val="0"/>
          <w:iCs w:val="0"/>
          <w:color w:val="auto"/>
          <w:kern w:val="0"/>
          <w:sz w:val="28"/>
          <w:szCs w:val="28"/>
          <w:u w:val="none"/>
          <w:lang w:val="en-US" w:eastAsia="zh-CN"/>
        </w:rPr>
      </w:pPr>
      <w:r>
        <w:rPr>
          <w:rFonts w:hint="eastAsia" w:ascii="宋体" w:hAnsi="宋体" w:eastAsia="宋体" w:cs="宋体"/>
          <w:b/>
          <w:bCs/>
          <w:i w:val="0"/>
          <w:iCs w:val="0"/>
          <w:color w:val="auto"/>
          <w:kern w:val="0"/>
          <w:sz w:val="28"/>
          <w:szCs w:val="28"/>
          <w:u w:val="none"/>
          <w:lang w:val="en-US" w:eastAsia="zh-CN"/>
        </w:rPr>
        <w:br w:type="page"/>
      </w:r>
    </w:p>
    <w:p w14:paraId="30D8E500">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0"/>
        <w:rPr>
          <w:rFonts w:hint="eastAsia" w:ascii="宋体" w:hAnsi="宋体" w:eastAsia="宋体" w:cs="宋体"/>
          <w:b/>
          <w:bCs/>
          <w:i w:val="0"/>
          <w:iCs w:val="0"/>
          <w:color w:val="auto"/>
          <w:kern w:val="0"/>
          <w:sz w:val="28"/>
          <w:szCs w:val="28"/>
          <w:u w:val="none"/>
          <w:lang w:val="en-US" w:eastAsia="zh-CN"/>
        </w:rPr>
      </w:pPr>
      <w:r>
        <w:rPr>
          <w:rFonts w:hint="eastAsia" w:ascii="宋体" w:hAnsi="宋体" w:eastAsia="宋体" w:cs="宋体"/>
          <w:b/>
          <w:bCs/>
          <w:i w:val="0"/>
          <w:iCs w:val="0"/>
          <w:color w:val="auto"/>
          <w:kern w:val="0"/>
          <w:sz w:val="28"/>
          <w:szCs w:val="28"/>
          <w:u w:val="none"/>
          <w:lang w:val="en-US" w:eastAsia="zh-CN"/>
        </w:rPr>
        <w:t>附表2：固定资产折旧表</w:t>
      </w:r>
      <w:bookmarkEnd w:id="136"/>
      <w:bookmarkEnd w:id="137"/>
      <w:bookmarkEnd w:id="138"/>
    </w:p>
    <w:tbl>
      <w:tblPr>
        <w:tblStyle w:val="16"/>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2"/>
        <w:gridCol w:w="1802"/>
        <w:gridCol w:w="1272"/>
        <w:gridCol w:w="946"/>
        <w:gridCol w:w="960"/>
        <w:gridCol w:w="1378"/>
        <w:gridCol w:w="1378"/>
        <w:gridCol w:w="1378"/>
        <w:gridCol w:w="1378"/>
        <w:gridCol w:w="1378"/>
        <w:gridCol w:w="1381"/>
      </w:tblGrid>
      <w:tr w14:paraId="750D6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993" w:type="dxa"/>
            <w:gridSpan w:val="11"/>
            <w:tcBorders>
              <w:top w:val="nil"/>
              <w:left w:val="nil"/>
              <w:bottom w:val="nil"/>
              <w:right w:val="nil"/>
            </w:tcBorders>
            <w:shd w:val="clear" w:color="auto" w:fill="auto"/>
            <w:noWrap/>
            <w:vAlign w:val="center"/>
          </w:tcPr>
          <w:p w14:paraId="7E905BF4">
            <w:pPr>
              <w:keepNext w:val="0"/>
              <w:keepLines w:val="0"/>
              <w:pageBreakBefore w:val="0"/>
              <w:widowControl/>
              <w:suppressLineNumbers w:val="0"/>
              <w:kinsoku/>
              <w:wordWrap/>
              <w:overflowPunct/>
              <w:topLinePunct w:val="0"/>
              <w:autoSpaceDE/>
              <w:autoSpaceDN/>
              <w:bidi w:val="0"/>
              <w:adjustRightInd/>
              <w:snapToGrid/>
              <w:spacing w:line="240" w:lineRule="auto"/>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单位：万元</w:t>
            </w:r>
          </w:p>
        </w:tc>
      </w:tr>
      <w:tr w14:paraId="2B8CC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42" w:type="dxa"/>
            <w:vMerge w:val="restart"/>
            <w:tcBorders>
              <w:top w:val="single" w:color="000000" w:sz="4" w:space="0"/>
              <w:left w:val="single" w:color="000000" w:sz="4" w:space="0"/>
              <w:right w:val="single" w:color="000000" w:sz="4" w:space="0"/>
            </w:tcBorders>
            <w:shd w:val="clear" w:color="auto" w:fill="auto"/>
            <w:vAlign w:val="center"/>
          </w:tcPr>
          <w:p w14:paraId="69BF99C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序号</w:t>
            </w:r>
          </w:p>
        </w:tc>
        <w:tc>
          <w:tcPr>
            <w:tcW w:w="1802" w:type="dxa"/>
            <w:vMerge w:val="restart"/>
            <w:tcBorders>
              <w:top w:val="single" w:color="000000" w:sz="4" w:space="0"/>
              <w:left w:val="single" w:color="000000" w:sz="4" w:space="0"/>
              <w:right w:val="single" w:color="000000" w:sz="4" w:space="0"/>
            </w:tcBorders>
            <w:shd w:val="clear" w:color="auto" w:fill="auto"/>
            <w:vAlign w:val="center"/>
          </w:tcPr>
          <w:p w14:paraId="16047F1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项目</w:t>
            </w:r>
          </w:p>
        </w:tc>
        <w:tc>
          <w:tcPr>
            <w:tcW w:w="1272" w:type="dxa"/>
            <w:vMerge w:val="restart"/>
            <w:tcBorders>
              <w:top w:val="single" w:color="000000" w:sz="4" w:space="0"/>
              <w:left w:val="single" w:color="000000" w:sz="4" w:space="0"/>
              <w:right w:val="single" w:color="000000" w:sz="4" w:space="0"/>
            </w:tcBorders>
            <w:shd w:val="clear" w:color="auto" w:fill="auto"/>
            <w:vAlign w:val="center"/>
          </w:tcPr>
          <w:p w14:paraId="1AD32A1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合计</w:t>
            </w:r>
          </w:p>
        </w:tc>
        <w:tc>
          <w:tcPr>
            <w:tcW w:w="946" w:type="dxa"/>
            <w:vMerge w:val="restart"/>
            <w:tcBorders>
              <w:top w:val="single" w:color="000000" w:sz="4" w:space="0"/>
              <w:left w:val="single" w:color="000000" w:sz="4" w:space="0"/>
              <w:right w:val="single" w:color="000000" w:sz="4" w:space="0"/>
            </w:tcBorders>
            <w:shd w:val="clear" w:color="auto" w:fill="auto"/>
            <w:vAlign w:val="center"/>
          </w:tcPr>
          <w:p w14:paraId="12CCEEE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残值率</w:t>
            </w:r>
          </w:p>
        </w:tc>
        <w:tc>
          <w:tcPr>
            <w:tcW w:w="960" w:type="dxa"/>
            <w:vMerge w:val="restart"/>
            <w:tcBorders>
              <w:top w:val="single" w:color="000000" w:sz="4" w:space="0"/>
              <w:left w:val="single" w:color="000000" w:sz="4" w:space="0"/>
              <w:right w:val="single" w:color="000000" w:sz="4" w:space="0"/>
            </w:tcBorders>
            <w:shd w:val="clear" w:color="auto" w:fill="auto"/>
            <w:vAlign w:val="center"/>
          </w:tcPr>
          <w:p w14:paraId="36EB840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折旧年限</w:t>
            </w:r>
          </w:p>
        </w:tc>
        <w:tc>
          <w:tcPr>
            <w:tcW w:w="8271"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FCDD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运营期</w:t>
            </w:r>
          </w:p>
        </w:tc>
      </w:tr>
      <w:tr w14:paraId="5D33C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7" w:hRule="atLeast"/>
        </w:trPr>
        <w:tc>
          <w:tcPr>
            <w:tcW w:w="742" w:type="dxa"/>
            <w:vMerge w:val="continue"/>
            <w:tcBorders>
              <w:left w:val="single" w:color="000000" w:sz="4" w:space="0"/>
              <w:bottom w:val="single" w:color="000000" w:sz="4" w:space="0"/>
              <w:right w:val="single" w:color="000000" w:sz="4" w:space="0"/>
            </w:tcBorders>
            <w:shd w:val="clear" w:color="auto" w:fill="auto"/>
            <w:vAlign w:val="center"/>
          </w:tcPr>
          <w:p w14:paraId="5CE2204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i w:val="0"/>
                <w:iCs w:val="0"/>
                <w:color w:val="000000"/>
                <w:kern w:val="0"/>
                <w:sz w:val="18"/>
                <w:szCs w:val="18"/>
                <w:u w:val="none"/>
                <w:lang w:val="en-US" w:eastAsia="zh-CN" w:bidi="ar"/>
              </w:rPr>
            </w:pPr>
          </w:p>
        </w:tc>
        <w:tc>
          <w:tcPr>
            <w:tcW w:w="1802" w:type="dxa"/>
            <w:vMerge w:val="continue"/>
            <w:tcBorders>
              <w:left w:val="single" w:color="000000" w:sz="4" w:space="0"/>
              <w:bottom w:val="single" w:color="000000" w:sz="4" w:space="0"/>
              <w:right w:val="single" w:color="000000" w:sz="4" w:space="0"/>
            </w:tcBorders>
            <w:shd w:val="clear" w:color="auto" w:fill="auto"/>
            <w:vAlign w:val="center"/>
          </w:tcPr>
          <w:p w14:paraId="638A132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i w:val="0"/>
                <w:iCs w:val="0"/>
                <w:color w:val="000000"/>
                <w:kern w:val="0"/>
                <w:sz w:val="18"/>
                <w:szCs w:val="18"/>
                <w:u w:val="none"/>
                <w:lang w:val="en-US" w:eastAsia="zh-CN" w:bidi="ar"/>
              </w:rPr>
            </w:pPr>
          </w:p>
        </w:tc>
        <w:tc>
          <w:tcPr>
            <w:tcW w:w="1272" w:type="dxa"/>
            <w:vMerge w:val="continue"/>
            <w:tcBorders>
              <w:left w:val="single" w:color="000000" w:sz="4" w:space="0"/>
              <w:bottom w:val="single" w:color="000000" w:sz="4" w:space="0"/>
              <w:right w:val="single" w:color="000000" w:sz="4" w:space="0"/>
            </w:tcBorders>
            <w:shd w:val="clear" w:color="auto" w:fill="auto"/>
            <w:vAlign w:val="center"/>
          </w:tcPr>
          <w:p w14:paraId="351DDE3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i w:val="0"/>
                <w:iCs w:val="0"/>
                <w:color w:val="000000"/>
                <w:kern w:val="0"/>
                <w:sz w:val="18"/>
                <w:szCs w:val="18"/>
                <w:u w:val="none"/>
                <w:lang w:val="en-US" w:eastAsia="zh-CN" w:bidi="ar"/>
              </w:rPr>
            </w:pPr>
          </w:p>
        </w:tc>
        <w:tc>
          <w:tcPr>
            <w:tcW w:w="946" w:type="dxa"/>
            <w:vMerge w:val="continue"/>
            <w:tcBorders>
              <w:left w:val="single" w:color="000000" w:sz="4" w:space="0"/>
              <w:bottom w:val="single" w:color="000000" w:sz="4" w:space="0"/>
              <w:right w:val="single" w:color="000000" w:sz="4" w:space="0"/>
            </w:tcBorders>
            <w:shd w:val="clear" w:color="auto" w:fill="auto"/>
            <w:vAlign w:val="center"/>
          </w:tcPr>
          <w:p w14:paraId="51C2828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i w:val="0"/>
                <w:iCs w:val="0"/>
                <w:color w:val="000000"/>
                <w:kern w:val="0"/>
                <w:sz w:val="18"/>
                <w:szCs w:val="18"/>
                <w:u w:val="none"/>
                <w:lang w:val="en-US" w:eastAsia="zh-CN" w:bidi="ar"/>
              </w:rPr>
            </w:pPr>
          </w:p>
        </w:tc>
        <w:tc>
          <w:tcPr>
            <w:tcW w:w="960" w:type="dxa"/>
            <w:vMerge w:val="continue"/>
            <w:tcBorders>
              <w:left w:val="single" w:color="000000" w:sz="4" w:space="0"/>
              <w:bottom w:val="single" w:color="000000" w:sz="4" w:space="0"/>
              <w:right w:val="single" w:color="000000" w:sz="4" w:space="0"/>
            </w:tcBorders>
            <w:shd w:val="clear" w:color="auto" w:fill="auto"/>
            <w:vAlign w:val="center"/>
          </w:tcPr>
          <w:p w14:paraId="2E5C130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i w:val="0"/>
                <w:iCs w:val="0"/>
                <w:color w:val="000000"/>
                <w:kern w:val="0"/>
                <w:sz w:val="18"/>
                <w:szCs w:val="18"/>
                <w:u w:val="none"/>
                <w:lang w:val="en-US" w:eastAsia="zh-CN" w:bidi="ar"/>
              </w:rPr>
            </w:pPr>
          </w:p>
        </w:tc>
        <w:tc>
          <w:tcPr>
            <w:tcW w:w="1378" w:type="dxa"/>
            <w:tcBorders>
              <w:top w:val="nil"/>
              <w:left w:val="single" w:color="000000" w:sz="4" w:space="0"/>
              <w:bottom w:val="single" w:color="000000" w:sz="4" w:space="0"/>
              <w:right w:val="single" w:color="000000" w:sz="4" w:space="0"/>
            </w:tcBorders>
            <w:shd w:val="clear" w:color="auto" w:fill="auto"/>
            <w:vAlign w:val="center"/>
          </w:tcPr>
          <w:p w14:paraId="26FC9AB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0.5</w:t>
            </w:r>
          </w:p>
        </w:tc>
        <w:tc>
          <w:tcPr>
            <w:tcW w:w="1378" w:type="dxa"/>
            <w:tcBorders>
              <w:top w:val="nil"/>
              <w:left w:val="single" w:color="000000" w:sz="4" w:space="0"/>
              <w:bottom w:val="single" w:color="000000" w:sz="4" w:space="0"/>
              <w:right w:val="single" w:color="000000" w:sz="4" w:space="0"/>
            </w:tcBorders>
            <w:shd w:val="clear" w:color="auto" w:fill="auto"/>
            <w:vAlign w:val="center"/>
          </w:tcPr>
          <w:p w14:paraId="30710FE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2</w:t>
            </w:r>
          </w:p>
        </w:tc>
        <w:tc>
          <w:tcPr>
            <w:tcW w:w="1378" w:type="dxa"/>
            <w:tcBorders>
              <w:top w:val="nil"/>
              <w:left w:val="single" w:color="000000" w:sz="4" w:space="0"/>
              <w:bottom w:val="single" w:color="000000" w:sz="4" w:space="0"/>
              <w:right w:val="single" w:color="000000" w:sz="4" w:space="0"/>
            </w:tcBorders>
            <w:shd w:val="clear" w:color="auto" w:fill="auto"/>
            <w:vAlign w:val="center"/>
          </w:tcPr>
          <w:p w14:paraId="4456D7B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3</w:t>
            </w:r>
          </w:p>
        </w:tc>
        <w:tc>
          <w:tcPr>
            <w:tcW w:w="1378" w:type="dxa"/>
            <w:tcBorders>
              <w:top w:val="nil"/>
              <w:left w:val="single" w:color="000000" w:sz="4" w:space="0"/>
              <w:bottom w:val="single" w:color="000000" w:sz="4" w:space="0"/>
              <w:right w:val="single" w:color="000000" w:sz="4" w:space="0"/>
            </w:tcBorders>
            <w:shd w:val="clear" w:color="auto" w:fill="auto"/>
            <w:vAlign w:val="center"/>
          </w:tcPr>
          <w:p w14:paraId="0EE1D72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4</w:t>
            </w:r>
          </w:p>
        </w:tc>
        <w:tc>
          <w:tcPr>
            <w:tcW w:w="1378" w:type="dxa"/>
            <w:tcBorders>
              <w:top w:val="nil"/>
              <w:left w:val="single" w:color="000000" w:sz="4" w:space="0"/>
              <w:bottom w:val="single" w:color="000000" w:sz="4" w:space="0"/>
              <w:right w:val="single" w:color="000000" w:sz="4" w:space="0"/>
            </w:tcBorders>
            <w:shd w:val="clear" w:color="auto" w:fill="auto"/>
            <w:vAlign w:val="center"/>
          </w:tcPr>
          <w:p w14:paraId="1A80D68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5</w:t>
            </w:r>
          </w:p>
        </w:tc>
        <w:tc>
          <w:tcPr>
            <w:tcW w:w="1381" w:type="dxa"/>
            <w:tcBorders>
              <w:top w:val="nil"/>
              <w:left w:val="single" w:color="000000" w:sz="4" w:space="0"/>
              <w:bottom w:val="single" w:color="000000" w:sz="4" w:space="0"/>
              <w:right w:val="single" w:color="000000" w:sz="4" w:space="0"/>
            </w:tcBorders>
            <w:shd w:val="clear" w:color="auto" w:fill="auto"/>
            <w:vAlign w:val="center"/>
          </w:tcPr>
          <w:p w14:paraId="6C98B81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6</w:t>
            </w:r>
          </w:p>
        </w:tc>
      </w:tr>
      <w:tr w14:paraId="1A237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29D2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C847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附属物及设备折旧</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C212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BAE3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0.05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7DD3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20.00</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1889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D45E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DC89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A413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756A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F3CD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r>
      <w:tr w14:paraId="21E8B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7545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1.1</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34B1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原值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5427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2524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6DCE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FEB6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7906.85</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079E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7719.06</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C883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7343.49</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6335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6967.91</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83C6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6592.33</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B77F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6216.76</w:t>
            </w:r>
          </w:p>
        </w:tc>
      </w:tr>
      <w:tr w14:paraId="0DA24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B6C3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1.2</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7425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当期折旧额</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6528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4319.12</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0BB5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60A6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6FB8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187.79</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CC6B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375.58</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DDFF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375.58</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C002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375.58</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6A20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375.58</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D974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375.58</w:t>
            </w:r>
          </w:p>
        </w:tc>
      </w:tr>
      <w:tr w14:paraId="408C8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D1D2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1.3</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AE3F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净值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DE61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CC17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B598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36C8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7719.06</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21AF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7343.49</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14D7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6967.91</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2F29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6592.33</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D010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6216.76</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6B88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5841.18</w:t>
            </w:r>
          </w:p>
        </w:tc>
      </w:tr>
      <w:tr w14:paraId="0369C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203E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AB73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折旧费</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9A9D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4319.12</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3540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94BC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0FD6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187.79</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2304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375.58</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70C2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375.58</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6B69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375.58</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BD76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375.58</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26DB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375.58</w:t>
            </w:r>
          </w:p>
        </w:tc>
      </w:tr>
      <w:tr w14:paraId="4E54D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9FA1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F67B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无形资产摊销</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E907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5D66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9EE3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C200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02F4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ABFA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ACAB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25A0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B55F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r>
      <w:tr w14:paraId="459FC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3C08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3.1</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CBB0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原值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5674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BB02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2495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4412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DF32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E6A8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7E0A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7C9C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1B2E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r>
      <w:tr w14:paraId="717967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B2E0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3.2</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5A39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当期折旧额</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12B2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4678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55C2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6E08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2604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12B4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1C6A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4FED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E961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r>
      <w:tr w14:paraId="1EE4F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EEE4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3.3</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2E27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净值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D702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3962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3291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3942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0881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2217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45FE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3B1D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AA9B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r>
    </w:tbl>
    <w:p w14:paraId="766F3955">
      <w:pPr>
        <w:rPr>
          <w:rFonts w:hint="default" w:eastAsiaTheme="minorEastAsia"/>
          <w:lang w:val="en-US" w:eastAsia="zh-CN"/>
        </w:rPr>
      </w:pPr>
      <w:r>
        <w:rPr>
          <w:rFonts w:hint="default" w:eastAsiaTheme="minorEastAsia"/>
          <w:lang w:val="en-US" w:eastAsia="zh-CN"/>
        </w:rPr>
        <w:br w:type="page"/>
      </w:r>
    </w:p>
    <w:p w14:paraId="1988BB9A">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9"/>
        <w:rPr>
          <w:rFonts w:hint="eastAsia" w:ascii="宋体" w:hAnsi="宋体" w:eastAsia="宋体" w:cs="宋体"/>
          <w:b/>
          <w:bCs/>
          <w:i w:val="0"/>
          <w:iCs w:val="0"/>
          <w:color w:val="auto"/>
          <w:kern w:val="0"/>
          <w:sz w:val="28"/>
          <w:szCs w:val="28"/>
          <w:u w:val="none"/>
          <w:lang w:val="en-US" w:eastAsia="zh-CN"/>
        </w:rPr>
      </w:pPr>
      <w:r>
        <w:rPr>
          <w:rFonts w:hint="eastAsia" w:ascii="宋体" w:hAnsi="宋体" w:eastAsia="宋体" w:cs="宋体"/>
          <w:b/>
          <w:bCs/>
          <w:i w:val="0"/>
          <w:iCs w:val="0"/>
          <w:color w:val="auto"/>
          <w:kern w:val="0"/>
          <w:sz w:val="28"/>
          <w:szCs w:val="28"/>
          <w:u w:val="none"/>
          <w:lang w:val="en-US" w:eastAsia="zh-CN"/>
        </w:rPr>
        <w:t>附表2：固定资产折旧表</w:t>
      </w:r>
    </w:p>
    <w:tbl>
      <w:tblPr>
        <w:tblStyle w:val="16"/>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2"/>
        <w:gridCol w:w="1802"/>
        <w:gridCol w:w="1272"/>
        <w:gridCol w:w="991"/>
        <w:gridCol w:w="975"/>
        <w:gridCol w:w="1368"/>
        <w:gridCol w:w="1368"/>
        <w:gridCol w:w="1368"/>
        <w:gridCol w:w="1368"/>
        <w:gridCol w:w="1368"/>
        <w:gridCol w:w="1371"/>
      </w:tblGrid>
      <w:tr w14:paraId="2915D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993" w:type="dxa"/>
            <w:gridSpan w:val="11"/>
            <w:tcBorders>
              <w:top w:val="nil"/>
              <w:left w:val="nil"/>
              <w:bottom w:val="nil"/>
              <w:right w:val="nil"/>
            </w:tcBorders>
            <w:shd w:val="clear" w:color="auto" w:fill="auto"/>
            <w:noWrap/>
            <w:vAlign w:val="center"/>
          </w:tcPr>
          <w:p w14:paraId="65318F51">
            <w:pPr>
              <w:keepNext w:val="0"/>
              <w:keepLines w:val="0"/>
              <w:pageBreakBefore w:val="0"/>
              <w:widowControl/>
              <w:suppressLineNumbers w:val="0"/>
              <w:kinsoku/>
              <w:wordWrap/>
              <w:overflowPunct/>
              <w:topLinePunct w:val="0"/>
              <w:autoSpaceDE/>
              <w:autoSpaceDN/>
              <w:bidi w:val="0"/>
              <w:adjustRightInd/>
              <w:snapToGrid/>
              <w:spacing w:line="240" w:lineRule="auto"/>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单位：万元</w:t>
            </w:r>
          </w:p>
        </w:tc>
      </w:tr>
      <w:tr w14:paraId="6DA94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42" w:type="dxa"/>
            <w:vMerge w:val="restart"/>
            <w:tcBorders>
              <w:top w:val="single" w:color="000000" w:sz="4" w:space="0"/>
              <w:left w:val="single" w:color="000000" w:sz="4" w:space="0"/>
              <w:right w:val="single" w:color="000000" w:sz="4" w:space="0"/>
            </w:tcBorders>
            <w:shd w:val="clear" w:color="auto" w:fill="auto"/>
            <w:vAlign w:val="center"/>
          </w:tcPr>
          <w:p w14:paraId="732908D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序号</w:t>
            </w:r>
          </w:p>
        </w:tc>
        <w:tc>
          <w:tcPr>
            <w:tcW w:w="1802" w:type="dxa"/>
            <w:vMerge w:val="restart"/>
            <w:tcBorders>
              <w:top w:val="single" w:color="000000" w:sz="4" w:space="0"/>
              <w:left w:val="single" w:color="000000" w:sz="4" w:space="0"/>
              <w:right w:val="single" w:color="000000" w:sz="4" w:space="0"/>
            </w:tcBorders>
            <w:shd w:val="clear" w:color="auto" w:fill="auto"/>
            <w:vAlign w:val="center"/>
          </w:tcPr>
          <w:p w14:paraId="2FFB4E1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项目</w:t>
            </w:r>
          </w:p>
        </w:tc>
        <w:tc>
          <w:tcPr>
            <w:tcW w:w="1272" w:type="dxa"/>
            <w:vMerge w:val="restart"/>
            <w:tcBorders>
              <w:top w:val="single" w:color="000000" w:sz="4" w:space="0"/>
              <w:left w:val="single" w:color="000000" w:sz="4" w:space="0"/>
              <w:right w:val="single" w:color="000000" w:sz="4" w:space="0"/>
            </w:tcBorders>
            <w:shd w:val="clear" w:color="auto" w:fill="auto"/>
            <w:vAlign w:val="center"/>
          </w:tcPr>
          <w:p w14:paraId="0908CE3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合计</w:t>
            </w:r>
          </w:p>
        </w:tc>
        <w:tc>
          <w:tcPr>
            <w:tcW w:w="991" w:type="dxa"/>
            <w:vMerge w:val="restart"/>
            <w:tcBorders>
              <w:top w:val="single" w:color="000000" w:sz="4" w:space="0"/>
              <w:left w:val="single" w:color="000000" w:sz="4" w:space="0"/>
              <w:right w:val="single" w:color="000000" w:sz="4" w:space="0"/>
            </w:tcBorders>
            <w:shd w:val="clear" w:color="auto" w:fill="auto"/>
            <w:vAlign w:val="center"/>
          </w:tcPr>
          <w:p w14:paraId="3B8A3F5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残值率</w:t>
            </w:r>
          </w:p>
        </w:tc>
        <w:tc>
          <w:tcPr>
            <w:tcW w:w="975" w:type="dxa"/>
            <w:vMerge w:val="restart"/>
            <w:tcBorders>
              <w:top w:val="single" w:color="000000" w:sz="4" w:space="0"/>
              <w:left w:val="single" w:color="000000" w:sz="4" w:space="0"/>
              <w:right w:val="single" w:color="000000" w:sz="4" w:space="0"/>
            </w:tcBorders>
            <w:shd w:val="clear" w:color="auto" w:fill="auto"/>
            <w:vAlign w:val="center"/>
          </w:tcPr>
          <w:p w14:paraId="715DBC5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折旧年限</w:t>
            </w:r>
          </w:p>
        </w:tc>
        <w:tc>
          <w:tcPr>
            <w:tcW w:w="8211"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B704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运营期</w:t>
            </w:r>
          </w:p>
        </w:tc>
      </w:tr>
      <w:tr w14:paraId="16901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742" w:type="dxa"/>
            <w:vMerge w:val="continue"/>
            <w:tcBorders>
              <w:left w:val="single" w:color="000000" w:sz="4" w:space="0"/>
              <w:bottom w:val="single" w:color="000000" w:sz="4" w:space="0"/>
              <w:right w:val="single" w:color="000000" w:sz="4" w:space="0"/>
            </w:tcBorders>
            <w:shd w:val="clear" w:color="auto" w:fill="auto"/>
            <w:vAlign w:val="center"/>
          </w:tcPr>
          <w:p w14:paraId="1167DBC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i w:val="0"/>
                <w:iCs w:val="0"/>
                <w:color w:val="000000"/>
                <w:kern w:val="0"/>
                <w:sz w:val="18"/>
                <w:szCs w:val="18"/>
                <w:u w:val="none"/>
                <w:lang w:val="en-US" w:eastAsia="zh-CN" w:bidi="ar"/>
              </w:rPr>
            </w:pPr>
          </w:p>
        </w:tc>
        <w:tc>
          <w:tcPr>
            <w:tcW w:w="1802" w:type="dxa"/>
            <w:vMerge w:val="continue"/>
            <w:tcBorders>
              <w:left w:val="single" w:color="000000" w:sz="4" w:space="0"/>
              <w:bottom w:val="single" w:color="000000" w:sz="4" w:space="0"/>
              <w:right w:val="single" w:color="000000" w:sz="4" w:space="0"/>
            </w:tcBorders>
            <w:shd w:val="clear" w:color="auto" w:fill="auto"/>
            <w:vAlign w:val="center"/>
          </w:tcPr>
          <w:p w14:paraId="318D225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i w:val="0"/>
                <w:iCs w:val="0"/>
                <w:color w:val="000000"/>
                <w:kern w:val="0"/>
                <w:sz w:val="18"/>
                <w:szCs w:val="18"/>
                <w:u w:val="none"/>
                <w:lang w:val="en-US" w:eastAsia="zh-CN" w:bidi="ar"/>
              </w:rPr>
            </w:pPr>
          </w:p>
        </w:tc>
        <w:tc>
          <w:tcPr>
            <w:tcW w:w="1272" w:type="dxa"/>
            <w:vMerge w:val="continue"/>
            <w:tcBorders>
              <w:left w:val="single" w:color="000000" w:sz="4" w:space="0"/>
              <w:bottom w:val="single" w:color="000000" w:sz="4" w:space="0"/>
              <w:right w:val="single" w:color="000000" w:sz="4" w:space="0"/>
            </w:tcBorders>
            <w:shd w:val="clear" w:color="auto" w:fill="auto"/>
            <w:vAlign w:val="center"/>
          </w:tcPr>
          <w:p w14:paraId="154608A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i w:val="0"/>
                <w:iCs w:val="0"/>
                <w:color w:val="000000"/>
                <w:kern w:val="0"/>
                <w:sz w:val="18"/>
                <w:szCs w:val="18"/>
                <w:u w:val="none"/>
                <w:lang w:val="en-US" w:eastAsia="zh-CN" w:bidi="ar"/>
              </w:rPr>
            </w:pPr>
          </w:p>
        </w:tc>
        <w:tc>
          <w:tcPr>
            <w:tcW w:w="991" w:type="dxa"/>
            <w:vMerge w:val="continue"/>
            <w:tcBorders>
              <w:left w:val="single" w:color="000000" w:sz="4" w:space="0"/>
              <w:bottom w:val="single" w:color="000000" w:sz="4" w:space="0"/>
              <w:right w:val="single" w:color="000000" w:sz="4" w:space="0"/>
            </w:tcBorders>
            <w:shd w:val="clear" w:color="auto" w:fill="auto"/>
            <w:vAlign w:val="center"/>
          </w:tcPr>
          <w:p w14:paraId="28F5209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i w:val="0"/>
                <w:iCs w:val="0"/>
                <w:color w:val="000000"/>
                <w:kern w:val="0"/>
                <w:sz w:val="18"/>
                <w:szCs w:val="18"/>
                <w:u w:val="none"/>
                <w:lang w:val="en-US" w:eastAsia="zh-CN" w:bidi="ar"/>
              </w:rPr>
            </w:pPr>
          </w:p>
        </w:tc>
        <w:tc>
          <w:tcPr>
            <w:tcW w:w="975" w:type="dxa"/>
            <w:vMerge w:val="continue"/>
            <w:tcBorders>
              <w:left w:val="single" w:color="000000" w:sz="4" w:space="0"/>
              <w:bottom w:val="single" w:color="000000" w:sz="4" w:space="0"/>
              <w:right w:val="single" w:color="000000" w:sz="4" w:space="0"/>
            </w:tcBorders>
            <w:shd w:val="clear" w:color="auto" w:fill="auto"/>
            <w:vAlign w:val="center"/>
          </w:tcPr>
          <w:p w14:paraId="1D962E9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i w:val="0"/>
                <w:iCs w:val="0"/>
                <w:color w:val="000000"/>
                <w:kern w:val="0"/>
                <w:sz w:val="18"/>
                <w:szCs w:val="18"/>
                <w:u w:val="none"/>
                <w:lang w:val="en-US" w:eastAsia="zh-CN" w:bidi="ar"/>
              </w:rPr>
            </w:pPr>
          </w:p>
        </w:tc>
        <w:tc>
          <w:tcPr>
            <w:tcW w:w="1368" w:type="dxa"/>
            <w:tcBorders>
              <w:top w:val="nil"/>
              <w:left w:val="single" w:color="000000" w:sz="4" w:space="0"/>
              <w:bottom w:val="single" w:color="000000" w:sz="4" w:space="0"/>
              <w:right w:val="single" w:color="000000" w:sz="4" w:space="0"/>
            </w:tcBorders>
            <w:shd w:val="clear" w:color="auto" w:fill="auto"/>
            <w:vAlign w:val="center"/>
          </w:tcPr>
          <w:p w14:paraId="1633C69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7</w:t>
            </w:r>
          </w:p>
        </w:tc>
        <w:tc>
          <w:tcPr>
            <w:tcW w:w="1368" w:type="dxa"/>
            <w:tcBorders>
              <w:top w:val="nil"/>
              <w:left w:val="single" w:color="000000" w:sz="4" w:space="0"/>
              <w:bottom w:val="single" w:color="000000" w:sz="4" w:space="0"/>
              <w:right w:val="single" w:color="000000" w:sz="4" w:space="0"/>
            </w:tcBorders>
            <w:shd w:val="clear" w:color="auto" w:fill="auto"/>
            <w:vAlign w:val="center"/>
          </w:tcPr>
          <w:p w14:paraId="0CEFEBA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8</w:t>
            </w:r>
          </w:p>
        </w:tc>
        <w:tc>
          <w:tcPr>
            <w:tcW w:w="1368" w:type="dxa"/>
            <w:tcBorders>
              <w:top w:val="nil"/>
              <w:left w:val="single" w:color="000000" w:sz="4" w:space="0"/>
              <w:bottom w:val="single" w:color="000000" w:sz="4" w:space="0"/>
              <w:right w:val="single" w:color="000000" w:sz="4" w:space="0"/>
            </w:tcBorders>
            <w:shd w:val="clear" w:color="auto" w:fill="auto"/>
            <w:vAlign w:val="center"/>
          </w:tcPr>
          <w:p w14:paraId="4706188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9</w:t>
            </w:r>
          </w:p>
        </w:tc>
        <w:tc>
          <w:tcPr>
            <w:tcW w:w="1368" w:type="dxa"/>
            <w:tcBorders>
              <w:top w:val="nil"/>
              <w:left w:val="single" w:color="000000" w:sz="4" w:space="0"/>
              <w:bottom w:val="single" w:color="000000" w:sz="4" w:space="0"/>
              <w:right w:val="single" w:color="000000" w:sz="4" w:space="0"/>
            </w:tcBorders>
            <w:shd w:val="clear" w:color="auto" w:fill="auto"/>
            <w:vAlign w:val="center"/>
          </w:tcPr>
          <w:p w14:paraId="191B78E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10</w:t>
            </w:r>
          </w:p>
        </w:tc>
        <w:tc>
          <w:tcPr>
            <w:tcW w:w="1368" w:type="dxa"/>
            <w:tcBorders>
              <w:top w:val="nil"/>
              <w:left w:val="single" w:color="000000" w:sz="4" w:space="0"/>
              <w:bottom w:val="single" w:color="000000" w:sz="4" w:space="0"/>
              <w:right w:val="single" w:color="000000" w:sz="4" w:space="0"/>
            </w:tcBorders>
            <w:shd w:val="clear" w:color="auto" w:fill="auto"/>
            <w:vAlign w:val="center"/>
          </w:tcPr>
          <w:p w14:paraId="627289E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11</w:t>
            </w:r>
          </w:p>
        </w:tc>
        <w:tc>
          <w:tcPr>
            <w:tcW w:w="1371" w:type="dxa"/>
            <w:tcBorders>
              <w:top w:val="nil"/>
              <w:left w:val="single" w:color="000000" w:sz="4" w:space="0"/>
              <w:bottom w:val="single" w:color="000000" w:sz="4" w:space="0"/>
              <w:right w:val="single" w:color="000000" w:sz="4" w:space="0"/>
            </w:tcBorders>
            <w:shd w:val="clear" w:color="auto" w:fill="auto"/>
            <w:vAlign w:val="center"/>
          </w:tcPr>
          <w:p w14:paraId="47501C5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12</w:t>
            </w:r>
          </w:p>
        </w:tc>
      </w:tr>
      <w:tr w14:paraId="05708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AC056">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02D4F">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附属物及设备折旧</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B10DA">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4A233">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0.05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9CD36">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20.00</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C580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7F02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2D3C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CEC6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57B7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00A2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r>
      <w:tr w14:paraId="021E3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A730E">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1.1</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2C283">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原值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5D741">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327A6">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345B8">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957C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5841.18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C0BE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5465.61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D427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5090.03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1A27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4714.46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87F5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4338.88</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75EE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3963.31</w:t>
            </w:r>
          </w:p>
        </w:tc>
      </w:tr>
      <w:tr w14:paraId="3E018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BF48F">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1.2</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FD421">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当期折旧额</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96DA4">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4319.12</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61757">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3EAEC">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DA51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375.58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6BE8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375.58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799B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375.58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C128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375.58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1DDF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375.58</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FE16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375.58</w:t>
            </w:r>
          </w:p>
        </w:tc>
      </w:tr>
      <w:tr w14:paraId="3E02E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E56DA">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1.3</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BAE1E">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净值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BB5E0">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8077E">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8ABCF">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0BE6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5465.61</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CD6D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5090.03</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258E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4714.46</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7D34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4338.88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CF20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3963.31</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448E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3587.73</w:t>
            </w:r>
          </w:p>
        </w:tc>
      </w:tr>
      <w:tr w14:paraId="301F3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BAF6B">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BFA4E">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折旧费</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C917C">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4319.12</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CC687">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8EE58">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E56D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375.58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6957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375.58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EBA5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375.58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05B3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375.58</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CF0A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375.58</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B603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375.58</w:t>
            </w:r>
          </w:p>
        </w:tc>
      </w:tr>
      <w:tr w14:paraId="6E37B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ADC72">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4868A">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无形资产摊销</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1BB18">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0D390">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13B79">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B59B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7333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5E73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344B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132E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F34E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r>
      <w:tr w14:paraId="6A4B0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C9527">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3.1</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ED4A2">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原值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05477">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AB4C9">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F780B">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DB23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D21F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AD20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5501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512F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B629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r>
      <w:tr w14:paraId="421E4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38FD6">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3.2</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89C42">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当期折旧额</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6DD9F">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A1FF1">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0E509">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BFC0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5B66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248B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3BBB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B90E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2B64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r>
      <w:tr w14:paraId="61636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15532">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3.3</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2DC7E">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净值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1AD80">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93A9D">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79BA6">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99F9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3DFE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B412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B656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FCF9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A535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r>
    </w:tbl>
    <w:p w14:paraId="64DD0D3A">
      <w:pPr>
        <w:ind w:left="0" w:leftChars="0" w:firstLine="0" w:firstLineChars="0"/>
        <w:rPr>
          <w:rFonts w:hint="default" w:eastAsiaTheme="minorEastAsia"/>
          <w:lang w:val="en-US" w:eastAsia="zh-CN"/>
        </w:rPr>
      </w:pPr>
      <w:r>
        <w:rPr>
          <w:rFonts w:hint="default" w:eastAsiaTheme="minorEastAsia"/>
          <w:lang w:val="en-US" w:eastAsia="zh-CN"/>
        </w:rPr>
        <w:br w:type="page"/>
      </w:r>
    </w:p>
    <w:p w14:paraId="2F7A497B">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0"/>
        <w:rPr>
          <w:rFonts w:hint="eastAsia" w:ascii="宋体" w:hAnsi="宋体" w:eastAsia="宋体" w:cs="宋体"/>
          <w:b/>
          <w:bCs/>
          <w:i w:val="0"/>
          <w:iCs w:val="0"/>
          <w:color w:val="auto"/>
          <w:kern w:val="0"/>
          <w:sz w:val="28"/>
          <w:szCs w:val="28"/>
          <w:u w:val="none"/>
          <w:lang w:val="en-US" w:eastAsia="zh-CN"/>
        </w:rPr>
      </w:pPr>
      <w:bookmarkStart w:id="139" w:name="_Toc10373"/>
      <w:bookmarkStart w:id="140" w:name="_Toc614"/>
      <w:bookmarkStart w:id="141" w:name="_Toc16695"/>
      <w:r>
        <w:rPr>
          <w:rFonts w:hint="eastAsia" w:ascii="宋体" w:hAnsi="宋体" w:eastAsia="宋体" w:cs="宋体"/>
          <w:b/>
          <w:bCs/>
          <w:i w:val="0"/>
          <w:iCs w:val="0"/>
          <w:color w:val="auto"/>
          <w:kern w:val="0"/>
          <w:sz w:val="28"/>
          <w:szCs w:val="28"/>
          <w:u w:val="none"/>
          <w:lang w:val="en-US" w:eastAsia="zh-CN"/>
        </w:rPr>
        <w:t>附表3：营业收入及税金表</w:t>
      </w:r>
      <w:bookmarkEnd w:id="139"/>
      <w:bookmarkEnd w:id="140"/>
      <w:bookmarkEnd w:id="141"/>
    </w:p>
    <w:tbl>
      <w:tblPr>
        <w:tblStyle w:val="16"/>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7"/>
        <w:gridCol w:w="2295"/>
        <w:gridCol w:w="1170"/>
        <w:gridCol w:w="1593"/>
        <w:gridCol w:w="1593"/>
        <w:gridCol w:w="1593"/>
        <w:gridCol w:w="1593"/>
        <w:gridCol w:w="1593"/>
        <w:gridCol w:w="1596"/>
      </w:tblGrid>
      <w:tr w14:paraId="440C9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tblHeader/>
        </w:trPr>
        <w:tc>
          <w:tcPr>
            <w:tcW w:w="13993" w:type="dxa"/>
            <w:gridSpan w:val="9"/>
            <w:tcBorders>
              <w:top w:val="nil"/>
              <w:left w:val="nil"/>
              <w:bottom w:val="nil"/>
              <w:right w:val="nil"/>
            </w:tcBorders>
            <w:shd w:val="clear" w:color="auto" w:fill="auto"/>
            <w:noWrap/>
            <w:vAlign w:val="center"/>
          </w:tcPr>
          <w:p w14:paraId="49FAE091">
            <w:pPr>
              <w:keepNext w:val="0"/>
              <w:keepLines w:val="0"/>
              <w:pageBreakBefore w:val="0"/>
              <w:widowControl/>
              <w:suppressLineNumbers w:val="0"/>
              <w:kinsoku/>
              <w:wordWrap/>
              <w:overflowPunct/>
              <w:topLinePunct w:val="0"/>
              <w:autoSpaceDE/>
              <w:autoSpaceDN/>
              <w:bidi w:val="0"/>
              <w:adjustRightInd/>
              <w:snapToGrid/>
              <w:spacing w:line="240" w:lineRule="auto"/>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单位：万元</w:t>
            </w:r>
          </w:p>
        </w:tc>
      </w:tr>
      <w:tr w14:paraId="6FDD7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blHeader/>
        </w:trPr>
        <w:tc>
          <w:tcPr>
            <w:tcW w:w="9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940DB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序号</w:t>
            </w:r>
          </w:p>
        </w:tc>
        <w:tc>
          <w:tcPr>
            <w:tcW w:w="22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64889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项目</w:t>
            </w:r>
          </w:p>
        </w:tc>
        <w:tc>
          <w:tcPr>
            <w:tcW w:w="11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E2E66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合计</w:t>
            </w:r>
          </w:p>
        </w:tc>
        <w:tc>
          <w:tcPr>
            <w:tcW w:w="956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35A998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计算期</w:t>
            </w:r>
          </w:p>
        </w:tc>
      </w:tr>
      <w:tr w14:paraId="0B5B6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blHeader/>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8AE87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p>
        </w:tc>
        <w:tc>
          <w:tcPr>
            <w:tcW w:w="22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210BD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DA12E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92FE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default" w:ascii="宋体" w:hAnsi="宋体" w:eastAsia="宋体" w:cs="宋体"/>
                <w:b/>
                <w:bCs/>
                <w:i w:val="0"/>
                <w:iCs w:val="0"/>
                <w:color w:val="000000"/>
                <w:kern w:val="0"/>
                <w:sz w:val="18"/>
                <w:szCs w:val="18"/>
                <w:u w:val="none"/>
                <w:lang w:val="en-US" w:eastAsia="zh-CN" w:bidi="ar"/>
              </w:rPr>
            </w:pPr>
            <w:r>
              <w:rPr>
                <w:rFonts w:hint="eastAsia" w:ascii="宋体" w:hAnsi="宋体" w:cs="宋体"/>
                <w:b/>
                <w:bCs/>
                <w:i w:val="0"/>
                <w:iCs w:val="0"/>
                <w:color w:val="000000"/>
                <w:kern w:val="0"/>
                <w:sz w:val="18"/>
                <w:szCs w:val="18"/>
                <w:u w:val="none"/>
                <w:lang w:val="en-US" w:eastAsia="zh-CN" w:bidi="ar"/>
              </w:rPr>
              <w:t>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4718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default" w:ascii="宋体" w:hAnsi="宋体" w:eastAsia="宋体" w:cs="宋体"/>
                <w:b/>
                <w:bCs/>
                <w:i w:val="0"/>
                <w:iCs w:val="0"/>
                <w:color w:val="000000"/>
                <w:kern w:val="0"/>
                <w:sz w:val="18"/>
                <w:szCs w:val="18"/>
                <w:u w:val="none"/>
                <w:lang w:val="en-US" w:eastAsia="zh-CN" w:bidi="ar"/>
              </w:rPr>
            </w:pPr>
            <w:r>
              <w:rPr>
                <w:rFonts w:hint="eastAsia" w:ascii="宋体" w:hAnsi="宋体" w:cs="宋体"/>
                <w:b/>
                <w:bCs/>
                <w:i w:val="0"/>
                <w:iCs w:val="0"/>
                <w:color w:val="000000"/>
                <w:kern w:val="0"/>
                <w:sz w:val="18"/>
                <w:szCs w:val="18"/>
                <w:u w:val="none"/>
                <w:lang w:val="en-US" w:eastAsia="zh-CN" w:bidi="ar"/>
              </w:rPr>
              <w:t>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DE72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F1FC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FCDC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B1C2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6</w:t>
            </w:r>
          </w:p>
        </w:tc>
      </w:tr>
      <w:tr w14:paraId="06743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7C538">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74BBE">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营业收入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2DB4A">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13738.01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C960E">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615.45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208CC">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1232.78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4EF99">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1234.67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13429">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1236.58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436D9">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1238.49</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12A37">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1238.65</w:t>
            </w:r>
          </w:p>
        </w:tc>
      </w:tr>
      <w:tr w14:paraId="173B8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5CCB7">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4B3CE">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光伏收入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DB1BB">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4351.77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77131">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202.61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C51AD">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403.59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09428">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401.98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1E907">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400.37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9D513">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398.77</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E1299">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397.17</w:t>
            </w:r>
          </w:p>
        </w:tc>
      </w:tr>
      <w:tr w14:paraId="1429C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8BD7F">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1.1.1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82E33">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装机容量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857DF">
            <w:pPr>
              <w:jc w:val="center"/>
              <w:rPr>
                <w:rFonts w:hint="eastAsia" w:ascii="宋体" w:hAnsi="宋体" w:eastAsia="宋体" w:cs="宋体"/>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E8095">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5896.44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EA830">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5872.85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CB8EE">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5849.36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95F35">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5825.97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B2AA3">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5802.66</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D8C91">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5779.45</w:t>
            </w:r>
          </w:p>
        </w:tc>
      </w:tr>
      <w:tr w14:paraId="71524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E160A">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1.1.2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2ECDA">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衰减值</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66C4F">
            <w:pPr>
              <w:jc w:val="center"/>
              <w:rPr>
                <w:rFonts w:hint="eastAsia" w:ascii="宋体" w:hAnsi="宋体" w:eastAsia="宋体" w:cs="宋体"/>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13962">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B868F">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F7C3C">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F49F4">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11777">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0.40%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2630D">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0.40%</w:t>
            </w:r>
          </w:p>
        </w:tc>
      </w:tr>
      <w:tr w14:paraId="1C49D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BAF01">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1.1.3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055F8">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1KW 光伏装机容量平均日发电量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C7A02">
            <w:pPr>
              <w:jc w:val="center"/>
              <w:rPr>
                <w:rFonts w:hint="eastAsia" w:ascii="宋体" w:hAnsi="宋体" w:eastAsia="宋体" w:cs="宋体"/>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7539B">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46C61">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5CABE">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65A67">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5FF0B">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3.35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89C73">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3.35</w:t>
            </w:r>
          </w:p>
        </w:tc>
      </w:tr>
      <w:tr w14:paraId="3D0C0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169D7">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1.1.4</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D2818">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年发电天数</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29DC6">
            <w:pPr>
              <w:jc w:val="center"/>
              <w:rPr>
                <w:rFonts w:hint="eastAsia" w:ascii="宋体" w:hAnsi="宋体" w:eastAsia="宋体" w:cs="宋体"/>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38772">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180.00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1AD6A">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5A26D">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1CB4B">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1E14E">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360.00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57908">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360.00</w:t>
            </w:r>
          </w:p>
        </w:tc>
      </w:tr>
      <w:tr w14:paraId="17949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F7888">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1.1.5</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163CF">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工商业用电平均电价</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C8F58">
            <w:pPr>
              <w:jc w:val="center"/>
              <w:rPr>
                <w:rFonts w:hint="eastAsia" w:ascii="宋体" w:hAnsi="宋体" w:eastAsia="宋体" w:cs="宋体"/>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557C3">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FEDB1">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A39B3">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A8DF9">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327B2">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0.57</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C711E">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0.57</w:t>
            </w:r>
          </w:p>
        </w:tc>
      </w:tr>
      <w:tr w14:paraId="0E853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84B71">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B37FF">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储能收入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EDF58">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9451.58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98C85">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404.06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9B5D5">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808.13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3876F">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808.13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BED8B">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808.13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80BF8">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808.13</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BB3F1">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808.13</w:t>
            </w:r>
          </w:p>
        </w:tc>
      </w:tr>
      <w:tr w14:paraId="73A77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6EBB1">
            <w:pPr>
              <w:keepNext w:val="0"/>
              <w:keepLines w:val="0"/>
              <w:widowControl/>
              <w:suppressLineNumbers w:val="0"/>
              <w:jc w:val="center"/>
              <w:textAlignment w:val="top"/>
              <w:rPr>
                <w:rFonts w:hint="eastAsia" w:ascii="宋体" w:hAnsi="宋体" w:eastAsia="宋体" w:cs="宋体"/>
                <w:b w:val="0"/>
                <w:bCs w:val="0"/>
                <w:i w:val="0"/>
                <w:iCs w:val="0"/>
                <w:color w:val="000000"/>
                <w:kern w:val="0"/>
                <w:sz w:val="18"/>
                <w:szCs w:val="18"/>
                <w:u w:val="none"/>
                <w:lang w:val="en-US" w:eastAsia="zh-CN" w:bidi="ar"/>
              </w:rPr>
            </w:pPr>
            <w:r>
              <w:rPr>
                <w:rFonts w:hint="eastAsia" w:ascii="宋体" w:hAnsi="宋体" w:eastAsia="宋体" w:cs="宋体"/>
                <w:b w:val="0"/>
                <w:bCs w:val="0"/>
                <w:i w:val="0"/>
                <w:iCs w:val="0"/>
                <w:snapToGrid w:val="0"/>
                <w:color w:val="000000"/>
                <w:kern w:val="0"/>
                <w:sz w:val="18"/>
                <w:szCs w:val="18"/>
                <w:u w:val="none"/>
                <w:lang w:val="en-US" w:eastAsia="zh-CN" w:bidi="ar"/>
              </w:rPr>
              <w:t>1.2.1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8F96F">
            <w:pPr>
              <w:keepNext w:val="0"/>
              <w:keepLines w:val="0"/>
              <w:widowControl/>
              <w:suppressLineNumbers w:val="0"/>
              <w:jc w:val="center"/>
              <w:textAlignment w:val="top"/>
              <w:rPr>
                <w:rFonts w:hint="eastAsia" w:ascii="宋体" w:hAnsi="宋体" w:eastAsia="宋体" w:cs="宋体"/>
                <w:b w:val="0"/>
                <w:bCs w:val="0"/>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峰谷价差加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E4BDF">
            <w:pPr>
              <w:jc w:val="center"/>
              <w:rPr>
                <w:rFonts w:hint="eastAsia" w:ascii="宋体" w:hAnsi="宋体" w:eastAsia="宋体" w:cs="宋体"/>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AC7A6">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A3A2D">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816F5">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99AC6">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03468">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0.61</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0FDEC">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0.61</w:t>
            </w:r>
          </w:p>
        </w:tc>
      </w:tr>
      <w:tr w14:paraId="0A793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BF4EA">
            <w:pPr>
              <w:keepNext w:val="0"/>
              <w:keepLines w:val="0"/>
              <w:widowControl/>
              <w:suppressLineNumbers w:val="0"/>
              <w:jc w:val="center"/>
              <w:textAlignment w:val="top"/>
              <w:rPr>
                <w:rFonts w:hint="eastAsia" w:ascii="宋体" w:hAnsi="宋体" w:eastAsia="宋体" w:cs="宋体"/>
                <w:b w:val="0"/>
                <w:bCs w:val="0"/>
                <w:i w:val="0"/>
                <w:iCs w:val="0"/>
                <w:color w:val="000000"/>
                <w:kern w:val="0"/>
                <w:sz w:val="18"/>
                <w:szCs w:val="18"/>
                <w:u w:val="none"/>
                <w:lang w:val="en-US" w:eastAsia="zh-CN" w:bidi="ar"/>
              </w:rPr>
            </w:pPr>
            <w:r>
              <w:rPr>
                <w:rFonts w:hint="eastAsia" w:ascii="宋体" w:hAnsi="宋体" w:eastAsia="宋体" w:cs="宋体"/>
                <w:b w:val="0"/>
                <w:bCs w:val="0"/>
                <w:i w:val="0"/>
                <w:iCs w:val="0"/>
                <w:snapToGrid w:val="0"/>
                <w:color w:val="000000"/>
                <w:kern w:val="0"/>
                <w:sz w:val="18"/>
                <w:szCs w:val="18"/>
                <w:u w:val="none"/>
                <w:lang w:val="en-US" w:eastAsia="zh-CN" w:bidi="ar"/>
              </w:rPr>
              <w:t>1.2.2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3FC4F">
            <w:pPr>
              <w:keepNext w:val="0"/>
              <w:keepLines w:val="0"/>
              <w:widowControl/>
              <w:suppressLineNumbers w:val="0"/>
              <w:jc w:val="center"/>
              <w:textAlignment w:val="top"/>
              <w:rPr>
                <w:rFonts w:hint="eastAsia" w:ascii="宋体" w:hAnsi="宋体" w:eastAsia="宋体" w:cs="宋体"/>
                <w:b w:val="0"/>
                <w:bCs w:val="0"/>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360天一充一放扣能耗（万kwh/n)</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B73BB">
            <w:pPr>
              <w:jc w:val="center"/>
              <w:rPr>
                <w:rFonts w:hint="eastAsia" w:ascii="宋体" w:hAnsi="宋体" w:eastAsia="宋体" w:cs="宋体"/>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04609">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36800.00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E3E39">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36800.00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A667E">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36800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461C2">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36800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3F585">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36800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906FB">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36800</w:t>
            </w:r>
          </w:p>
        </w:tc>
      </w:tr>
      <w:tr w14:paraId="55201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C91A5">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0167B">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600kw充电桩收入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843AC">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347.49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92335">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8.78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9F2CD">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21.06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E253A">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24.57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052BA">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28.08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183F1">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31.59</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EDF4B">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33.35</w:t>
            </w:r>
          </w:p>
        </w:tc>
      </w:tr>
      <w:tr w14:paraId="6A3EE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CDB89">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1.3.1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6DA76">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充电桩数量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D8D46">
            <w:pPr>
              <w:jc w:val="center"/>
              <w:rPr>
                <w:rFonts w:hint="eastAsia" w:ascii="宋体" w:hAnsi="宋体" w:eastAsia="宋体" w:cs="宋体"/>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C3DA6">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393D5">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C656C">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E9E45">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94EF3">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0B9A4">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5.00</w:t>
            </w:r>
          </w:p>
        </w:tc>
      </w:tr>
      <w:tr w14:paraId="7ECEC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B667E">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1.3.2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179BB">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充电使用率</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7F897">
            <w:pPr>
              <w:jc w:val="center"/>
              <w:rPr>
                <w:rFonts w:hint="eastAsia" w:ascii="宋体" w:hAnsi="宋体" w:eastAsia="宋体" w:cs="宋体"/>
                <w:b/>
                <w:bCs/>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A2B72">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F7260">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035A8">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06124">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80.00%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FFE73">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90.00%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946AB">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95.00%</w:t>
            </w:r>
          </w:p>
        </w:tc>
      </w:tr>
      <w:tr w14:paraId="48F5A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AAB56">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1.3.3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343EA">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收费标准</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5214C">
            <w:pPr>
              <w:jc w:val="center"/>
              <w:rPr>
                <w:rFonts w:hint="eastAsia" w:ascii="宋体" w:hAnsi="宋体" w:eastAsia="宋体" w:cs="宋体"/>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DAC33">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ADA4B">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C195F">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A9884">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F6D23">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0.65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34668">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0.65</w:t>
            </w:r>
          </w:p>
        </w:tc>
      </w:tr>
      <w:tr w14:paraId="75CE3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AD34C">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1.3.4</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0330C">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充电桩每小时充电量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B009F">
            <w:pPr>
              <w:jc w:val="center"/>
              <w:rPr>
                <w:rFonts w:hint="eastAsia" w:ascii="宋体" w:hAnsi="宋体" w:eastAsia="宋体" w:cs="宋体"/>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FAE50">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99328">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8A51F">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6EB50">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D9A5F">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600.00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3FEC8">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600.00</w:t>
            </w:r>
          </w:p>
        </w:tc>
      </w:tr>
      <w:tr w14:paraId="2458B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8DBE7">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1.3.5</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4097F">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充电小时数</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E56A5">
            <w:pPr>
              <w:jc w:val="center"/>
              <w:rPr>
                <w:rFonts w:hint="eastAsia" w:ascii="宋体" w:hAnsi="宋体" w:eastAsia="宋体" w:cs="宋体"/>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36652">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647E6">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9FD0F">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448A4">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95A5D">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0.50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70CB3">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0.50</w:t>
            </w:r>
          </w:p>
        </w:tc>
      </w:tr>
      <w:tr w14:paraId="068BC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577E1">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1.3.6</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67EC6">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年运营时间</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8F220">
            <w:pPr>
              <w:jc w:val="center"/>
              <w:rPr>
                <w:rFonts w:hint="eastAsia" w:ascii="宋体" w:hAnsi="宋体" w:eastAsia="宋体" w:cs="宋体"/>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05EBA">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180.00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C75E3">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0F5AD">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BE600">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9A382">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360.00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65448">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360.00</w:t>
            </w:r>
          </w:p>
        </w:tc>
      </w:tr>
      <w:tr w14:paraId="2E3BA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D14ED">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64BAD">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营业税金与附加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73EC3">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176.20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D66BC">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7.58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582FF">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15.16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5ABC0">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15.17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B499F">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15.18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943B4">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15.19</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88B11">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15.19</w:t>
            </w:r>
          </w:p>
        </w:tc>
      </w:tr>
      <w:tr w14:paraId="3659A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53B0D">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4F31B">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营业税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79A59">
            <w:pPr>
              <w:jc w:val="center"/>
              <w:rPr>
                <w:rFonts w:hint="eastAsia" w:ascii="宋体" w:hAnsi="宋体" w:eastAsia="宋体" w:cs="宋体"/>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70582">
            <w:pPr>
              <w:jc w:val="center"/>
              <w:rPr>
                <w:rFonts w:hint="eastAsia" w:ascii="宋体" w:hAnsi="宋体" w:eastAsia="宋体" w:cs="宋体"/>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01371">
            <w:pPr>
              <w:jc w:val="center"/>
              <w:rPr>
                <w:rFonts w:hint="eastAsia" w:ascii="宋体" w:hAnsi="宋体" w:eastAsia="宋体" w:cs="宋体"/>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DBFE9">
            <w:pPr>
              <w:jc w:val="center"/>
              <w:rPr>
                <w:rFonts w:hint="eastAsia" w:ascii="宋体" w:hAnsi="宋体" w:eastAsia="宋体" w:cs="宋体"/>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C25B3">
            <w:pPr>
              <w:jc w:val="center"/>
              <w:rPr>
                <w:rFonts w:hint="eastAsia" w:ascii="宋体" w:hAnsi="宋体" w:eastAsia="宋体" w:cs="宋体"/>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E28D5">
            <w:pPr>
              <w:jc w:val="center"/>
              <w:rPr>
                <w:rFonts w:hint="eastAsia" w:ascii="宋体" w:hAnsi="宋体" w:eastAsia="宋体" w:cs="宋体"/>
                <w:i w:val="0"/>
                <w:iCs w:val="0"/>
                <w:color w:val="000000"/>
                <w:kern w:val="0"/>
                <w:sz w:val="18"/>
                <w:szCs w:val="18"/>
                <w:u w:val="none"/>
                <w:lang w:val="en-US" w:eastAsia="zh-CN" w:bidi="ar"/>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D3D8A">
            <w:pPr>
              <w:jc w:val="center"/>
              <w:rPr>
                <w:rFonts w:hint="eastAsia" w:ascii="宋体" w:hAnsi="宋体" w:eastAsia="宋体" w:cs="宋体"/>
                <w:i w:val="0"/>
                <w:iCs w:val="0"/>
                <w:color w:val="000000"/>
                <w:kern w:val="0"/>
                <w:sz w:val="18"/>
                <w:szCs w:val="18"/>
                <w:u w:val="none"/>
                <w:lang w:val="en-US" w:eastAsia="zh-CN" w:bidi="ar"/>
              </w:rPr>
            </w:pPr>
          </w:p>
        </w:tc>
      </w:tr>
      <w:tr w14:paraId="3CBB8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AA0F8">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65162">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消费税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EC244">
            <w:pPr>
              <w:jc w:val="center"/>
              <w:rPr>
                <w:rFonts w:hint="eastAsia" w:ascii="宋体" w:hAnsi="宋体" w:eastAsia="宋体" w:cs="宋体"/>
                <w:b/>
                <w:bCs/>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DFC86">
            <w:pPr>
              <w:jc w:val="center"/>
              <w:rPr>
                <w:rFonts w:hint="eastAsia" w:ascii="宋体" w:hAnsi="宋体" w:eastAsia="宋体" w:cs="宋体"/>
                <w:b/>
                <w:bCs/>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4E86F">
            <w:pPr>
              <w:jc w:val="center"/>
              <w:rPr>
                <w:rFonts w:hint="eastAsia" w:ascii="宋体" w:hAnsi="宋体" w:eastAsia="宋体" w:cs="宋体"/>
                <w:b/>
                <w:bCs/>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8D106">
            <w:pPr>
              <w:jc w:val="center"/>
              <w:rPr>
                <w:rFonts w:hint="eastAsia" w:ascii="宋体" w:hAnsi="宋体" w:eastAsia="宋体" w:cs="宋体"/>
                <w:b/>
                <w:bCs/>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2D7EE">
            <w:pPr>
              <w:jc w:val="center"/>
              <w:rPr>
                <w:rFonts w:hint="eastAsia" w:ascii="宋体" w:hAnsi="宋体" w:eastAsia="宋体" w:cs="宋体"/>
                <w:b/>
                <w:bCs/>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671F0">
            <w:pPr>
              <w:jc w:val="center"/>
              <w:rPr>
                <w:rFonts w:hint="eastAsia" w:ascii="宋体" w:hAnsi="宋体" w:eastAsia="宋体" w:cs="宋体"/>
                <w:b/>
                <w:bCs/>
                <w:i w:val="0"/>
                <w:iCs w:val="0"/>
                <w:color w:val="000000"/>
                <w:kern w:val="0"/>
                <w:sz w:val="18"/>
                <w:szCs w:val="18"/>
                <w:u w:val="none"/>
                <w:lang w:val="en-US" w:eastAsia="zh-CN" w:bidi="ar"/>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9BE07">
            <w:pPr>
              <w:jc w:val="center"/>
              <w:rPr>
                <w:rFonts w:hint="eastAsia" w:ascii="宋体" w:hAnsi="宋体" w:eastAsia="宋体" w:cs="宋体"/>
                <w:b/>
                <w:bCs/>
                <w:i w:val="0"/>
                <w:iCs w:val="0"/>
                <w:color w:val="000000"/>
                <w:kern w:val="0"/>
                <w:sz w:val="18"/>
                <w:szCs w:val="18"/>
                <w:u w:val="none"/>
                <w:lang w:val="en-US" w:eastAsia="zh-CN" w:bidi="ar"/>
              </w:rPr>
            </w:pPr>
          </w:p>
        </w:tc>
      </w:tr>
      <w:tr w14:paraId="26364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8F611">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810D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城市建设维护税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0C614">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123.34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E6FEA">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5.30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7D1C4">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E4D56">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10.62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EB08D">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10.63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63E1B">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10.63</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82B0E">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10.63</w:t>
            </w:r>
          </w:p>
        </w:tc>
      </w:tr>
      <w:tr w14:paraId="15F6E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7FEFD">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2.4</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841E6">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教育费附加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4A2F6">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52.86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F12C9">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2.27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6272B">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4.55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30DAF">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4.55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DF20D">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4.55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0296B">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4.56</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36DD5">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4.56</w:t>
            </w:r>
          </w:p>
        </w:tc>
      </w:tr>
      <w:tr w14:paraId="06075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07A59">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398D7">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增值税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55772">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1761.99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2A480">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75.76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7A93A">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151.62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821BD">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151.72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1C85D">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151.82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F000F">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151.93</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E9E92">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151.88</w:t>
            </w:r>
          </w:p>
        </w:tc>
      </w:tr>
      <w:tr w14:paraId="092AC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BD83B">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2AE78">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销项税额</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561E5">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1852.05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BFD47">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79.66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1EC36">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159.42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7E9D6">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159.52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1CCFA">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159.63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86855">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159.74</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5866">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159.69</w:t>
            </w:r>
          </w:p>
        </w:tc>
      </w:tr>
      <w:tr w14:paraId="0870A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A4771">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47E21">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进项税额</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3850D">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90.06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DFA22">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3.90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CD6BE">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7.80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B7D32">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7.81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44CBC">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7.81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572F1">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7.81</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B64C8">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7.81</w:t>
            </w:r>
          </w:p>
        </w:tc>
      </w:tr>
    </w:tbl>
    <w:p w14:paraId="58746CFD">
      <w:pPr>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14:paraId="3CE045D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9"/>
        <w:rPr>
          <w:rFonts w:hint="eastAsia" w:ascii="宋体" w:hAnsi="宋体" w:eastAsia="宋体" w:cs="宋体"/>
          <w:b/>
          <w:bCs/>
          <w:i w:val="0"/>
          <w:iCs w:val="0"/>
          <w:color w:val="auto"/>
          <w:kern w:val="0"/>
          <w:sz w:val="28"/>
          <w:szCs w:val="28"/>
          <w:u w:val="none"/>
          <w:lang w:val="en-US" w:eastAsia="zh-CN"/>
        </w:rPr>
      </w:pPr>
      <w:r>
        <w:rPr>
          <w:rFonts w:hint="eastAsia" w:ascii="宋体" w:hAnsi="宋体" w:eastAsia="宋体" w:cs="宋体"/>
          <w:b/>
          <w:bCs/>
          <w:i w:val="0"/>
          <w:iCs w:val="0"/>
          <w:color w:val="auto"/>
          <w:kern w:val="0"/>
          <w:sz w:val="28"/>
          <w:szCs w:val="28"/>
          <w:u w:val="none"/>
          <w:lang w:val="en-US" w:eastAsia="zh-CN"/>
        </w:rPr>
        <w:t>附表3：营业收入及税金表</w:t>
      </w:r>
    </w:p>
    <w:tbl>
      <w:tblPr>
        <w:tblStyle w:val="16"/>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7"/>
        <w:gridCol w:w="2535"/>
        <w:gridCol w:w="1170"/>
        <w:gridCol w:w="1593"/>
        <w:gridCol w:w="1593"/>
        <w:gridCol w:w="1593"/>
        <w:gridCol w:w="1593"/>
        <w:gridCol w:w="1593"/>
        <w:gridCol w:w="1596"/>
      </w:tblGrid>
      <w:tr w14:paraId="0FA8C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tblHeader/>
        </w:trPr>
        <w:tc>
          <w:tcPr>
            <w:tcW w:w="13993" w:type="dxa"/>
            <w:gridSpan w:val="9"/>
            <w:tcBorders>
              <w:top w:val="nil"/>
              <w:left w:val="nil"/>
              <w:bottom w:val="nil"/>
              <w:right w:val="nil"/>
            </w:tcBorders>
            <w:shd w:val="clear" w:color="auto" w:fill="auto"/>
            <w:noWrap/>
            <w:vAlign w:val="center"/>
          </w:tcPr>
          <w:p w14:paraId="7EBE6077">
            <w:pPr>
              <w:keepNext w:val="0"/>
              <w:keepLines w:val="0"/>
              <w:pageBreakBefore w:val="0"/>
              <w:widowControl/>
              <w:suppressLineNumbers w:val="0"/>
              <w:kinsoku/>
              <w:wordWrap/>
              <w:overflowPunct/>
              <w:topLinePunct w:val="0"/>
              <w:autoSpaceDE/>
              <w:autoSpaceDN/>
              <w:bidi w:val="0"/>
              <w:adjustRightInd/>
              <w:snapToGrid/>
              <w:spacing w:line="240" w:lineRule="auto"/>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单位：万元</w:t>
            </w:r>
          </w:p>
        </w:tc>
      </w:tr>
      <w:tr w14:paraId="62F32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blHeader/>
        </w:trPr>
        <w:tc>
          <w:tcPr>
            <w:tcW w:w="7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C02B5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序号</w:t>
            </w:r>
          </w:p>
        </w:tc>
        <w:tc>
          <w:tcPr>
            <w:tcW w:w="25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58F3A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项目</w:t>
            </w:r>
          </w:p>
        </w:tc>
        <w:tc>
          <w:tcPr>
            <w:tcW w:w="11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97308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合计</w:t>
            </w:r>
          </w:p>
        </w:tc>
        <w:tc>
          <w:tcPr>
            <w:tcW w:w="956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EEE1BD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计算期</w:t>
            </w:r>
          </w:p>
        </w:tc>
      </w:tr>
      <w:tr w14:paraId="3B088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blHeader/>
        </w:trPr>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C575C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p>
        </w:tc>
        <w:tc>
          <w:tcPr>
            <w:tcW w:w="25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FDC3D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A9161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top"/>
          </w:tcPr>
          <w:p w14:paraId="5E6E24A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default"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7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top"/>
          </w:tcPr>
          <w:p w14:paraId="534C4D3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default"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8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top"/>
          </w:tcPr>
          <w:p w14:paraId="2DE09E9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9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top"/>
          </w:tcPr>
          <w:p w14:paraId="277273A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10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top"/>
          </w:tcPr>
          <w:p w14:paraId="4B9EBFA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11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top"/>
          </w:tcPr>
          <w:p w14:paraId="17A1D45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12 </w:t>
            </w:r>
          </w:p>
        </w:tc>
      </w:tr>
      <w:tr w14:paraId="2CEA4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1C23B">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A2B2E">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营业收入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706E5">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13738.01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90146">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1263.41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22585">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1261.83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661A8">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1260.25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864A5">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1258.68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7BEF2">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1257.12</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22FD3">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1255.56</w:t>
            </w:r>
          </w:p>
        </w:tc>
      </w:tr>
      <w:tr w14:paraId="075E5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09BA8">
            <w:pPr>
              <w:keepNext w:val="0"/>
              <w:keepLines w:val="0"/>
              <w:widowControl/>
              <w:suppressLineNumbers w:val="0"/>
              <w:jc w:val="center"/>
              <w:textAlignment w:val="top"/>
              <w:rPr>
                <w:rFonts w:hint="eastAsia" w:ascii="宋体" w:hAnsi="宋体" w:eastAsia="宋体" w:cs="宋体"/>
                <w:b w:val="0"/>
                <w:bCs w:val="0"/>
                <w:i w:val="0"/>
                <w:iCs w:val="0"/>
                <w:color w:val="000000"/>
                <w:kern w:val="0"/>
                <w:sz w:val="18"/>
                <w:szCs w:val="18"/>
                <w:u w:val="none"/>
                <w:lang w:val="en-US" w:eastAsia="zh-CN" w:bidi="ar"/>
              </w:rPr>
            </w:pPr>
            <w:r>
              <w:rPr>
                <w:rFonts w:hint="eastAsia" w:ascii="宋体" w:hAnsi="宋体" w:eastAsia="宋体" w:cs="宋体"/>
                <w:b w:val="0"/>
                <w:bCs w:val="0"/>
                <w:i w:val="0"/>
                <w:iCs w:val="0"/>
                <w:snapToGrid w:val="0"/>
                <w:color w:val="000000"/>
                <w:kern w:val="0"/>
                <w:sz w:val="18"/>
                <w:szCs w:val="18"/>
                <w:u w:val="none"/>
                <w:lang w:val="en-US" w:eastAsia="zh-CN" w:bidi="ar"/>
              </w:rPr>
              <w:t>1.1</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6995D">
            <w:pPr>
              <w:keepNext w:val="0"/>
              <w:keepLines w:val="0"/>
              <w:widowControl/>
              <w:suppressLineNumbers w:val="0"/>
              <w:jc w:val="center"/>
              <w:textAlignment w:val="top"/>
              <w:rPr>
                <w:rFonts w:hint="eastAsia" w:ascii="宋体" w:hAnsi="宋体" w:eastAsia="宋体" w:cs="宋体"/>
                <w:b w:val="0"/>
                <w:bCs w:val="0"/>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光伏收入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E43F5">
            <w:pPr>
              <w:keepNext w:val="0"/>
              <w:keepLines w:val="0"/>
              <w:widowControl/>
              <w:suppressLineNumbers w:val="0"/>
              <w:jc w:val="center"/>
              <w:textAlignment w:val="top"/>
              <w:rPr>
                <w:rFonts w:hint="eastAsia" w:ascii="宋体" w:hAnsi="宋体" w:eastAsia="宋体" w:cs="宋体"/>
                <w:b w:val="0"/>
                <w:bCs w:val="0"/>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4351.77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9BF89">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395.58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0BB2F">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394.00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162CC">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392.43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0EB8A">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390.86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B1129">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389.29</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D95AC">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387.74</w:t>
            </w:r>
          </w:p>
        </w:tc>
      </w:tr>
      <w:tr w14:paraId="17645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AEEDF">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1.1.1</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9EEDF">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装机容量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A94DD">
            <w:pPr>
              <w:jc w:val="center"/>
              <w:rPr>
                <w:rFonts w:hint="eastAsia" w:ascii="宋体" w:hAnsi="宋体" w:eastAsia="宋体" w:cs="宋体"/>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13559">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5756.33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5FFB4">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5733.31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96A62">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5710.37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DD53C">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5687.53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581AD">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5664.78</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6A663">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5642.12</w:t>
            </w:r>
          </w:p>
        </w:tc>
      </w:tr>
      <w:tr w14:paraId="5105B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0F070">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1.1.2</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E58C0">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衰减值</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B48BA">
            <w:pPr>
              <w:jc w:val="center"/>
              <w:rPr>
                <w:rFonts w:hint="eastAsia" w:ascii="宋体" w:hAnsi="宋体" w:eastAsia="宋体" w:cs="宋体"/>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76DB7">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C4505">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CDD84">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56DAC">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91A02">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0.40%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7345C">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0.40%</w:t>
            </w:r>
          </w:p>
        </w:tc>
      </w:tr>
      <w:tr w14:paraId="4553A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AC0E5">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1.1.3</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20871">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1KW 光伏装机容量平均日发电量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B1AD7">
            <w:pPr>
              <w:jc w:val="center"/>
              <w:rPr>
                <w:rFonts w:hint="eastAsia" w:ascii="宋体" w:hAnsi="宋体" w:eastAsia="宋体" w:cs="宋体"/>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95435">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3C89D">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1D83A">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7AC3C">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9EFF2">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3.35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2240C">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3.35</w:t>
            </w:r>
          </w:p>
        </w:tc>
      </w:tr>
      <w:tr w14:paraId="01643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CDCDE">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1.1.4</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D0A18">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年发电天数</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59F0E">
            <w:pPr>
              <w:jc w:val="center"/>
              <w:rPr>
                <w:rFonts w:hint="eastAsia" w:ascii="宋体" w:hAnsi="宋体" w:eastAsia="宋体" w:cs="宋体"/>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E551B">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1E6B7">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2FAC3">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46DD3">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1CDAC">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360.00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B1A3B">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360.00</w:t>
            </w:r>
          </w:p>
        </w:tc>
      </w:tr>
      <w:tr w14:paraId="0ACF0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0E98A">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1.1.5</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AC2FA">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工商业用电平均电价</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C1DE8">
            <w:pPr>
              <w:jc w:val="center"/>
              <w:rPr>
                <w:rFonts w:hint="eastAsia" w:ascii="宋体" w:hAnsi="宋体" w:eastAsia="宋体" w:cs="宋体"/>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603AB">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6516C">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666AE">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005DA">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0.57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8A667">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0.57</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D0D11">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0.57</w:t>
            </w:r>
          </w:p>
        </w:tc>
      </w:tr>
      <w:tr w14:paraId="58AA3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25DEC">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1.2</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0CADD">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储能收入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7C946">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9451.58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50494">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834.48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D35B6">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834.48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D79EF">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834.48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06F2E">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834.48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765F6">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834.48</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3B11A">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834.48</w:t>
            </w:r>
          </w:p>
        </w:tc>
      </w:tr>
      <w:tr w14:paraId="7EC19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1CC75">
            <w:pPr>
              <w:keepNext w:val="0"/>
              <w:keepLines w:val="0"/>
              <w:widowControl/>
              <w:suppressLineNumbers w:val="0"/>
              <w:jc w:val="center"/>
              <w:textAlignment w:val="top"/>
              <w:rPr>
                <w:rFonts w:hint="eastAsia" w:ascii="宋体" w:hAnsi="宋体" w:eastAsia="宋体" w:cs="宋体"/>
                <w:b w:val="0"/>
                <w:bCs w:val="0"/>
                <w:i w:val="0"/>
                <w:iCs w:val="0"/>
                <w:color w:val="000000"/>
                <w:kern w:val="0"/>
                <w:sz w:val="18"/>
                <w:szCs w:val="18"/>
                <w:u w:val="none"/>
                <w:lang w:val="en-US" w:eastAsia="zh-CN" w:bidi="ar"/>
              </w:rPr>
            </w:pPr>
            <w:r>
              <w:rPr>
                <w:rFonts w:hint="eastAsia" w:ascii="宋体" w:hAnsi="宋体" w:eastAsia="宋体" w:cs="宋体"/>
                <w:b w:val="0"/>
                <w:bCs w:val="0"/>
                <w:i w:val="0"/>
                <w:iCs w:val="0"/>
                <w:snapToGrid w:val="0"/>
                <w:color w:val="000000"/>
                <w:kern w:val="0"/>
                <w:sz w:val="18"/>
                <w:szCs w:val="18"/>
                <w:u w:val="none"/>
                <w:lang w:val="en-US" w:eastAsia="zh-CN" w:bidi="ar"/>
              </w:rPr>
              <w:t>1.2.1</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A5EA3">
            <w:pPr>
              <w:keepNext w:val="0"/>
              <w:keepLines w:val="0"/>
              <w:widowControl/>
              <w:suppressLineNumbers w:val="0"/>
              <w:jc w:val="center"/>
              <w:textAlignment w:val="top"/>
              <w:rPr>
                <w:rFonts w:hint="eastAsia" w:ascii="宋体" w:hAnsi="宋体" w:eastAsia="宋体" w:cs="宋体"/>
                <w:b w:val="0"/>
                <w:bCs w:val="0"/>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峰谷价差加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CB2E9">
            <w:pPr>
              <w:jc w:val="center"/>
              <w:rPr>
                <w:rFonts w:hint="eastAsia" w:ascii="宋体" w:hAnsi="宋体" w:eastAsia="宋体" w:cs="宋体"/>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F5E9A">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272DA">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90871">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8F17F">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3925F">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0.61</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482AA">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0.61</w:t>
            </w:r>
          </w:p>
        </w:tc>
      </w:tr>
      <w:tr w14:paraId="085DD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C53B6">
            <w:pPr>
              <w:keepNext w:val="0"/>
              <w:keepLines w:val="0"/>
              <w:widowControl/>
              <w:suppressLineNumbers w:val="0"/>
              <w:jc w:val="center"/>
              <w:textAlignment w:val="top"/>
              <w:rPr>
                <w:rFonts w:hint="eastAsia" w:ascii="宋体" w:hAnsi="宋体" w:eastAsia="宋体" w:cs="宋体"/>
                <w:b w:val="0"/>
                <w:bCs w:val="0"/>
                <w:i w:val="0"/>
                <w:iCs w:val="0"/>
                <w:color w:val="000000"/>
                <w:kern w:val="0"/>
                <w:sz w:val="18"/>
                <w:szCs w:val="18"/>
                <w:u w:val="none"/>
                <w:lang w:val="en-US" w:eastAsia="zh-CN" w:bidi="ar"/>
              </w:rPr>
            </w:pPr>
            <w:r>
              <w:rPr>
                <w:rFonts w:hint="eastAsia" w:ascii="宋体" w:hAnsi="宋体" w:eastAsia="宋体" w:cs="宋体"/>
                <w:b w:val="0"/>
                <w:bCs w:val="0"/>
                <w:i w:val="0"/>
                <w:iCs w:val="0"/>
                <w:snapToGrid w:val="0"/>
                <w:color w:val="000000"/>
                <w:kern w:val="0"/>
                <w:sz w:val="18"/>
                <w:szCs w:val="18"/>
                <w:u w:val="none"/>
                <w:lang w:val="en-US" w:eastAsia="zh-CN" w:bidi="ar"/>
              </w:rPr>
              <w:t>1.2.2</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77AE9">
            <w:pPr>
              <w:keepNext w:val="0"/>
              <w:keepLines w:val="0"/>
              <w:widowControl/>
              <w:suppressLineNumbers w:val="0"/>
              <w:jc w:val="center"/>
              <w:textAlignment w:val="top"/>
              <w:rPr>
                <w:rFonts w:hint="eastAsia" w:ascii="宋体" w:hAnsi="宋体" w:eastAsia="宋体" w:cs="宋体"/>
                <w:b w:val="0"/>
                <w:bCs w:val="0"/>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360天一充一放扣能耗（万kwh/n)</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88120">
            <w:pPr>
              <w:jc w:val="center"/>
              <w:rPr>
                <w:rFonts w:hint="eastAsia" w:ascii="宋体" w:hAnsi="宋体" w:eastAsia="宋体" w:cs="宋体"/>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8B5F5">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38000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E911C">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38000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18862">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38000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CCABA">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38000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2C80B">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38000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AF5F8">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38000</w:t>
            </w:r>
          </w:p>
        </w:tc>
      </w:tr>
      <w:tr w14:paraId="6F342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5412E">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1.3</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D6668">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600kw充电桩收入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0A7E3">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347.49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6E3D6">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33.35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87E06">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33.35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A1B00">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33.35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5BF56">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33.35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1A178">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33.35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0225B">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33.35</w:t>
            </w:r>
          </w:p>
        </w:tc>
      </w:tr>
      <w:tr w14:paraId="39253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36BDA">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1.3.1</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E3459">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充电桩数量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2DEC9">
            <w:pPr>
              <w:jc w:val="center"/>
              <w:rPr>
                <w:rFonts w:hint="eastAsia" w:ascii="宋体" w:hAnsi="宋体" w:eastAsia="宋体" w:cs="宋体"/>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C6564">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C7516">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FE1AB">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6B993">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016D1">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2E5E1">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5.00</w:t>
            </w:r>
          </w:p>
        </w:tc>
      </w:tr>
      <w:tr w14:paraId="3FF4E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8F186">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1.3.2</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9CEC1">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充电使用率</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85E5E">
            <w:pPr>
              <w:jc w:val="center"/>
              <w:rPr>
                <w:rFonts w:hint="eastAsia" w:ascii="宋体" w:hAnsi="宋体" w:eastAsia="宋体" w:cs="宋体"/>
                <w:b/>
                <w:bCs/>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F3953">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95.00%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EA1C7">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95.00%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9DDAF">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95.00%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CD2B6">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95.00%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2B9E4">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95.00%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53415">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95.00%</w:t>
            </w:r>
          </w:p>
        </w:tc>
      </w:tr>
      <w:tr w14:paraId="2F8E0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84EE1">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1.3.3</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4E17C">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收费标准</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711CC">
            <w:pPr>
              <w:jc w:val="center"/>
              <w:rPr>
                <w:rFonts w:hint="eastAsia" w:ascii="宋体" w:hAnsi="宋体" w:eastAsia="宋体" w:cs="宋体"/>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F01A9">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02FB4">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7F070">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CE4DF">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40518">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0.65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548AB">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0.65</w:t>
            </w:r>
          </w:p>
        </w:tc>
      </w:tr>
      <w:tr w14:paraId="5D630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F70BD">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1.3.4</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ACA17">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充电桩每小时充电量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94BF9">
            <w:pPr>
              <w:jc w:val="center"/>
              <w:rPr>
                <w:rFonts w:hint="eastAsia" w:ascii="宋体" w:hAnsi="宋体" w:eastAsia="宋体" w:cs="宋体"/>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334A7">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C1DAE">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43ED5">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1A8FE">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600.00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E2AD1">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600.00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93C49">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600.00</w:t>
            </w:r>
          </w:p>
        </w:tc>
      </w:tr>
      <w:tr w14:paraId="7D75B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97C4C">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1.3.5</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64B0B">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充电小时数</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4128B">
            <w:pPr>
              <w:jc w:val="center"/>
              <w:rPr>
                <w:rFonts w:hint="eastAsia" w:ascii="宋体" w:hAnsi="宋体" w:eastAsia="宋体" w:cs="宋体"/>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CD5BC">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BFF81">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7A3AB">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42854">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EE88B">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0.50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62CDE">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0.50</w:t>
            </w:r>
          </w:p>
        </w:tc>
      </w:tr>
      <w:tr w14:paraId="378F6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86517">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1.3.6</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8FABB">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年运营时间</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A4557">
            <w:pPr>
              <w:jc w:val="center"/>
              <w:rPr>
                <w:rFonts w:hint="eastAsia" w:ascii="宋体" w:hAnsi="宋体" w:eastAsia="宋体" w:cs="宋体"/>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1B8E8">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5E726">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D0A1A">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B769F">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360.00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3611F">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360.00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F19BF">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360.00</w:t>
            </w:r>
          </w:p>
        </w:tc>
      </w:tr>
      <w:tr w14:paraId="021B2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5A847">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2</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F5DB3">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营业税金与附加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AA667">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176.20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8AB6C">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15.51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D48A2">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15.48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B3A9A">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15.46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F6C29">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15.44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1BFDD">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15.42</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2A105">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15.40</w:t>
            </w:r>
          </w:p>
        </w:tc>
      </w:tr>
      <w:tr w14:paraId="202E0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4ED89">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2.1</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5B4B9">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营业税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D9529">
            <w:pPr>
              <w:jc w:val="center"/>
              <w:rPr>
                <w:rFonts w:hint="eastAsia" w:ascii="宋体" w:hAnsi="宋体" w:eastAsia="宋体" w:cs="宋体"/>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19F74">
            <w:pPr>
              <w:jc w:val="center"/>
              <w:rPr>
                <w:rFonts w:hint="eastAsia" w:ascii="宋体" w:hAnsi="宋体" w:eastAsia="宋体" w:cs="宋体"/>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68051">
            <w:pPr>
              <w:jc w:val="center"/>
              <w:rPr>
                <w:rFonts w:hint="eastAsia" w:ascii="宋体" w:hAnsi="宋体" w:eastAsia="宋体" w:cs="宋体"/>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64CAC">
            <w:pPr>
              <w:jc w:val="center"/>
              <w:rPr>
                <w:rFonts w:hint="eastAsia" w:ascii="宋体" w:hAnsi="宋体" w:eastAsia="宋体" w:cs="宋体"/>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050C3">
            <w:pPr>
              <w:jc w:val="center"/>
              <w:rPr>
                <w:rFonts w:hint="eastAsia" w:ascii="宋体" w:hAnsi="宋体" w:eastAsia="宋体" w:cs="宋体"/>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2D173">
            <w:pPr>
              <w:jc w:val="center"/>
              <w:rPr>
                <w:rFonts w:hint="eastAsia" w:ascii="宋体" w:hAnsi="宋体" w:eastAsia="宋体" w:cs="宋体"/>
                <w:i w:val="0"/>
                <w:iCs w:val="0"/>
                <w:color w:val="000000"/>
                <w:kern w:val="0"/>
                <w:sz w:val="18"/>
                <w:szCs w:val="18"/>
                <w:u w:val="none"/>
                <w:lang w:val="en-US" w:eastAsia="zh-CN" w:bidi="ar"/>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BB992">
            <w:pPr>
              <w:jc w:val="center"/>
              <w:rPr>
                <w:rFonts w:hint="eastAsia" w:ascii="宋体" w:hAnsi="宋体" w:eastAsia="宋体" w:cs="宋体"/>
                <w:i w:val="0"/>
                <w:iCs w:val="0"/>
                <w:color w:val="000000"/>
                <w:kern w:val="0"/>
                <w:sz w:val="18"/>
                <w:szCs w:val="18"/>
                <w:u w:val="none"/>
                <w:lang w:val="en-US" w:eastAsia="zh-CN" w:bidi="ar"/>
              </w:rPr>
            </w:pPr>
          </w:p>
        </w:tc>
      </w:tr>
      <w:tr w14:paraId="3C06B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3F7A3">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2.2</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FE1E8">
            <w:pPr>
              <w:keepNext w:val="0"/>
              <w:keepLines w:val="0"/>
              <w:widowControl/>
              <w:suppressLineNumbers w:val="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消费税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CF7D4">
            <w:pPr>
              <w:jc w:val="center"/>
              <w:rPr>
                <w:rFonts w:hint="eastAsia" w:ascii="宋体" w:hAnsi="宋体" w:eastAsia="宋体" w:cs="宋体"/>
                <w:b/>
                <w:bCs/>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77310">
            <w:pPr>
              <w:jc w:val="center"/>
              <w:rPr>
                <w:rFonts w:hint="eastAsia" w:ascii="宋体" w:hAnsi="宋体" w:eastAsia="宋体" w:cs="宋体"/>
                <w:b/>
                <w:bCs/>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EA938">
            <w:pPr>
              <w:jc w:val="center"/>
              <w:rPr>
                <w:rFonts w:hint="eastAsia" w:ascii="宋体" w:hAnsi="宋体" w:eastAsia="宋体" w:cs="宋体"/>
                <w:b/>
                <w:bCs/>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5486D">
            <w:pPr>
              <w:jc w:val="center"/>
              <w:rPr>
                <w:rFonts w:hint="eastAsia" w:ascii="宋体" w:hAnsi="宋体" w:eastAsia="宋体" w:cs="宋体"/>
                <w:b/>
                <w:bCs/>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3C103">
            <w:pPr>
              <w:jc w:val="center"/>
              <w:rPr>
                <w:rFonts w:hint="eastAsia" w:ascii="宋体" w:hAnsi="宋体" w:eastAsia="宋体" w:cs="宋体"/>
                <w:b/>
                <w:bCs/>
                <w:i w:val="0"/>
                <w:iCs w:val="0"/>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5FC0D">
            <w:pPr>
              <w:jc w:val="center"/>
              <w:rPr>
                <w:rFonts w:hint="eastAsia" w:ascii="宋体" w:hAnsi="宋体" w:eastAsia="宋体" w:cs="宋体"/>
                <w:b/>
                <w:bCs/>
                <w:i w:val="0"/>
                <w:iCs w:val="0"/>
                <w:color w:val="000000"/>
                <w:kern w:val="0"/>
                <w:sz w:val="18"/>
                <w:szCs w:val="18"/>
                <w:u w:val="none"/>
                <w:lang w:val="en-US" w:eastAsia="zh-CN" w:bidi="ar"/>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2BE39">
            <w:pPr>
              <w:jc w:val="center"/>
              <w:rPr>
                <w:rFonts w:hint="eastAsia" w:ascii="宋体" w:hAnsi="宋体" w:eastAsia="宋体" w:cs="宋体"/>
                <w:b/>
                <w:bCs/>
                <w:i w:val="0"/>
                <w:iCs w:val="0"/>
                <w:color w:val="000000"/>
                <w:kern w:val="0"/>
                <w:sz w:val="18"/>
                <w:szCs w:val="18"/>
                <w:u w:val="none"/>
                <w:lang w:val="en-US" w:eastAsia="zh-CN" w:bidi="ar"/>
              </w:rPr>
            </w:pPr>
          </w:p>
        </w:tc>
      </w:tr>
      <w:tr w14:paraId="198D1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38822">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2.3</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D18F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城市建设维护税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F4527">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123.34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4012D">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10.85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060AD">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10.84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CCF5C">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10.83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462E7">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10.81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7A875">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10.80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88128">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10.78</w:t>
            </w:r>
          </w:p>
        </w:tc>
      </w:tr>
      <w:tr w14:paraId="6908A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E6F19">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2.4</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40ECC">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教育费附加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0D5B9">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52.86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E19CD">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76B0E">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2EF80">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4.64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79C6F">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4.63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1233">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4.63</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979A6">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4.62</w:t>
            </w:r>
          </w:p>
        </w:tc>
      </w:tr>
      <w:tr w14:paraId="63BDC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507A9">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28B5B">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增值税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08DB1">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1761.99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81ACE">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155.05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F96B0">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154.85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5E71D">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154.65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9FFA3">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154.44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5E3E4">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154.24</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1F17C">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154.04</w:t>
            </w:r>
          </w:p>
        </w:tc>
      </w:tr>
      <w:tr w14:paraId="181E6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0891A">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3.1</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5BC56">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销项税额</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FC42D">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1852.05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36B1C">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162.91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CB093">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162.70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99325">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162.50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A7AA6">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162.29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F7355">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162.09</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730F9">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161.89</w:t>
            </w:r>
          </w:p>
        </w:tc>
      </w:tr>
      <w:tr w14:paraId="18CB0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84767">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3.2</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8AD62">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进项税额</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81B0B">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90.06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918ED">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7.86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6F00E">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7.86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1F818">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7.85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EE76B">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7.85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1E253">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7.85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18F87">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7.84</w:t>
            </w:r>
          </w:p>
        </w:tc>
      </w:tr>
    </w:tbl>
    <w:p w14:paraId="259F0493">
      <w:pPr>
        <w:ind w:left="0" w:leftChars="0" w:firstLine="0" w:firstLineChars="0"/>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14:paraId="56D4D907">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0"/>
        <w:rPr>
          <w:rFonts w:hint="eastAsia" w:ascii="宋体" w:hAnsi="宋体" w:eastAsia="宋体" w:cs="宋体"/>
          <w:b/>
          <w:bCs/>
          <w:i w:val="0"/>
          <w:iCs w:val="0"/>
          <w:color w:val="auto"/>
          <w:kern w:val="0"/>
          <w:sz w:val="28"/>
          <w:szCs w:val="28"/>
          <w:u w:val="none"/>
          <w:lang w:val="en-US" w:eastAsia="zh-CN"/>
        </w:rPr>
      </w:pPr>
      <w:bookmarkStart w:id="142" w:name="_Toc6038"/>
      <w:bookmarkStart w:id="143" w:name="_Toc27140"/>
      <w:bookmarkStart w:id="144" w:name="_Toc6072"/>
      <w:r>
        <w:rPr>
          <w:rFonts w:hint="eastAsia" w:ascii="宋体" w:hAnsi="宋体" w:eastAsia="宋体" w:cs="宋体"/>
          <w:b/>
          <w:bCs/>
          <w:i w:val="0"/>
          <w:iCs w:val="0"/>
          <w:color w:val="auto"/>
          <w:kern w:val="0"/>
          <w:sz w:val="28"/>
          <w:szCs w:val="28"/>
          <w:u w:val="none"/>
          <w:lang w:val="en-US" w:eastAsia="zh-CN"/>
        </w:rPr>
        <w:t>附表4：总成本费用表</w:t>
      </w:r>
      <w:bookmarkEnd w:id="142"/>
      <w:bookmarkEnd w:id="143"/>
      <w:bookmarkEnd w:id="144"/>
    </w:p>
    <w:tbl>
      <w:tblPr>
        <w:tblStyle w:val="16"/>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2"/>
        <w:gridCol w:w="2461"/>
        <w:gridCol w:w="1169"/>
        <w:gridCol w:w="1588"/>
        <w:gridCol w:w="1588"/>
        <w:gridCol w:w="1588"/>
        <w:gridCol w:w="1588"/>
        <w:gridCol w:w="1588"/>
        <w:gridCol w:w="1591"/>
      </w:tblGrid>
      <w:tr w14:paraId="6CB0E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blHeader/>
        </w:trPr>
        <w:tc>
          <w:tcPr>
            <w:tcW w:w="13963" w:type="dxa"/>
            <w:gridSpan w:val="9"/>
            <w:tcBorders>
              <w:top w:val="nil"/>
              <w:left w:val="nil"/>
              <w:bottom w:val="nil"/>
              <w:right w:val="nil"/>
            </w:tcBorders>
            <w:shd w:val="clear" w:color="auto" w:fill="auto"/>
            <w:noWrap/>
            <w:vAlign w:val="center"/>
          </w:tcPr>
          <w:p w14:paraId="32234FD5">
            <w:pPr>
              <w:keepNext w:val="0"/>
              <w:keepLines w:val="0"/>
              <w:pageBreakBefore w:val="0"/>
              <w:widowControl/>
              <w:suppressLineNumbers w:val="0"/>
              <w:kinsoku/>
              <w:wordWrap/>
              <w:overflowPunct/>
              <w:topLinePunct w:val="0"/>
              <w:autoSpaceDE/>
              <w:autoSpaceDN/>
              <w:bidi w:val="0"/>
              <w:adjustRightInd/>
              <w:snapToGrid/>
              <w:spacing w:line="240" w:lineRule="auto"/>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单位：万元</w:t>
            </w:r>
          </w:p>
        </w:tc>
      </w:tr>
      <w:tr w14:paraId="60927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blHeader/>
        </w:trPr>
        <w:tc>
          <w:tcPr>
            <w:tcW w:w="8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AB426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序号</w:t>
            </w:r>
          </w:p>
        </w:tc>
        <w:tc>
          <w:tcPr>
            <w:tcW w:w="24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B85A5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项目</w:t>
            </w:r>
          </w:p>
        </w:tc>
        <w:tc>
          <w:tcPr>
            <w:tcW w:w="11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73D82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合计</w:t>
            </w:r>
          </w:p>
        </w:tc>
        <w:tc>
          <w:tcPr>
            <w:tcW w:w="95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16AF27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计算期</w:t>
            </w:r>
          </w:p>
        </w:tc>
      </w:tr>
      <w:tr w14:paraId="4ABF7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blHeader/>
        </w:trPr>
        <w:tc>
          <w:tcPr>
            <w:tcW w:w="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1249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p>
        </w:tc>
        <w:tc>
          <w:tcPr>
            <w:tcW w:w="24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8D117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p>
        </w:tc>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E3E76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4045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default" w:ascii="宋体" w:hAnsi="宋体" w:eastAsia="宋体" w:cs="宋体"/>
                <w:b/>
                <w:bCs/>
                <w:i w:val="0"/>
                <w:iCs w:val="0"/>
                <w:color w:val="000000"/>
                <w:kern w:val="0"/>
                <w:sz w:val="18"/>
                <w:szCs w:val="18"/>
                <w:u w:val="none"/>
                <w:lang w:val="en-US" w:eastAsia="zh-CN" w:bidi="ar"/>
              </w:rPr>
            </w:pPr>
            <w:r>
              <w:rPr>
                <w:rFonts w:hint="eastAsia" w:ascii="宋体" w:hAnsi="宋体" w:cs="宋体"/>
                <w:b/>
                <w:bCs/>
                <w:i w:val="0"/>
                <w:iCs w:val="0"/>
                <w:color w:val="000000"/>
                <w:kern w:val="0"/>
                <w:sz w:val="18"/>
                <w:szCs w:val="18"/>
                <w:u w:val="none"/>
                <w:lang w:val="en-US" w:eastAsia="zh-CN" w:bidi="ar"/>
              </w:rPr>
              <w:t>0.5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1A45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default" w:ascii="宋体" w:hAnsi="宋体" w:eastAsia="宋体" w:cs="宋体"/>
                <w:b/>
                <w:bCs/>
                <w:i w:val="0"/>
                <w:iCs w:val="0"/>
                <w:color w:val="000000"/>
                <w:kern w:val="0"/>
                <w:sz w:val="18"/>
                <w:szCs w:val="18"/>
                <w:u w:val="none"/>
                <w:lang w:val="en-US" w:eastAsia="zh-CN" w:bidi="ar"/>
              </w:rPr>
            </w:pPr>
            <w:r>
              <w:rPr>
                <w:rFonts w:hint="eastAsia" w:ascii="宋体" w:hAnsi="宋体" w:cs="宋体"/>
                <w:b/>
                <w:bCs/>
                <w:i w:val="0"/>
                <w:iCs w:val="0"/>
                <w:color w:val="000000"/>
                <w:kern w:val="0"/>
                <w:sz w:val="18"/>
                <w:szCs w:val="18"/>
                <w:u w:val="none"/>
                <w:lang w:val="en-US" w:eastAsia="zh-CN" w:bidi="ar"/>
              </w:rPr>
              <w:t>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9187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6117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4</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9887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5</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4065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6</w:t>
            </w:r>
          </w:p>
        </w:tc>
      </w:tr>
      <w:tr w14:paraId="1F535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86EB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E63C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外购燃料及动力费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F1AA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494.02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E6B2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21.46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490B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42.96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AB24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42.96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1D16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42.96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3F7A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42.96</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06BE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42.96</w:t>
            </w:r>
          </w:p>
        </w:tc>
      </w:tr>
      <w:tr w14:paraId="728A3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73C2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E697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工资及福利费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A64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745.67</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CC56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30.00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1688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60.00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A1C6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60.00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B6E1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63.00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04E1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63.00</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6D95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66.15</w:t>
            </w:r>
          </w:p>
        </w:tc>
      </w:tr>
      <w:tr w14:paraId="6DD9D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11E8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6736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保洁维护费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6FED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345.53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124B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15.02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4D2C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30.05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0E15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30.05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506C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30.05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B81D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30.05</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2156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30.05</w:t>
            </w:r>
          </w:p>
        </w:tc>
      </w:tr>
      <w:tr w14:paraId="0E225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642A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9D3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管理费及其他</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5AC3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287.07</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B5E2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12.31</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4D44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24.66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B446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24.69</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55DB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24.73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09C0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24.77</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2B4A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24.77</w:t>
            </w:r>
          </w:p>
        </w:tc>
      </w:tr>
      <w:tr w14:paraId="33754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AF32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5</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183A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经营成本（1+2+3+4+5+6）</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F901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1872.28</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79AF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78.79</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1F44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157.66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0FA7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157.70</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0D83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160.74</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DFBF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160.78</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194B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163.93</w:t>
            </w:r>
          </w:p>
        </w:tc>
      </w:tr>
      <w:tr w14:paraId="5E963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3D89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6</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B8E9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折旧费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0181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4319.12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C3B4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187.79</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D937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375.58</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DC5A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375.58</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3605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375.58</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61E8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375.58</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269A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375.58</w:t>
            </w:r>
          </w:p>
        </w:tc>
      </w:tr>
      <w:tr w14:paraId="0832F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0567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7</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14E8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摊销费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B848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9CF4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F824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BABA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4B02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B85D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C60A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r>
      <w:tr w14:paraId="5D8F8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F7C7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8</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6A88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利息支出</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1273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1982.25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5BD7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155.25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4D82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294.75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A181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272.25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22F6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248.63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7344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223.88</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2F27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198.00</w:t>
            </w:r>
          </w:p>
        </w:tc>
      </w:tr>
      <w:tr w14:paraId="380B5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AEF3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9</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062E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总成本费用合计（6+7+8+9）</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C106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8173.65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7FDE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421.83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5386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827.99</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921A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805.52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C8BC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784.94</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A555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760.23</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81D8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737.50</w:t>
            </w:r>
          </w:p>
        </w:tc>
      </w:tr>
      <w:tr w14:paraId="5C296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9438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9.1</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6BA9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其中：固定成本</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EB4C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6588.43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2B99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355.35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5160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694.98</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1E03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672.52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3DFE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648.93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0BAE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624.22</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9260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598.35</w:t>
            </w:r>
          </w:p>
        </w:tc>
      </w:tr>
      <w:tr w14:paraId="3D9BF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F8D3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9.2</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1D83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可变成本</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245D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1239.69</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9097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51.46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8379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102.96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6DBF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102.96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C3EB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105.96</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A168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105.96</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F2A3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109.11</w:t>
            </w:r>
          </w:p>
        </w:tc>
      </w:tr>
    </w:tbl>
    <w:p w14:paraId="6038EDEB">
      <w:pPr>
        <w:rPr>
          <w:rFonts w:hint="eastAsia" w:ascii="宋体" w:hAnsi="宋体" w:eastAsia="宋体" w:cs="宋体"/>
          <w:b/>
          <w:bCs/>
          <w:lang w:val="en-US" w:eastAsia="zh-CN"/>
        </w:rPr>
      </w:pPr>
      <w:bookmarkStart w:id="145" w:name="_Toc32655"/>
      <w:r>
        <w:rPr>
          <w:rFonts w:hint="eastAsia" w:ascii="宋体" w:hAnsi="宋体" w:eastAsia="宋体" w:cs="宋体"/>
          <w:b/>
          <w:bCs/>
          <w:lang w:val="en-US" w:eastAsia="zh-CN"/>
        </w:rPr>
        <w:br w:type="page"/>
      </w:r>
    </w:p>
    <w:p w14:paraId="0048F46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9"/>
        <w:rPr>
          <w:rFonts w:hint="eastAsia" w:ascii="宋体" w:hAnsi="宋体" w:eastAsia="宋体" w:cs="宋体"/>
          <w:b/>
          <w:bCs/>
          <w:i w:val="0"/>
          <w:iCs w:val="0"/>
          <w:color w:val="auto"/>
          <w:kern w:val="0"/>
          <w:sz w:val="28"/>
          <w:szCs w:val="28"/>
          <w:u w:val="none"/>
          <w:lang w:val="en-US" w:eastAsia="zh-CN"/>
        </w:rPr>
      </w:pPr>
      <w:r>
        <w:rPr>
          <w:rFonts w:hint="eastAsia" w:ascii="宋体" w:hAnsi="宋体" w:eastAsia="宋体" w:cs="宋体"/>
          <w:b/>
          <w:bCs/>
          <w:i w:val="0"/>
          <w:iCs w:val="0"/>
          <w:color w:val="auto"/>
          <w:kern w:val="0"/>
          <w:sz w:val="28"/>
          <w:szCs w:val="28"/>
          <w:u w:val="none"/>
          <w:lang w:val="en-US" w:eastAsia="zh-CN"/>
        </w:rPr>
        <w:t>附表4：总成本费用表</w:t>
      </w:r>
    </w:p>
    <w:tbl>
      <w:tblPr>
        <w:tblStyle w:val="16"/>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2"/>
        <w:gridCol w:w="2461"/>
        <w:gridCol w:w="1214"/>
        <w:gridCol w:w="1581"/>
        <w:gridCol w:w="1581"/>
        <w:gridCol w:w="1581"/>
        <w:gridCol w:w="1581"/>
        <w:gridCol w:w="1581"/>
        <w:gridCol w:w="1581"/>
      </w:tblGrid>
      <w:tr w14:paraId="22B45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blHeader/>
        </w:trPr>
        <w:tc>
          <w:tcPr>
            <w:tcW w:w="13963" w:type="dxa"/>
            <w:gridSpan w:val="9"/>
            <w:tcBorders>
              <w:top w:val="nil"/>
              <w:left w:val="nil"/>
              <w:bottom w:val="nil"/>
              <w:right w:val="nil"/>
            </w:tcBorders>
            <w:shd w:val="clear" w:color="auto" w:fill="auto"/>
            <w:noWrap/>
            <w:vAlign w:val="center"/>
          </w:tcPr>
          <w:p w14:paraId="3FD45667">
            <w:pPr>
              <w:keepNext w:val="0"/>
              <w:keepLines w:val="0"/>
              <w:pageBreakBefore w:val="0"/>
              <w:widowControl/>
              <w:suppressLineNumbers w:val="0"/>
              <w:kinsoku/>
              <w:wordWrap/>
              <w:overflowPunct/>
              <w:topLinePunct w:val="0"/>
              <w:autoSpaceDE/>
              <w:autoSpaceDN/>
              <w:bidi w:val="0"/>
              <w:adjustRightInd/>
              <w:snapToGrid/>
              <w:spacing w:line="240" w:lineRule="auto"/>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单位：万元</w:t>
            </w:r>
          </w:p>
        </w:tc>
      </w:tr>
      <w:tr w14:paraId="77754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blHeader/>
        </w:trPr>
        <w:tc>
          <w:tcPr>
            <w:tcW w:w="8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60646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序号</w:t>
            </w:r>
          </w:p>
        </w:tc>
        <w:tc>
          <w:tcPr>
            <w:tcW w:w="24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12059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项目</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6160F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合计</w:t>
            </w:r>
          </w:p>
        </w:tc>
        <w:tc>
          <w:tcPr>
            <w:tcW w:w="948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0D77B3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计算期</w:t>
            </w:r>
          </w:p>
        </w:tc>
      </w:tr>
      <w:tr w14:paraId="18751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blHeader/>
        </w:trPr>
        <w:tc>
          <w:tcPr>
            <w:tcW w:w="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F1E57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p>
        </w:tc>
        <w:tc>
          <w:tcPr>
            <w:tcW w:w="24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19FA9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5ADE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top"/>
          </w:tcPr>
          <w:p w14:paraId="58A9A65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default"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7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top"/>
          </w:tcPr>
          <w:p w14:paraId="54A72BE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default"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8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top"/>
          </w:tcPr>
          <w:p w14:paraId="5753AD0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9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top"/>
          </w:tcPr>
          <w:p w14:paraId="0D65BCF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10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top"/>
          </w:tcPr>
          <w:p w14:paraId="1746331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11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top"/>
          </w:tcPr>
          <w:p w14:paraId="3D949F8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 xml:space="preserve">12 </w:t>
            </w:r>
          </w:p>
        </w:tc>
      </w:tr>
      <w:tr w14:paraId="3E7F5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A9BFA">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A2574">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外购燃料及动力费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65AC9">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494.02</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09BA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42.96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B0AC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42.96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6920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42.96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6348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42.96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795F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42.96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A64E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42.96</w:t>
            </w:r>
          </w:p>
        </w:tc>
      </w:tr>
      <w:tr w14:paraId="54E64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02A62">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4BB06">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工资及福利费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51D9C">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745.67</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FD3B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66.15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744D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66.15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FF83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66.15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FC09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66.15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E98A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69.46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5AB0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69.46</w:t>
            </w:r>
          </w:p>
        </w:tc>
      </w:tr>
      <w:tr w14:paraId="2F2CF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E66B8">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2F24C">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保洁维护费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AF5A5">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345.53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D295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30.05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DC49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30.05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D367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30.05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B6D9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30.05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FD96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30.05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C4CB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30.05</w:t>
            </w:r>
          </w:p>
        </w:tc>
      </w:tr>
      <w:tr w14:paraId="3C609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078DE">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5955F">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管理费及其他</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79722">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287.07</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BC92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25.27</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7714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25.24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AF89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25.21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E7DA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25.17</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DB24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25.14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3B2D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25.11</w:t>
            </w:r>
          </w:p>
        </w:tc>
      </w:tr>
      <w:tr w14:paraId="26F7D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A6A6D">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5</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3DC4C">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经营成本（1+2+3+4+5+6）</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8E3C4">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1872.28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6637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164.42</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4064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164.39</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8163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164.36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3785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164.33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F00C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167.61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B47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167.57</w:t>
            </w:r>
          </w:p>
        </w:tc>
      </w:tr>
      <w:tr w14:paraId="7B0CC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7C182">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6</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97DDF">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折旧费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6CA05">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4319.12</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2134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375.58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CC31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375.58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6DC1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375.58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DE00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375.58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4A2A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375.58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E7F1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375.58</w:t>
            </w:r>
          </w:p>
        </w:tc>
      </w:tr>
      <w:tr w14:paraId="542B1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E473A">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7</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157F0">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摊销费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4FBEC">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FEB9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D47F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2D52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B399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F9ED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018B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r>
      <w:tr w14:paraId="5002F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9DA84">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8</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2F96B">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利息支出</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5E19E">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1982.25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E2D0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171.00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42DF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142.88</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1B11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113.63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CB8B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83.25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85EB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51.75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D80B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27.00</w:t>
            </w:r>
          </w:p>
        </w:tc>
      </w:tr>
      <w:tr w14:paraId="0D7C2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5F6B3">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9</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21BD3">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总成本费用合计（6+7+8+9）</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AD8AC">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8173.65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50C3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711.00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CE0E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682.84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74A5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653.56</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D3FC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623.15</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673F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594.93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23AE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570.15</w:t>
            </w:r>
          </w:p>
        </w:tc>
      </w:tr>
      <w:tr w14:paraId="69956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7BA92">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9.1</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07954">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其中：固定成本</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E89C9">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6588.43</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3AD3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571.84</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8B5E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543.69</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0AD6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514.41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7B8E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484.00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76A2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452.47</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9A15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427.69</w:t>
            </w:r>
          </w:p>
        </w:tc>
      </w:tr>
      <w:tr w14:paraId="29AF7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378CC">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9.2</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21A1B">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可变成本</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AEE6B">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1239.69</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E98C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109.11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1DBE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109.11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1271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109.11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CC1E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109.11</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E5EF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112.42</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5307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112.42</w:t>
            </w:r>
          </w:p>
        </w:tc>
      </w:tr>
    </w:tbl>
    <w:p w14:paraId="5647648F">
      <w:pPr>
        <w:ind w:left="0" w:leftChars="0" w:firstLine="0" w:firstLineChars="0"/>
        <w:rPr>
          <w:rFonts w:hint="eastAsia" w:ascii="宋体" w:hAnsi="宋体" w:eastAsia="宋体" w:cs="宋体"/>
          <w:b/>
          <w:bCs/>
          <w:lang w:val="en-US" w:eastAsia="zh-CN"/>
        </w:rPr>
      </w:pPr>
      <w:r>
        <w:rPr>
          <w:rFonts w:hint="eastAsia" w:ascii="宋体" w:hAnsi="宋体" w:eastAsia="宋体" w:cs="宋体"/>
          <w:b/>
          <w:bCs/>
          <w:lang w:val="en-US" w:eastAsia="zh-CN"/>
        </w:rPr>
        <w:br w:type="page"/>
      </w:r>
    </w:p>
    <w:p w14:paraId="22A3A418">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0"/>
        <w:rPr>
          <w:rFonts w:hint="eastAsia" w:ascii="宋体" w:hAnsi="宋体" w:eastAsia="宋体" w:cs="宋体"/>
          <w:b/>
          <w:bCs/>
          <w:i w:val="0"/>
          <w:iCs w:val="0"/>
          <w:color w:val="auto"/>
          <w:kern w:val="0"/>
          <w:sz w:val="28"/>
          <w:szCs w:val="28"/>
          <w:u w:val="none"/>
          <w:lang w:val="en-US" w:eastAsia="zh-CN"/>
        </w:rPr>
      </w:pPr>
      <w:bookmarkStart w:id="146" w:name="_Toc3902"/>
      <w:bookmarkStart w:id="147" w:name="_Toc11083"/>
      <w:r>
        <w:rPr>
          <w:rFonts w:hint="eastAsia" w:ascii="宋体" w:hAnsi="宋体" w:eastAsia="宋体" w:cs="宋体"/>
          <w:b/>
          <w:bCs/>
          <w:i w:val="0"/>
          <w:iCs w:val="0"/>
          <w:color w:val="auto"/>
          <w:kern w:val="0"/>
          <w:sz w:val="28"/>
          <w:szCs w:val="28"/>
          <w:u w:val="none"/>
          <w:lang w:val="en-US" w:eastAsia="zh-CN"/>
        </w:rPr>
        <w:t>附表5：利润及利润分配表</w:t>
      </w:r>
      <w:bookmarkEnd w:id="145"/>
      <w:bookmarkEnd w:id="146"/>
      <w:bookmarkEnd w:id="147"/>
    </w:p>
    <w:tbl>
      <w:tblPr>
        <w:tblStyle w:val="16"/>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32"/>
        <w:gridCol w:w="3015"/>
        <w:gridCol w:w="1440"/>
        <w:gridCol w:w="1446"/>
        <w:gridCol w:w="1446"/>
        <w:gridCol w:w="1446"/>
        <w:gridCol w:w="1446"/>
        <w:gridCol w:w="1446"/>
        <w:gridCol w:w="1446"/>
      </w:tblGrid>
      <w:tr w14:paraId="38071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blHeader/>
        </w:trPr>
        <w:tc>
          <w:tcPr>
            <w:tcW w:w="13963" w:type="dxa"/>
            <w:gridSpan w:val="9"/>
            <w:tcBorders>
              <w:top w:val="nil"/>
              <w:left w:val="nil"/>
              <w:bottom w:val="nil"/>
              <w:right w:val="nil"/>
            </w:tcBorders>
            <w:shd w:val="clear" w:color="auto" w:fill="auto"/>
            <w:noWrap/>
            <w:vAlign w:val="center"/>
          </w:tcPr>
          <w:p w14:paraId="42B534D4">
            <w:pPr>
              <w:keepNext w:val="0"/>
              <w:keepLines w:val="0"/>
              <w:pageBreakBefore w:val="0"/>
              <w:widowControl/>
              <w:suppressLineNumbers w:val="0"/>
              <w:kinsoku/>
              <w:wordWrap/>
              <w:overflowPunct/>
              <w:topLinePunct w:val="0"/>
              <w:autoSpaceDE/>
              <w:autoSpaceDN/>
              <w:bidi w:val="0"/>
              <w:adjustRightInd/>
              <w:snapToGrid/>
              <w:spacing w:line="240" w:lineRule="auto"/>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单位：万元</w:t>
            </w:r>
          </w:p>
        </w:tc>
      </w:tr>
      <w:tr w14:paraId="305BD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blHeader/>
        </w:trPr>
        <w:tc>
          <w:tcPr>
            <w:tcW w:w="8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0B35E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序号</w:t>
            </w:r>
          </w:p>
        </w:tc>
        <w:tc>
          <w:tcPr>
            <w:tcW w:w="30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00543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项 目</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6BCAA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合计</w:t>
            </w:r>
          </w:p>
        </w:tc>
        <w:tc>
          <w:tcPr>
            <w:tcW w:w="867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43460F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计算期</w:t>
            </w:r>
          </w:p>
        </w:tc>
      </w:tr>
      <w:tr w14:paraId="2256F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blHeader/>
        </w:trPr>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BE315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p>
        </w:tc>
        <w:tc>
          <w:tcPr>
            <w:tcW w:w="30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B3E2E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B936A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884B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default" w:ascii="宋体" w:hAnsi="宋体" w:eastAsia="宋体" w:cs="宋体"/>
                <w:b/>
                <w:bCs/>
                <w:i w:val="0"/>
                <w:iCs w:val="0"/>
                <w:color w:val="000000"/>
                <w:kern w:val="0"/>
                <w:sz w:val="18"/>
                <w:szCs w:val="18"/>
                <w:u w:val="none"/>
                <w:lang w:val="en-US" w:eastAsia="zh-CN" w:bidi="ar"/>
              </w:rPr>
            </w:pPr>
            <w:r>
              <w:rPr>
                <w:rFonts w:hint="eastAsia" w:ascii="宋体" w:hAnsi="宋体" w:cs="宋体"/>
                <w:b/>
                <w:bCs/>
                <w:i w:val="0"/>
                <w:iCs w:val="0"/>
                <w:color w:val="000000"/>
                <w:kern w:val="0"/>
                <w:sz w:val="18"/>
                <w:szCs w:val="18"/>
                <w:u w:val="none"/>
                <w:lang w:val="en-US" w:eastAsia="zh-CN" w:bidi="ar"/>
              </w:rPr>
              <w:t>0.5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69F6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default" w:ascii="宋体" w:hAnsi="宋体" w:eastAsia="宋体" w:cs="宋体"/>
                <w:b/>
                <w:bCs/>
                <w:i w:val="0"/>
                <w:iCs w:val="0"/>
                <w:color w:val="000000"/>
                <w:kern w:val="0"/>
                <w:sz w:val="18"/>
                <w:szCs w:val="18"/>
                <w:u w:val="none"/>
                <w:lang w:val="en-US" w:eastAsia="zh-CN" w:bidi="ar"/>
              </w:rPr>
            </w:pPr>
            <w:r>
              <w:rPr>
                <w:rFonts w:hint="eastAsia" w:ascii="宋体" w:hAnsi="宋体" w:cs="宋体"/>
                <w:b/>
                <w:bCs/>
                <w:i w:val="0"/>
                <w:iCs w:val="0"/>
                <w:color w:val="000000"/>
                <w:kern w:val="0"/>
                <w:sz w:val="18"/>
                <w:szCs w:val="18"/>
                <w:u w:val="none"/>
                <w:lang w:val="en-US" w:eastAsia="zh-CN" w:bidi="ar"/>
              </w:rPr>
              <w:t>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6262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03B4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31F6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5DF0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6</w:t>
            </w:r>
          </w:p>
        </w:tc>
      </w:tr>
      <w:tr w14:paraId="2B551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4C96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BC5D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营业收入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40F9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14353.45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B622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615.45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CBE9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1232.78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D438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1234.67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6FA2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1236.58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8930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1238.49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4E5F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1238.65</w:t>
            </w:r>
          </w:p>
        </w:tc>
      </w:tr>
      <w:tr w14:paraId="09F80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06FB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D2D0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营业税金及附加</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C01B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176.20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3F4D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7.58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FAB2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15.16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F201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15.17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1DD8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15.18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80FF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15.19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21C1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15.19</w:t>
            </w:r>
          </w:p>
        </w:tc>
      </w:tr>
      <w:tr w14:paraId="2B572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2089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0C6B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增值税</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FE05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1761.99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3E23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75.76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F547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151.62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B3FA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151.72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A910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151.82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0688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151.93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2BF0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151.88</w:t>
            </w:r>
          </w:p>
        </w:tc>
      </w:tr>
      <w:tr w14:paraId="11F8B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2254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7B84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总成本费用</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260F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8173.65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C69F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421.83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5386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827.99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4323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805.52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10B4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784.94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09B8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760.23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954C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737.50</w:t>
            </w:r>
          </w:p>
        </w:tc>
      </w:tr>
      <w:tr w14:paraId="3C688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6605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5</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CA3B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补贴收入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5435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A3E6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B0F8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C95E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6E0D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4A3C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EC70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r>
      <w:tr w14:paraId="7979D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6286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6</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8E4B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利润总额（1-2-3+4）</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0F46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4241.61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8DB0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110.28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50A9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238.02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C98D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262.26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C60A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284.64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4476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311.14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D382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334.08</w:t>
            </w:r>
          </w:p>
        </w:tc>
      </w:tr>
      <w:tr w14:paraId="48311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5D18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7</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F3B2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弥补以前年度亏损</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6765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09D3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AB90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2105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119E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9EE3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3684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r>
      <w:tr w14:paraId="19FB0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A3BD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8</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7E68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应纳税所得额（5-6）</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E8BF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4241.61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6F52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110.28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A82C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238.02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44FE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262.26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CB42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284.64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007E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311.14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D25E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334.08</w:t>
            </w:r>
          </w:p>
        </w:tc>
      </w:tr>
      <w:tr w14:paraId="74925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B630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9</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B77E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所得税</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D914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1060.40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0694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27.57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596B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59.50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8AEA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65.57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6E6A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71.16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14A2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77.79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7EC0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83.52</w:t>
            </w:r>
          </w:p>
        </w:tc>
      </w:tr>
      <w:tr w14:paraId="44542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EA6C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10</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1A11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净利润（5-8）</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26DD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3181.21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3CFE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82.71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D796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178.51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08DF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196.70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EF2D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213.48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37C9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233.36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36E6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250.56</w:t>
            </w:r>
          </w:p>
        </w:tc>
      </w:tr>
      <w:tr w14:paraId="2A921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EEE7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11</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A113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期初未分配利润</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640E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12616.11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005D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2241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74.44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05AB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235.10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5356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412.13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81AC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604.25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61B6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814.28</w:t>
            </w:r>
          </w:p>
        </w:tc>
      </w:tr>
      <w:tr w14:paraId="2A23B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0001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12</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C645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可供分配的利润（9+10）</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A42E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15797.32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4D96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82.71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B266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252.95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AB7A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431.80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4560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625.60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B898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837.61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4F0C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1064.83</w:t>
            </w:r>
          </w:p>
        </w:tc>
      </w:tr>
      <w:tr w14:paraId="1D59F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19D6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13</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2AD3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提取法定盈余公积金</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4D1E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318.12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4167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8.27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75CC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17.85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1943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19.67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49CA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21.35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51B3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23.34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4359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25.06</w:t>
            </w:r>
          </w:p>
        </w:tc>
      </w:tr>
      <w:tr w14:paraId="6B074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FBE1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14</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D85C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可供投资者分配的利润（11-12）</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62A2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15479.20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D08A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74.44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9727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235.10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3138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412.13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D036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604.25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F375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814.28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0EE7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1039.78</w:t>
            </w:r>
          </w:p>
        </w:tc>
      </w:tr>
      <w:tr w14:paraId="782B9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948B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15</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CAED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应付优先股股利</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11A5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B154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3062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D0B7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7F89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11B4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FAC0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r>
      <w:tr w14:paraId="1F3A7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616E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16</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D8C2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提取任意盈余公积金</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BC94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2E18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DF9F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0527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AAF7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DD44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B8EA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r>
      <w:tr w14:paraId="3DA17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CAAD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17</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0DC8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应付普通股股利（13-14-15）</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678E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D57D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CF74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557F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1B34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335B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3894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r>
      <w:tr w14:paraId="23A2A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CD49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18</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B233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各投资方利润分配</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F5CB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C239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E1C9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58B6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0143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63E5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5B53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r>
      <w:tr w14:paraId="4D504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0039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7C1D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其中：</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EA94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3CE1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D3E5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E8E6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9A49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175C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29A1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r>
      <w:tr w14:paraId="35240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DFE2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19</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7CFD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未分配利润（13-14-15-17）</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9CE8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15479.20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EAC3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74.44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98AB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235.10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604D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412.13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CF2B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604.25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2E87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814.28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63EA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1039.78</w:t>
            </w:r>
          </w:p>
        </w:tc>
      </w:tr>
      <w:tr w14:paraId="73B0B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C187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20</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CA2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息税前利润（利润总额+利息支出）</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C092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6223.86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7698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265.53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7B86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532.77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8D2C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534.51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B467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533.26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0389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535.02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CC2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532.08</w:t>
            </w:r>
          </w:p>
        </w:tc>
      </w:tr>
      <w:tr w14:paraId="12301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18D9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21</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6D85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息税折旧摊销前利润（息税前利润+折旧+摊销）</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B8E5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10542.98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7301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453.32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78A0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908.34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A383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910.09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0BBE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908.84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245A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910.59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1AD4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907.65</w:t>
            </w:r>
          </w:p>
        </w:tc>
      </w:tr>
    </w:tbl>
    <w:p w14:paraId="6FEFC2B2">
      <w:pPr>
        <w:rPr>
          <w:rFonts w:hint="default" w:eastAsiaTheme="minorEastAsia"/>
          <w:lang w:val="en-US" w:eastAsia="zh-CN"/>
        </w:rPr>
      </w:pPr>
      <w:r>
        <w:rPr>
          <w:rFonts w:hint="default" w:eastAsiaTheme="minorEastAsia"/>
          <w:lang w:val="en-US" w:eastAsia="zh-CN"/>
        </w:rPr>
        <w:br w:type="page"/>
      </w:r>
    </w:p>
    <w:p w14:paraId="54EE14BD">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9"/>
        <w:rPr>
          <w:rFonts w:hint="eastAsia" w:ascii="宋体" w:hAnsi="宋体" w:eastAsia="宋体" w:cs="宋体"/>
          <w:b/>
          <w:bCs/>
          <w:i w:val="0"/>
          <w:iCs w:val="0"/>
          <w:color w:val="auto"/>
          <w:kern w:val="0"/>
          <w:sz w:val="28"/>
          <w:szCs w:val="28"/>
          <w:u w:val="none"/>
          <w:lang w:val="en-US" w:eastAsia="zh-CN"/>
        </w:rPr>
      </w:pPr>
      <w:r>
        <w:rPr>
          <w:rFonts w:hint="eastAsia" w:ascii="宋体" w:hAnsi="宋体" w:eastAsia="宋体" w:cs="宋体"/>
          <w:b/>
          <w:bCs/>
          <w:i w:val="0"/>
          <w:iCs w:val="0"/>
          <w:color w:val="auto"/>
          <w:kern w:val="0"/>
          <w:sz w:val="28"/>
          <w:szCs w:val="28"/>
          <w:u w:val="none"/>
          <w:lang w:val="en-US" w:eastAsia="zh-CN"/>
        </w:rPr>
        <w:t>附表5：利润及利润分配表</w:t>
      </w:r>
    </w:p>
    <w:tbl>
      <w:tblPr>
        <w:tblStyle w:val="16"/>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32"/>
        <w:gridCol w:w="3015"/>
        <w:gridCol w:w="1440"/>
        <w:gridCol w:w="1446"/>
        <w:gridCol w:w="1446"/>
        <w:gridCol w:w="1446"/>
        <w:gridCol w:w="1446"/>
        <w:gridCol w:w="1446"/>
        <w:gridCol w:w="1446"/>
      </w:tblGrid>
      <w:tr w14:paraId="4749D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blHeader/>
        </w:trPr>
        <w:tc>
          <w:tcPr>
            <w:tcW w:w="13963" w:type="dxa"/>
            <w:gridSpan w:val="9"/>
            <w:tcBorders>
              <w:top w:val="nil"/>
              <w:left w:val="nil"/>
              <w:bottom w:val="nil"/>
              <w:right w:val="nil"/>
            </w:tcBorders>
            <w:shd w:val="clear" w:color="auto" w:fill="auto"/>
            <w:noWrap/>
            <w:vAlign w:val="center"/>
          </w:tcPr>
          <w:p w14:paraId="3E4AF13B">
            <w:pPr>
              <w:keepNext w:val="0"/>
              <w:keepLines w:val="0"/>
              <w:pageBreakBefore w:val="0"/>
              <w:widowControl/>
              <w:suppressLineNumbers w:val="0"/>
              <w:kinsoku/>
              <w:wordWrap/>
              <w:overflowPunct/>
              <w:topLinePunct w:val="0"/>
              <w:autoSpaceDE/>
              <w:autoSpaceDN/>
              <w:bidi w:val="0"/>
              <w:adjustRightInd/>
              <w:snapToGrid/>
              <w:spacing w:line="240" w:lineRule="auto"/>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单位：万元</w:t>
            </w:r>
          </w:p>
        </w:tc>
      </w:tr>
      <w:tr w14:paraId="68C55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blHeader/>
        </w:trPr>
        <w:tc>
          <w:tcPr>
            <w:tcW w:w="8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E3B69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序号</w:t>
            </w:r>
          </w:p>
        </w:tc>
        <w:tc>
          <w:tcPr>
            <w:tcW w:w="30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76C24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项 目</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6FF5C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合计</w:t>
            </w:r>
          </w:p>
        </w:tc>
        <w:tc>
          <w:tcPr>
            <w:tcW w:w="867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5D8D5C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计算期</w:t>
            </w:r>
          </w:p>
        </w:tc>
      </w:tr>
      <w:tr w14:paraId="65191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blHeader/>
        </w:trPr>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7BC75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p>
        </w:tc>
        <w:tc>
          <w:tcPr>
            <w:tcW w:w="30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C4D6B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6B4CB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5863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default" w:ascii="宋体" w:hAnsi="宋体" w:eastAsia="宋体" w:cs="宋体"/>
                <w:b/>
                <w:bCs/>
                <w:i w:val="0"/>
                <w:iCs w:val="0"/>
                <w:color w:val="000000"/>
                <w:kern w:val="0"/>
                <w:sz w:val="18"/>
                <w:szCs w:val="18"/>
                <w:u w:val="none"/>
                <w:lang w:val="en-US" w:eastAsia="zh-CN" w:bidi="ar"/>
              </w:rPr>
            </w:pPr>
            <w:r>
              <w:rPr>
                <w:rFonts w:hint="default" w:ascii="宋体" w:hAnsi="宋体" w:eastAsia="宋体" w:cs="宋体"/>
                <w:b/>
                <w:bCs/>
                <w:i w:val="0"/>
                <w:iCs w:val="0"/>
                <w:color w:val="000000"/>
                <w:kern w:val="0"/>
                <w:sz w:val="18"/>
                <w:szCs w:val="18"/>
                <w:u w:val="none"/>
                <w:lang w:val="en-US" w:eastAsia="zh-CN" w:bidi="ar"/>
              </w:rPr>
              <w:t>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C8F6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default" w:ascii="宋体" w:hAnsi="宋体" w:eastAsia="宋体" w:cs="宋体"/>
                <w:b/>
                <w:bCs/>
                <w:i w:val="0"/>
                <w:iCs w:val="0"/>
                <w:color w:val="000000"/>
                <w:kern w:val="0"/>
                <w:sz w:val="18"/>
                <w:szCs w:val="18"/>
                <w:u w:val="none"/>
                <w:lang w:val="en-US" w:eastAsia="zh-CN" w:bidi="ar"/>
              </w:rPr>
            </w:pPr>
            <w:r>
              <w:rPr>
                <w:rFonts w:hint="default" w:ascii="宋体" w:hAnsi="宋体" w:eastAsia="宋体" w:cs="宋体"/>
                <w:b/>
                <w:bCs/>
                <w:i w:val="0"/>
                <w:iCs w:val="0"/>
                <w:color w:val="000000"/>
                <w:kern w:val="0"/>
                <w:sz w:val="18"/>
                <w:szCs w:val="18"/>
                <w:u w:val="none"/>
                <w:lang w:val="en-US" w:eastAsia="zh-CN" w:bidi="ar"/>
              </w:rPr>
              <w:t>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2914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default" w:ascii="宋体" w:hAnsi="宋体" w:eastAsia="宋体" w:cs="宋体"/>
                <w:b/>
                <w:bCs/>
                <w:i w:val="0"/>
                <w:iCs w:val="0"/>
                <w:color w:val="000000"/>
                <w:kern w:val="0"/>
                <w:sz w:val="18"/>
                <w:szCs w:val="18"/>
                <w:u w:val="none"/>
                <w:lang w:val="en-US" w:eastAsia="zh-CN" w:bidi="ar"/>
              </w:rPr>
              <w:t>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6F5D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default" w:ascii="宋体" w:hAnsi="宋体" w:eastAsia="宋体" w:cs="宋体"/>
                <w:b/>
                <w:bCs/>
                <w:i w:val="0"/>
                <w:iCs w:val="0"/>
                <w:color w:val="000000"/>
                <w:kern w:val="0"/>
                <w:sz w:val="18"/>
                <w:szCs w:val="18"/>
                <w:u w:val="none"/>
                <w:lang w:val="en-US" w:eastAsia="zh-CN" w:bidi="ar"/>
              </w:rPr>
              <w:t>10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4E65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default" w:ascii="宋体" w:hAnsi="宋体" w:eastAsia="宋体" w:cs="宋体"/>
                <w:b/>
                <w:bCs/>
                <w:i w:val="0"/>
                <w:iCs w:val="0"/>
                <w:color w:val="000000"/>
                <w:kern w:val="0"/>
                <w:sz w:val="18"/>
                <w:szCs w:val="18"/>
                <w:u w:val="none"/>
                <w:lang w:val="en-US" w:eastAsia="zh-CN" w:bidi="ar"/>
              </w:rPr>
              <w:t>11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B8AE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default" w:ascii="宋体" w:hAnsi="宋体" w:eastAsia="宋体" w:cs="宋体"/>
                <w:b/>
                <w:bCs/>
                <w:i w:val="0"/>
                <w:iCs w:val="0"/>
                <w:color w:val="000000"/>
                <w:kern w:val="0"/>
                <w:sz w:val="18"/>
                <w:szCs w:val="18"/>
                <w:u w:val="none"/>
                <w:lang w:val="en-US" w:eastAsia="zh-CN" w:bidi="ar"/>
              </w:rPr>
              <w:t>12</w:t>
            </w:r>
          </w:p>
        </w:tc>
      </w:tr>
      <w:tr w14:paraId="31055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0C68B">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66AF1">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营业收入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3FA33">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14353.45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FE30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1263.41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7731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1261.83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A831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1260.25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595E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1258.68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E049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1257.12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AEB8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1255.56</w:t>
            </w:r>
          </w:p>
        </w:tc>
      </w:tr>
      <w:tr w14:paraId="1C165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F7087">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420B4">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营业税金及附加</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C4F4B">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176.20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56B7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15.51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C2BA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15.48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D064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15.46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2DC8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15.44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F1E3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15.42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B705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15.40</w:t>
            </w:r>
          </w:p>
        </w:tc>
      </w:tr>
      <w:tr w14:paraId="37065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833D4">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61B82">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增值税</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E3B01">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1761.99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BA91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155.05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C50E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154.85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6D70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154.65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8EF8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154.44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0FF9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154.24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E44D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154.04</w:t>
            </w:r>
          </w:p>
        </w:tc>
      </w:tr>
      <w:tr w14:paraId="446CD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AA334">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A4EC0">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总成本费用</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81CF1">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8173.65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9708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711.00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4F3A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682.84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BB3F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653.56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C215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623.15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35A3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594.93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15D5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570.15</w:t>
            </w:r>
          </w:p>
        </w:tc>
      </w:tr>
      <w:tr w14:paraId="6C999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F3CE5">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5</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08EEC">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补贴收入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0FFB3">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E420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4ED6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4E0E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DE5F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B872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B6C0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r>
      <w:tr w14:paraId="77A28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82694">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6</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2C22E">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利润总额（1-2-3+4）</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7C990">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4241.61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9448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381.85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BE29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408.65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E7FA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436.58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A4DF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465.64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6C2D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492.52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00F7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515.96</w:t>
            </w:r>
          </w:p>
        </w:tc>
      </w:tr>
      <w:tr w14:paraId="55FFB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8A9C2">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7</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8ABEF">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弥补以前年度亏损</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9231B">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215D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340B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2642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D513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1A55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FF56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r>
      <w:tr w14:paraId="7A63E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29371">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8</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5E550">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应纳税所得额（5-6）</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E0130">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4241.61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2341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381.85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FC5F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408.65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3698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436.58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66A7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465.64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DF89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492.52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C009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515.96</w:t>
            </w:r>
          </w:p>
        </w:tc>
      </w:tr>
      <w:tr w14:paraId="56133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A9133">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9</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918CA">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所得税</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DDDD3">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1060.40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13BA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95.46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8401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102.16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C6B0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109.14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AF54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116.41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CA6E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123.13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00FB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128.99</w:t>
            </w:r>
          </w:p>
        </w:tc>
      </w:tr>
      <w:tr w14:paraId="0C88A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985B">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10</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A7048">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净利润（5-8）</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426DF">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3181.21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FA20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286.39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7227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306.49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C5FE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327.43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55CA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349.23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17DB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369.39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2095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386.97</w:t>
            </w:r>
          </w:p>
        </w:tc>
      </w:tr>
      <w:tr w14:paraId="05986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5D001">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11</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8F526">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期初未分配利润</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5F38C">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12616.11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1CD9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1039.78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A681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1297.53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EE24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1573.37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4832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1868.06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683C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2182.36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E5AD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2514.81</w:t>
            </w:r>
          </w:p>
        </w:tc>
      </w:tr>
      <w:tr w14:paraId="68BAF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86964">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12</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1B667">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可供分配的利润（9+10）</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1DAC1">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15797.32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C5F7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1326.17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32BB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1604.02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083C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1900.80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88FB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2217.29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9A81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2551.75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E6D2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2901.79</w:t>
            </w:r>
          </w:p>
        </w:tc>
      </w:tr>
      <w:tr w14:paraId="3D2CC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2516A">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13</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10A8E">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提取法定盈余公积金</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69B54">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318.12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7D10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28.64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EC3C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30.65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C85E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32.74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FB51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34.92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AC7D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36.94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62E0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38.70</w:t>
            </w:r>
          </w:p>
        </w:tc>
      </w:tr>
      <w:tr w14:paraId="01AED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F693D">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14</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CD26E">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可供投资者分配的利润（11-12）</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C132F">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15479.20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E123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1297.53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0B64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1573.37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CC9F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1868.06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1FA1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2182.36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30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2514.81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869F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2863.09</w:t>
            </w:r>
          </w:p>
        </w:tc>
      </w:tr>
      <w:tr w14:paraId="53F26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F20DF">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15</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E73B3">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应付优先股股利</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DCF15">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7240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0907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0C8F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89F5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9F48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2E30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r>
      <w:tr w14:paraId="0E4E9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18BCD">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16</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9632E">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提取任意盈余公积金</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C345D">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2A2D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37CC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74D6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9429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2137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7FBB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r>
      <w:tr w14:paraId="5BE8A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2A9C2">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17</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2755D">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应付普通股股利（13-14-15）</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1140E">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CBA7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4C66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EE26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688C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7D8B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1097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r>
      <w:tr w14:paraId="5B3F1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C9D85">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18</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49B9D">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各投资方利润分配</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2676D">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3CF5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6F72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BC02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ED6B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19F2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AD7B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r>
      <w:tr w14:paraId="50C8C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11B2A">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4146F">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其中：</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C2850">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CAA6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3EF1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82F1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DF5E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0B53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C09D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r>
      <w:tr w14:paraId="6D605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CC967">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19</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217C0">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未分配利润（13-14-15-17）</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1E7C3">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15479.20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828A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1297.53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ADE8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1573.37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7575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1868.06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724B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2182.36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CD36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2514.81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7F70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2863.09</w:t>
            </w:r>
          </w:p>
        </w:tc>
      </w:tr>
      <w:tr w14:paraId="7E3D6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7A13A">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20</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F2D10">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息税前利润（利润总额+利息支出）</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E7EA5">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6223.86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95A9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552.85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DBFA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551.53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7AEA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550.20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8D5F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548.89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B09A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544.27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D18E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542.96</w:t>
            </w:r>
          </w:p>
        </w:tc>
      </w:tr>
      <w:tr w14:paraId="7AAE5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E35B7">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21</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8059B">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息税折旧摊销前利润（息税前利润+折旧+摊销）</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E53B8">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10542.98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00BC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928.43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9A69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927.10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CCD5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925.78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5BCF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924.46</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99DA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919.84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CABD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918.54</w:t>
            </w:r>
          </w:p>
        </w:tc>
      </w:tr>
    </w:tbl>
    <w:p w14:paraId="23C9ED70">
      <w:pPr>
        <w:keepNext w:val="0"/>
        <w:keepLines w:val="0"/>
        <w:pageBreakBefore w:val="0"/>
        <w:kinsoku/>
        <w:wordWrap/>
        <w:overflowPunct/>
        <w:topLinePunct w:val="0"/>
        <w:autoSpaceDE/>
        <w:autoSpaceDN/>
        <w:bidi w:val="0"/>
        <w:adjustRightInd/>
        <w:snapToGrid/>
        <w:spacing w:line="240" w:lineRule="auto"/>
        <w:ind w:left="0" w:leftChars="0" w:firstLine="0" w:firstLineChars="0"/>
        <w:rPr>
          <w:rFonts w:hint="default" w:eastAsiaTheme="minorEastAsia"/>
          <w:lang w:val="en-US" w:eastAsia="zh-CN"/>
        </w:rPr>
      </w:pPr>
      <w:r>
        <w:rPr>
          <w:rFonts w:hint="default" w:eastAsiaTheme="minorEastAsia"/>
          <w:lang w:val="en-US" w:eastAsia="zh-CN"/>
        </w:rPr>
        <w:br w:type="page"/>
      </w:r>
    </w:p>
    <w:p w14:paraId="66F15D78">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0"/>
        <w:rPr>
          <w:rFonts w:hint="eastAsia" w:ascii="宋体" w:hAnsi="宋体" w:eastAsia="宋体" w:cs="宋体"/>
          <w:b/>
          <w:bCs/>
          <w:i w:val="0"/>
          <w:iCs w:val="0"/>
          <w:color w:val="auto"/>
          <w:kern w:val="0"/>
          <w:sz w:val="28"/>
          <w:szCs w:val="28"/>
          <w:u w:val="none"/>
          <w:lang w:val="en-US" w:eastAsia="zh-CN"/>
        </w:rPr>
      </w:pPr>
      <w:bookmarkStart w:id="148" w:name="_Toc19934"/>
      <w:bookmarkStart w:id="149" w:name="_Toc8976"/>
      <w:bookmarkStart w:id="150" w:name="_Toc9189"/>
      <w:r>
        <w:rPr>
          <w:rFonts w:hint="eastAsia" w:ascii="宋体" w:hAnsi="宋体" w:eastAsia="宋体" w:cs="宋体"/>
          <w:b/>
          <w:bCs/>
          <w:i w:val="0"/>
          <w:iCs w:val="0"/>
          <w:color w:val="auto"/>
          <w:kern w:val="0"/>
          <w:sz w:val="28"/>
          <w:szCs w:val="28"/>
          <w:u w:val="none"/>
          <w:lang w:val="en-US" w:eastAsia="zh-CN"/>
        </w:rPr>
        <w:t>附表6：项目投资现金流量表</w:t>
      </w:r>
      <w:bookmarkEnd w:id="148"/>
      <w:bookmarkEnd w:id="149"/>
      <w:bookmarkEnd w:id="150"/>
    </w:p>
    <w:tbl>
      <w:tblPr>
        <w:tblStyle w:val="16"/>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8"/>
        <w:gridCol w:w="2835"/>
        <w:gridCol w:w="1169"/>
        <w:gridCol w:w="1538"/>
        <w:gridCol w:w="1538"/>
        <w:gridCol w:w="1538"/>
        <w:gridCol w:w="1538"/>
        <w:gridCol w:w="1538"/>
        <w:gridCol w:w="1541"/>
      </w:tblGrid>
      <w:tr w14:paraId="1AEB6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tblHeader/>
        </w:trPr>
        <w:tc>
          <w:tcPr>
            <w:tcW w:w="13993" w:type="dxa"/>
            <w:gridSpan w:val="9"/>
            <w:tcBorders>
              <w:top w:val="nil"/>
              <w:left w:val="nil"/>
              <w:bottom w:val="nil"/>
              <w:right w:val="nil"/>
            </w:tcBorders>
            <w:shd w:val="clear" w:color="auto" w:fill="auto"/>
            <w:noWrap/>
            <w:vAlign w:val="center"/>
          </w:tcPr>
          <w:p w14:paraId="720616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单位：万元</w:t>
            </w:r>
          </w:p>
        </w:tc>
      </w:tr>
      <w:tr w14:paraId="6A083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20" w:hRule="atLeast"/>
          <w:tblHeader/>
        </w:trPr>
        <w:tc>
          <w:tcPr>
            <w:tcW w:w="7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11724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序号</w:t>
            </w:r>
          </w:p>
        </w:tc>
        <w:tc>
          <w:tcPr>
            <w:tcW w:w="28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6F280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项 目</w:t>
            </w:r>
          </w:p>
        </w:tc>
        <w:tc>
          <w:tcPr>
            <w:tcW w:w="11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AF217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合计</w:t>
            </w:r>
          </w:p>
        </w:tc>
        <w:tc>
          <w:tcPr>
            <w:tcW w:w="92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404E4F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计算期</w:t>
            </w:r>
          </w:p>
        </w:tc>
      </w:tr>
      <w:tr w14:paraId="31C1B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blHeader/>
        </w:trPr>
        <w:tc>
          <w:tcPr>
            <w:tcW w:w="7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1BD25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p>
        </w:tc>
        <w:tc>
          <w:tcPr>
            <w:tcW w:w="2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3EE3F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p>
        </w:tc>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EE3D3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782A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1</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E5EC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2</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3430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3</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EDE0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4</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F20A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5</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5D59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6</w:t>
            </w:r>
          </w:p>
        </w:tc>
      </w:tr>
      <w:tr w14:paraId="7A05B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836D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240C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现金流入</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20A6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18723.18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E3CC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1397.44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EF60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1232.78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3E31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1234.67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39C9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1236.58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23B5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1238.49</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C41B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1238.65</w:t>
            </w:r>
          </w:p>
        </w:tc>
      </w:tr>
      <w:tr w14:paraId="0757D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F0A5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1.1</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6380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营业收入</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9399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14353.45</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B520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615.45</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5E2D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1232.78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608A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1234.67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01C1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1236.58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E7E0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1238.49</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BE6E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1238.65</w:t>
            </w:r>
          </w:p>
        </w:tc>
      </w:tr>
      <w:tr w14:paraId="412B4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BF65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1.2</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5D86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留抵退税</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0191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5BF3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782.00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B39F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78DC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F410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038F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6160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r>
      <w:tr w14:paraId="6DAA3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E2FB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1.3</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970B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回收固定资产余值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47F6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3587.73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11BE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C872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B595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0B65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BCF4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800B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r>
      <w:tr w14:paraId="4AF4F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D034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1.4</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C780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回收流动资金</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B9EF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1DFB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51AE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826D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BEBF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A1B0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FC3C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r>
      <w:tr w14:paraId="0BB3C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D755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DD7A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现金流出</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6047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12499.32</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15A0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8850.97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5443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324.44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D960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324.59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1BFE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327.74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A28A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327.89</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68E4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330.99</w:t>
            </w:r>
          </w:p>
        </w:tc>
      </w:tr>
      <w:tr w14:paraId="27A36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9C22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2.1</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A788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建设投资</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BB41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8688.84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8C3D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8688.84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7100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C6A6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5633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113B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AD20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r>
      <w:tr w14:paraId="5E05E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DE00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2.2</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EC01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流动资金</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C228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2D41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8515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FC6A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5BEA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D73C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5AB7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r>
      <w:tr w14:paraId="3D3EB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AA59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2.3</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189E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经营成本</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6AE8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1872.28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E5F4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78.79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E459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157.66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E974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157.70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645E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160.74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770A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160.78</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D79E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163.93</w:t>
            </w:r>
          </w:p>
        </w:tc>
      </w:tr>
      <w:tr w14:paraId="58559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080C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2.4</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BA2D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营业税金及附加</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7BED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176.20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4B1F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7.58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A719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15.16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70FC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15.17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E185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15.18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1B70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15.19</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29A1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15.19</w:t>
            </w:r>
          </w:p>
        </w:tc>
      </w:tr>
      <w:tr w14:paraId="1993F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FFEC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2.5</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CECE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增值税</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6030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1761.99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3E5E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75.76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55A0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151.62</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CB15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151.72</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5440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151.82</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0450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151.93</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3EA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151.88</w:t>
            </w:r>
          </w:p>
        </w:tc>
      </w:tr>
      <w:tr w14:paraId="5C1D8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86EE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2.6</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05CB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维持运营投资</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F1BD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D669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BE10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74D6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AD05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89BE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6863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r>
      <w:tr w14:paraId="75223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7257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6FEA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所得税前净现金流量（1-2）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247F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6223.86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86FF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-7453.53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0B3C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908.34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18AC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910.09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38FD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908.84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902F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910.59</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633F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907.65</w:t>
            </w:r>
          </w:p>
        </w:tc>
      </w:tr>
      <w:tr w14:paraId="6CF31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C9D0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960E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累计所得税前净现金流量</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4A18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17B9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-7453.53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2FD8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-6545.19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7233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-5635.10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789F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-4726.27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309F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-3815.68</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902C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-2908.02</w:t>
            </w:r>
          </w:p>
        </w:tc>
      </w:tr>
      <w:tr w14:paraId="5EAB0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7462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5</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7F06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所得税前净现金流量现值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A1E6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2920.30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B36C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-7153.10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9105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836.59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3982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804.41</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B1CD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770.93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45A7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741.28</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7949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709.11</w:t>
            </w:r>
          </w:p>
        </w:tc>
      </w:tr>
      <w:tr w14:paraId="646E0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D0F0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6</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75DE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累计所得税前净现金流量现值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90A9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0A82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-7153.10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21BD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-6316.51</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9B8B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-5512.10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4611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-4741.17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2FE8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-3999.88</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64DF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-3290.77</w:t>
            </w:r>
          </w:p>
        </w:tc>
      </w:tr>
      <w:tr w14:paraId="3E01F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4177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7</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5E99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调整所得税</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FE05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1032.83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1867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1369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59.50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214C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65.57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EB49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71.16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3EC9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77.79</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86FC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83.52</w:t>
            </w:r>
          </w:p>
        </w:tc>
      </w:tr>
      <w:tr w14:paraId="296A7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AFBE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8</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9867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所得税后净现金流量（3-5）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F7B2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5191.03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5E8F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-7453.53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74F2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848.84</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450F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844.52</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0252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837.68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F91B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832.81</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4F87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824.13</w:t>
            </w:r>
          </w:p>
        </w:tc>
      </w:tr>
      <w:tr w14:paraId="26CA5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8AB4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9</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A32A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累计所得税后净现金流量</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DFFC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1E38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-7453.53</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7EEB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-6604.69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47BE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-5760.17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5E56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-4922.50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973B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-4089.69</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373A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-3265.56</w:t>
            </w:r>
          </w:p>
        </w:tc>
      </w:tr>
      <w:tr w14:paraId="3BDD4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D8F1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970D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所得税后净现金流量现值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EB88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2151.65</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8D67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-7153.10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D709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781.79</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1907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746.46</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7E8E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710.57</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09E7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677.96</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8335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643.86</w:t>
            </w:r>
          </w:p>
        </w:tc>
      </w:tr>
      <w:tr w14:paraId="69EBA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DBE5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11</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0601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累计所得税后净现金流量现值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5804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133F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-7153.10</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A0DD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-6371.31</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88EC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-5624.85</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E7B0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-4914.28</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4BC3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-4236.32</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D093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-3592.46</w:t>
            </w:r>
          </w:p>
        </w:tc>
      </w:tr>
    </w:tbl>
    <w:p w14:paraId="5CA6BEF1">
      <w:pPr>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14:paraId="1ABE5E56">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9"/>
        <w:rPr>
          <w:rFonts w:hint="eastAsia" w:ascii="宋体" w:hAnsi="宋体" w:eastAsia="宋体" w:cs="宋体"/>
          <w:b/>
          <w:bCs/>
          <w:i w:val="0"/>
          <w:iCs w:val="0"/>
          <w:color w:val="auto"/>
          <w:kern w:val="0"/>
          <w:sz w:val="28"/>
          <w:szCs w:val="28"/>
          <w:u w:val="none"/>
          <w:lang w:val="en-US" w:eastAsia="zh-CN"/>
        </w:rPr>
      </w:pPr>
      <w:r>
        <w:rPr>
          <w:rFonts w:hint="eastAsia" w:ascii="宋体" w:hAnsi="宋体" w:eastAsia="宋体" w:cs="宋体"/>
          <w:b/>
          <w:bCs/>
          <w:i w:val="0"/>
          <w:iCs w:val="0"/>
          <w:color w:val="auto"/>
          <w:kern w:val="0"/>
          <w:sz w:val="28"/>
          <w:szCs w:val="28"/>
          <w:u w:val="none"/>
          <w:lang w:val="en-US" w:eastAsia="zh-CN"/>
        </w:rPr>
        <w:t>附表6：项目投资现金流量表</w:t>
      </w:r>
    </w:p>
    <w:tbl>
      <w:tblPr>
        <w:tblStyle w:val="16"/>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31"/>
        <w:gridCol w:w="2710"/>
        <w:gridCol w:w="851"/>
        <w:gridCol w:w="416"/>
        <w:gridCol w:w="236"/>
        <w:gridCol w:w="984"/>
        <w:gridCol w:w="280"/>
        <w:gridCol w:w="704"/>
        <w:gridCol w:w="795"/>
        <w:gridCol w:w="189"/>
        <w:gridCol w:w="984"/>
        <w:gridCol w:w="326"/>
        <w:gridCol w:w="658"/>
        <w:gridCol w:w="841"/>
        <w:gridCol w:w="143"/>
        <w:gridCol w:w="984"/>
        <w:gridCol w:w="371"/>
        <w:gridCol w:w="612"/>
        <w:gridCol w:w="942"/>
      </w:tblGrid>
      <w:tr w14:paraId="26973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blHeader/>
        </w:trPr>
        <w:tc>
          <w:tcPr>
            <w:tcW w:w="13957" w:type="dxa"/>
            <w:gridSpan w:val="19"/>
            <w:tcBorders>
              <w:top w:val="nil"/>
              <w:left w:val="nil"/>
              <w:bottom w:val="nil"/>
              <w:right w:val="nil"/>
            </w:tcBorders>
            <w:shd w:val="clear" w:color="auto" w:fill="auto"/>
            <w:noWrap/>
            <w:vAlign w:val="center"/>
          </w:tcPr>
          <w:p w14:paraId="5A6FD7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单位：万元</w:t>
            </w:r>
          </w:p>
        </w:tc>
      </w:tr>
      <w:tr w14:paraId="06C61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blHeader/>
        </w:trPr>
        <w:tc>
          <w:tcPr>
            <w:tcW w:w="9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8031E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序号</w:t>
            </w:r>
          </w:p>
        </w:tc>
        <w:tc>
          <w:tcPr>
            <w:tcW w:w="2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09B1E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项 目</w:t>
            </w:r>
          </w:p>
        </w:tc>
        <w:tc>
          <w:tcPr>
            <w:tcW w:w="126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2C1CB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合计</w:t>
            </w:r>
          </w:p>
        </w:tc>
        <w:tc>
          <w:tcPr>
            <w:tcW w:w="9049"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69B53EE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计算期</w:t>
            </w:r>
          </w:p>
        </w:tc>
      </w:tr>
      <w:tr w14:paraId="053EF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blHeader/>
        </w:trPr>
        <w:tc>
          <w:tcPr>
            <w:tcW w:w="9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B96C7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p>
        </w:tc>
        <w:tc>
          <w:tcPr>
            <w:tcW w:w="2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6AD77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p>
        </w:tc>
        <w:tc>
          <w:tcPr>
            <w:tcW w:w="126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B8AB8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3D080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default" w:ascii="宋体" w:hAnsi="宋体" w:eastAsia="宋体" w:cs="宋体"/>
                <w:b/>
                <w:bCs/>
                <w:i w:val="0"/>
                <w:iCs w:val="0"/>
                <w:color w:val="000000"/>
                <w:kern w:val="0"/>
                <w:sz w:val="18"/>
                <w:szCs w:val="18"/>
                <w:u w:val="none"/>
                <w:lang w:val="en-US" w:eastAsia="zh-CN" w:bidi="ar"/>
              </w:rPr>
              <w:t>7</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EDF9F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default" w:ascii="宋体" w:hAnsi="宋体" w:eastAsia="宋体" w:cs="宋体"/>
                <w:b/>
                <w:bCs/>
                <w:i w:val="0"/>
                <w:iCs w:val="0"/>
                <w:color w:val="000000"/>
                <w:kern w:val="0"/>
                <w:sz w:val="18"/>
                <w:szCs w:val="18"/>
                <w:u w:val="none"/>
                <w:lang w:val="en-US" w:eastAsia="zh-CN" w:bidi="ar"/>
              </w:rPr>
              <w:t>8</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CD253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default" w:ascii="宋体" w:hAnsi="宋体" w:eastAsia="宋体" w:cs="宋体"/>
                <w:b/>
                <w:bCs/>
                <w:i w:val="0"/>
                <w:iCs w:val="0"/>
                <w:color w:val="000000"/>
                <w:kern w:val="0"/>
                <w:sz w:val="18"/>
                <w:szCs w:val="18"/>
                <w:u w:val="none"/>
                <w:lang w:val="en-US" w:eastAsia="zh-CN" w:bidi="ar"/>
              </w:rPr>
              <w:t>9</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48979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default" w:ascii="宋体" w:hAnsi="宋体" w:eastAsia="宋体" w:cs="宋体"/>
                <w:b/>
                <w:bCs/>
                <w:i w:val="0"/>
                <w:iCs w:val="0"/>
                <w:color w:val="000000"/>
                <w:kern w:val="0"/>
                <w:sz w:val="18"/>
                <w:szCs w:val="18"/>
                <w:u w:val="none"/>
                <w:lang w:val="en-US" w:eastAsia="zh-CN" w:bidi="ar"/>
              </w:rPr>
              <w:t>10</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30995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default" w:ascii="宋体" w:hAnsi="宋体" w:eastAsia="宋体" w:cs="宋体"/>
                <w:b/>
                <w:bCs/>
                <w:i w:val="0"/>
                <w:iCs w:val="0"/>
                <w:color w:val="000000"/>
                <w:kern w:val="0"/>
                <w:sz w:val="18"/>
                <w:szCs w:val="18"/>
                <w:u w:val="none"/>
                <w:lang w:val="en-US" w:eastAsia="zh-CN" w:bidi="ar"/>
              </w:rPr>
              <w:t>11</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68BED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default" w:ascii="宋体" w:hAnsi="宋体" w:eastAsia="宋体" w:cs="宋体"/>
                <w:b/>
                <w:bCs/>
                <w:i w:val="0"/>
                <w:iCs w:val="0"/>
                <w:color w:val="000000"/>
                <w:kern w:val="0"/>
                <w:sz w:val="18"/>
                <w:szCs w:val="18"/>
                <w:u w:val="none"/>
                <w:lang w:val="en-US" w:eastAsia="zh-CN" w:bidi="ar"/>
              </w:rPr>
              <w:t>12</w:t>
            </w:r>
          </w:p>
        </w:tc>
      </w:tr>
      <w:tr w14:paraId="08A42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D7656">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00B50">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现金流入</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ADFF4">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18723.18</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F750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1263.41</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F366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1261.83</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0BD1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1260.25</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7557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1258.68</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EDEA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1257.12</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E032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4843.29</w:t>
            </w:r>
          </w:p>
        </w:tc>
      </w:tr>
      <w:tr w14:paraId="7CD3C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6E0EE">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1.1</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58FE5">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营业收入</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95262">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14353.45</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EC47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1263.41</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7E38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1261.83</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74CC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1260.25</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521B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1258.68</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32A6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1257.12</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FB74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1255.56</w:t>
            </w:r>
          </w:p>
        </w:tc>
      </w:tr>
      <w:tr w14:paraId="714FE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9D29D">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1.2</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57651">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留抵退税</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F78B1">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189D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6FF7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A890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145B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CB85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EACA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r>
      <w:tr w14:paraId="58C21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C6C63">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1.3</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D0422">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回收固定资产余值</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BF745">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3587.73</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FABA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A698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D7BD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3025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68B8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44E6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3587.73</w:t>
            </w:r>
          </w:p>
        </w:tc>
      </w:tr>
      <w:tr w14:paraId="0EAFF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F64ED">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1.4</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95042">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回收流动资金</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BEA97">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7212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64F2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7A18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39F5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D859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B572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r>
      <w:tr w14:paraId="38D56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5FA7A">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925B0">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现金流出</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F12DA">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12499.32</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3753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334.98</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B7E2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334.72</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2264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334.47</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FFF8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334.22</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4488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337.27</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F087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337.02</w:t>
            </w:r>
          </w:p>
        </w:tc>
      </w:tr>
      <w:tr w14:paraId="354D4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F22DC">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2.1</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5A356">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建设投资</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4FF46">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8688.84</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B466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2240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B006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227A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795A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29F4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r>
      <w:tr w14:paraId="5A653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46342">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2.2</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B143B">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流动资金</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E2835">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D659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1746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75A3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4E66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3A6B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5F7E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r>
      <w:tr w14:paraId="29FB4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28EEB">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2.3</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6DAF9">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经营成本</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65F56">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1872.28</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4E10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164.42</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1CC6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164.39</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7DF9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164.36</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D103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164.33</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8A06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167.61</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CBB0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167.57</w:t>
            </w:r>
          </w:p>
        </w:tc>
      </w:tr>
      <w:tr w14:paraId="226B0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99C0A">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2.4</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52CB3">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营业税金及附加</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A60A5">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176.20</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6821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15.51</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A87B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15.48</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E3CA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15.46</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389A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15.44</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556C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15.42</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7AAA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15.40</w:t>
            </w:r>
          </w:p>
        </w:tc>
      </w:tr>
      <w:tr w14:paraId="02B32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73839">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2.5</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1B6F2">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增值税</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3C6EE">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1761.99</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1F58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155.05</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7837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154.85</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6EA0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154.65</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30D1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154.44</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8F2C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154.24</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A66D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154.04</w:t>
            </w:r>
          </w:p>
        </w:tc>
      </w:tr>
      <w:tr w14:paraId="40BA5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ED7A2">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2.6</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EC5D7">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维持运营投资</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8674D">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ACAE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C50A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B045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BCA0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4A80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9031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r>
      <w:tr w14:paraId="17D51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2AA0C">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3</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33416">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所得税前净现金流量（1-2）</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44C4E">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6223.86</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C7C7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928.43</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5B20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927.10</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10AE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925.78</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11AF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924.46</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7279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919.84</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B662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4506.27</w:t>
            </w:r>
          </w:p>
        </w:tc>
      </w:tr>
      <w:tr w14:paraId="1C4FA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1D32D">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4</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6CC5A">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累计所得税前净现金流量</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BE48A">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9D9F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-1979.59</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A7EC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-1052.49</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15ED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-126.71</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5E19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797.75</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7738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1717.59</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88D4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6223.86</w:t>
            </w:r>
          </w:p>
        </w:tc>
      </w:tr>
      <w:tr w14:paraId="53E17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8EE93">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5</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9AF19">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所得税前净现金流量现值</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BC7B8">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2920.30</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9CD4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696.10</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757E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667.09</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D1E7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639.29</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209D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612.65</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1AC4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609.59</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A194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2986.34</w:t>
            </w:r>
          </w:p>
        </w:tc>
      </w:tr>
      <w:tr w14:paraId="02A5D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03CA3">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6</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1B1A5">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累计所得税前净现金流量现值</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C4AD7">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ADF4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-2594.67</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D52A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-1927.57</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2256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-1288.28</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B1DA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-675.63</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7770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-66.05</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CF2F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2920.30</w:t>
            </w:r>
          </w:p>
        </w:tc>
      </w:tr>
      <w:tr w14:paraId="6FB9C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3AEE8">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7</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2FAA7">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调整所得税</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DF386">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1032.83</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A922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95.46</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1B3E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102.16</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4C3B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109.14</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113B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116.41</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95F9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123.13</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1DBE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128.99</w:t>
            </w:r>
          </w:p>
        </w:tc>
      </w:tr>
      <w:tr w14:paraId="0C36F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F6231">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8</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30AF4">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所得税后净现金流量（3-5）</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58B94">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5191.03</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C0B9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832.97</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707D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824.94</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486D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816.63</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FDB4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808.05</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8E23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796.71</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5B94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4377.28</w:t>
            </w:r>
          </w:p>
        </w:tc>
      </w:tr>
      <w:tr w14:paraId="613D8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E47D4">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9</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F9914">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累计所得税后净现金流量</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D80AD">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4262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-2432.59</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C424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-1607.65</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31EC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-791.02</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1FEA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17.04</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7152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813.75</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683F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5191.03</w:t>
            </w:r>
          </w:p>
        </w:tc>
      </w:tr>
      <w:tr w14:paraId="6186F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A55F5">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10</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E9029">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所得税后净现金流量现值</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E8748">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2151.65</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6830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624.53</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439A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591.31</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ADE4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563.92</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8EE8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535.50</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C92E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527.99</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696B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2900.86</w:t>
            </w:r>
          </w:p>
        </w:tc>
      </w:tr>
      <w:tr w14:paraId="28932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753C0">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snapToGrid w:val="0"/>
                <w:color w:val="000000"/>
                <w:kern w:val="0"/>
                <w:sz w:val="18"/>
                <w:szCs w:val="18"/>
                <w:u w:val="none"/>
                <w:lang w:val="en-US" w:eastAsia="zh-CN" w:bidi="ar"/>
              </w:rPr>
              <w:t>11</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DB3D5">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累计所得税后净现金流量现值</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4B51E">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80FB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-2967.93</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3CD9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-2376.62</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8778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-1812.70</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9D3A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-1277.20</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E6C4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-749.21</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B86C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2151.65</w:t>
            </w:r>
          </w:p>
        </w:tc>
      </w:tr>
      <w:tr w14:paraId="56211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641" w:type="dxa"/>
            <w:gridSpan w:val="2"/>
            <w:tcBorders>
              <w:top w:val="nil"/>
              <w:left w:val="nil"/>
              <w:bottom w:val="nil"/>
              <w:right w:val="nil"/>
            </w:tcBorders>
            <w:shd w:val="clear" w:color="auto" w:fill="auto"/>
            <w:noWrap/>
            <w:vAlign w:val="center"/>
          </w:tcPr>
          <w:p w14:paraId="5769150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计算指标：</w:t>
            </w:r>
          </w:p>
        </w:tc>
        <w:tc>
          <w:tcPr>
            <w:tcW w:w="851" w:type="dxa"/>
            <w:tcBorders>
              <w:top w:val="nil"/>
              <w:left w:val="nil"/>
              <w:bottom w:val="nil"/>
              <w:right w:val="nil"/>
            </w:tcBorders>
            <w:shd w:val="clear" w:color="auto" w:fill="auto"/>
            <w:noWrap/>
            <w:vAlign w:val="center"/>
          </w:tcPr>
          <w:p w14:paraId="01B5FB5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i w:val="0"/>
                <w:iCs w:val="0"/>
                <w:color w:val="000000"/>
                <w:kern w:val="0"/>
                <w:sz w:val="18"/>
                <w:szCs w:val="18"/>
                <w:u w:val="none"/>
                <w:lang w:val="en-US" w:eastAsia="zh-CN" w:bidi="ar"/>
              </w:rPr>
            </w:pPr>
          </w:p>
        </w:tc>
        <w:tc>
          <w:tcPr>
            <w:tcW w:w="652" w:type="dxa"/>
            <w:gridSpan w:val="2"/>
            <w:tcBorders>
              <w:top w:val="nil"/>
              <w:left w:val="nil"/>
              <w:bottom w:val="nil"/>
              <w:right w:val="nil"/>
            </w:tcBorders>
            <w:shd w:val="clear" w:color="auto" w:fill="auto"/>
            <w:noWrap/>
            <w:vAlign w:val="center"/>
          </w:tcPr>
          <w:p w14:paraId="26F7850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i w:val="0"/>
                <w:iCs w:val="0"/>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14:paraId="3F313B4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i w:val="0"/>
                <w:iCs w:val="0"/>
                <w:color w:val="000000"/>
                <w:kern w:val="0"/>
                <w:sz w:val="18"/>
                <w:szCs w:val="18"/>
                <w:u w:val="none"/>
                <w:lang w:val="en-US" w:eastAsia="zh-CN" w:bidi="ar"/>
              </w:rPr>
            </w:pPr>
          </w:p>
        </w:tc>
        <w:tc>
          <w:tcPr>
            <w:tcW w:w="984" w:type="dxa"/>
            <w:gridSpan w:val="2"/>
            <w:tcBorders>
              <w:top w:val="nil"/>
              <w:left w:val="nil"/>
              <w:bottom w:val="nil"/>
              <w:right w:val="nil"/>
            </w:tcBorders>
            <w:shd w:val="clear" w:color="auto" w:fill="auto"/>
            <w:noWrap/>
            <w:vAlign w:val="center"/>
          </w:tcPr>
          <w:p w14:paraId="71BBE7D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i w:val="0"/>
                <w:iCs w:val="0"/>
                <w:color w:val="000000"/>
                <w:kern w:val="0"/>
                <w:sz w:val="18"/>
                <w:szCs w:val="18"/>
                <w:u w:val="none"/>
                <w:lang w:val="en-US" w:eastAsia="zh-CN" w:bidi="ar"/>
              </w:rPr>
            </w:pPr>
          </w:p>
        </w:tc>
        <w:tc>
          <w:tcPr>
            <w:tcW w:w="984" w:type="dxa"/>
            <w:gridSpan w:val="2"/>
            <w:tcBorders>
              <w:top w:val="nil"/>
              <w:left w:val="nil"/>
              <w:bottom w:val="nil"/>
              <w:right w:val="nil"/>
            </w:tcBorders>
            <w:shd w:val="clear" w:color="auto" w:fill="auto"/>
            <w:noWrap/>
            <w:vAlign w:val="center"/>
          </w:tcPr>
          <w:p w14:paraId="3C34A1D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i w:val="0"/>
                <w:iCs w:val="0"/>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14:paraId="727D534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i w:val="0"/>
                <w:iCs w:val="0"/>
                <w:color w:val="000000"/>
                <w:kern w:val="0"/>
                <w:sz w:val="18"/>
                <w:szCs w:val="18"/>
                <w:u w:val="none"/>
                <w:lang w:val="en-US" w:eastAsia="zh-CN" w:bidi="ar"/>
              </w:rPr>
            </w:pPr>
          </w:p>
        </w:tc>
        <w:tc>
          <w:tcPr>
            <w:tcW w:w="984" w:type="dxa"/>
            <w:gridSpan w:val="2"/>
            <w:tcBorders>
              <w:top w:val="nil"/>
              <w:left w:val="nil"/>
              <w:bottom w:val="nil"/>
              <w:right w:val="nil"/>
            </w:tcBorders>
            <w:shd w:val="clear" w:color="auto" w:fill="auto"/>
            <w:noWrap/>
            <w:vAlign w:val="center"/>
          </w:tcPr>
          <w:p w14:paraId="43396F1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i w:val="0"/>
                <w:iCs w:val="0"/>
                <w:color w:val="000000"/>
                <w:kern w:val="0"/>
                <w:sz w:val="18"/>
                <w:szCs w:val="18"/>
                <w:u w:val="none"/>
                <w:lang w:val="en-US" w:eastAsia="zh-CN" w:bidi="ar"/>
              </w:rPr>
            </w:pPr>
          </w:p>
        </w:tc>
        <w:tc>
          <w:tcPr>
            <w:tcW w:w="984" w:type="dxa"/>
            <w:gridSpan w:val="2"/>
            <w:tcBorders>
              <w:top w:val="nil"/>
              <w:left w:val="nil"/>
              <w:bottom w:val="nil"/>
              <w:right w:val="nil"/>
            </w:tcBorders>
            <w:shd w:val="clear" w:color="auto" w:fill="auto"/>
            <w:noWrap/>
            <w:vAlign w:val="center"/>
          </w:tcPr>
          <w:p w14:paraId="4D759C7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i w:val="0"/>
                <w:iCs w:val="0"/>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14:paraId="36F9D45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i w:val="0"/>
                <w:iCs w:val="0"/>
                <w:color w:val="000000"/>
                <w:kern w:val="0"/>
                <w:sz w:val="18"/>
                <w:szCs w:val="18"/>
                <w:u w:val="none"/>
                <w:lang w:val="en-US" w:eastAsia="zh-CN" w:bidi="ar"/>
              </w:rPr>
            </w:pPr>
          </w:p>
        </w:tc>
        <w:tc>
          <w:tcPr>
            <w:tcW w:w="983" w:type="dxa"/>
            <w:gridSpan w:val="2"/>
            <w:tcBorders>
              <w:top w:val="nil"/>
              <w:left w:val="nil"/>
              <w:bottom w:val="nil"/>
              <w:right w:val="nil"/>
            </w:tcBorders>
            <w:shd w:val="clear" w:color="auto" w:fill="auto"/>
            <w:noWrap/>
            <w:vAlign w:val="center"/>
          </w:tcPr>
          <w:p w14:paraId="0AD2810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18"/>
                <w:szCs w:val="18"/>
                <w:u w:val="none"/>
              </w:rPr>
            </w:pPr>
          </w:p>
        </w:tc>
        <w:tc>
          <w:tcPr>
            <w:tcW w:w="942" w:type="dxa"/>
            <w:tcBorders>
              <w:top w:val="nil"/>
              <w:left w:val="nil"/>
              <w:bottom w:val="nil"/>
              <w:right w:val="nil"/>
            </w:tcBorders>
            <w:shd w:val="clear" w:color="auto" w:fill="auto"/>
            <w:noWrap/>
            <w:vAlign w:val="center"/>
          </w:tcPr>
          <w:p w14:paraId="4883238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18"/>
                <w:szCs w:val="18"/>
                <w:u w:val="none"/>
              </w:rPr>
            </w:pPr>
          </w:p>
        </w:tc>
      </w:tr>
      <w:tr w14:paraId="0A598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492" w:type="dxa"/>
            <w:gridSpan w:val="3"/>
            <w:tcBorders>
              <w:top w:val="nil"/>
              <w:left w:val="nil"/>
              <w:bottom w:val="nil"/>
              <w:right w:val="nil"/>
            </w:tcBorders>
            <w:shd w:val="clear" w:color="auto" w:fill="auto"/>
            <w:noWrap/>
            <w:vAlign w:val="center"/>
          </w:tcPr>
          <w:p w14:paraId="512B766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项目投资财务内部收益率（%）（所得税前）</w:t>
            </w:r>
          </w:p>
        </w:tc>
        <w:tc>
          <w:tcPr>
            <w:tcW w:w="652" w:type="dxa"/>
            <w:gridSpan w:val="2"/>
            <w:tcBorders>
              <w:top w:val="nil"/>
              <w:left w:val="nil"/>
              <w:bottom w:val="nil"/>
              <w:right w:val="nil"/>
            </w:tcBorders>
            <w:shd w:val="clear" w:color="auto" w:fill="auto"/>
            <w:noWrap/>
            <w:vAlign w:val="center"/>
          </w:tcPr>
          <w:p w14:paraId="333F670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i w:val="0"/>
                <w:iCs w:val="0"/>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14:paraId="18C8323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9.39%</w:t>
            </w:r>
          </w:p>
        </w:tc>
        <w:tc>
          <w:tcPr>
            <w:tcW w:w="984" w:type="dxa"/>
            <w:gridSpan w:val="2"/>
            <w:tcBorders>
              <w:top w:val="nil"/>
              <w:left w:val="nil"/>
              <w:bottom w:val="nil"/>
              <w:right w:val="nil"/>
            </w:tcBorders>
            <w:shd w:val="clear" w:color="auto" w:fill="auto"/>
            <w:noWrap/>
            <w:vAlign w:val="center"/>
          </w:tcPr>
          <w:p w14:paraId="6370915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i w:val="0"/>
                <w:iCs w:val="0"/>
                <w:color w:val="000000"/>
                <w:kern w:val="0"/>
                <w:sz w:val="18"/>
                <w:szCs w:val="18"/>
                <w:u w:val="none"/>
                <w:lang w:val="en-US" w:eastAsia="zh-CN" w:bidi="ar"/>
              </w:rPr>
            </w:pPr>
          </w:p>
        </w:tc>
        <w:tc>
          <w:tcPr>
            <w:tcW w:w="3936" w:type="dxa"/>
            <w:gridSpan w:val="7"/>
            <w:tcBorders>
              <w:top w:val="nil"/>
              <w:left w:val="nil"/>
              <w:bottom w:val="nil"/>
              <w:right w:val="nil"/>
            </w:tcBorders>
            <w:shd w:val="clear" w:color="auto" w:fill="auto"/>
            <w:noWrap/>
            <w:vAlign w:val="center"/>
          </w:tcPr>
          <w:p w14:paraId="3C53865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项目投资财务内部收益率（%）（所得税后）</w:t>
            </w:r>
          </w:p>
        </w:tc>
        <w:tc>
          <w:tcPr>
            <w:tcW w:w="984" w:type="dxa"/>
            <w:tcBorders>
              <w:top w:val="nil"/>
              <w:left w:val="nil"/>
              <w:bottom w:val="nil"/>
              <w:right w:val="nil"/>
            </w:tcBorders>
            <w:shd w:val="clear" w:color="auto" w:fill="auto"/>
            <w:noWrap/>
            <w:vAlign w:val="center"/>
          </w:tcPr>
          <w:p w14:paraId="7C0F1A3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i w:val="0"/>
                <w:iCs w:val="0"/>
                <w:color w:val="000000"/>
                <w:kern w:val="0"/>
                <w:sz w:val="18"/>
                <w:szCs w:val="18"/>
                <w:u w:val="none"/>
                <w:lang w:val="en-US" w:eastAsia="zh-CN" w:bidi="ar"/>
              </w:rPr>
            </w:pPr>
          </w:p>
        </w:tc>
        <w:tc>
          <w:tcPr>
            <w:tcW w:w="983" w:type="dxa"/>
            <w:gridSpan w:val="2"/>
            <w:tcBorders>
              <w:top w:val="nil"/>
              <w:left w:val="nil"/>
              <w:bottom w:val="nil"/>
              <w:right w:val="nil"/>
            </w:tcBorders>
            <w:shd w:val="clear" w:color="auto" w:fill="auto"/>
            <w:noWrap/>
            <w:vAlign w:val="center"/>
          </w:tcPr>
          <w:p w14:paraId="2D37A1C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7.98%</w:t>
            </w:r>
          </w:p>
        </w:tc>
        <w:tc>
          <w:tcPr>
            <w:tcW w:w="942" w:type="dxa"/>
            <w:tcBorders>
              <w:top w:val="nil"/>
              <w:left w:val="nil"/>
              <w:bottom w:val="nil"/>
              <w:right w:val="nil"/>
            </w:tcBorders>
            <w:shd w:val="clear" w:color="auto" w:fill="auto"/>
            <w:noWrap/>
            <w:vAlign w:val="center"/>
          </w:tcPr>
          <w:p w14:paraId="0EA8B18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18"/>
                <w:szCs w:val="18"/>
                <w:u w:val="none"/>
              </w:rPr>
            </w:pPr>
          </w:p>
        </w:tc>
      </w:tr>
      <w:tr w14:paraId="2FE82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492" w:type="dxa"/>
            <w:gridSpan w:val="3"/>
            <w:tcBorders>
              <w:top w:val="nil"/>
              <w:left w:val="nil"/>
              <w:bottom w:val="nil"/>
              <w:right w:val="nil"/>
            </w:tcBorders>
            <w:shd w:val="clear" w:color="auto" w:fill="auto"/>
            <w:noWrap/>
            <w:vAlign w:val="center"/>
          </w:tcPr>
          <w:p w14:paraId="5C3A1D3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项目投资财务净现值（所得税前）（ic=4.2%）</w:t>
            </w:r>
          </w:p>
        </w:tc>
        <w:tc>
          <w:tcPr>
            <w:tcW w:w="652" w:type="dxa"/>
            <w:gridSpan w:val="2"/>
            <w:tcBorders>
              <w:top w:val="nil"/>
              <w:left w:val="nil"/>
              <w:bottom w:val="nil"/>
              <w:right w:val="nil"/>
            </w:tcBorders>
            <w:shd w:val="clear" w:color="auto" w:fill="auto"/>
            <w:noWrap/>
            <w:vAlign w:val="center"/>
          </w:tcPr>
          <w:p w14:paraId="322B77F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i w:val="0"/>
                <w:iCs w:val="0"/>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14:paraId="6F7138E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2920.30</w:t>
            </w:r>
          </w:p>
        </w:tc>
        <w:tc>
          <w:tcPr>
            <w:tcW w:w="984" w:type="dxa"/>
            <w:gridSpan w:val="2"/>
            <w:tcBorders>
              <w:top w:val="nil"/>
              <w:left w:val="nil"/>
              <w:bottom w:val="nil"/>
              <w:right w:val="nil"/>
            </w:tcBorders>
            <w:shd w:val="clear" w:color="auto" w:fill="auto"/>
            <w:noWrap/>
            <w:vAlign w:val="center"/>
          </w:tcPr>
          <w:p w14:paraId="0A8B0F6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i w:val="0"/>
                <w:iCs w:val="0"/>
                <w:color w:val="000000"/>
                <w:kern w:val="0"/>
                <w:sz w:val="18"/>
                <w:szCs w:val="18"/>
                <w:u w:val="none"/>
                <w:lang w:val="en-US" w:eastAsia="zh-CN" w:bidi="ar"/>
              </w:rPr>
            </w:pPr>
          </w:p>
        </w:tc>
        <w:tc>
          <w:tcPr>
            <w:tcW w:w="3936" w:type="dxa"/>
            <w:gridSpan w:val="7"/>
            <w:tcBorders>
              <w:top w:val="nil"/>
              <w:left w:val="nil"/>
              <w:bottom w:val="nil"/>
              <w:right w:val="nil"/>
            </w:tcBorders>
            <w:shd w:val="clear" w:color="auto" w:fill="auto"/>
            <w:noWrap/>
            <w:vAlign w:val="center"/>
          </w:tcPr>
          <w:p w14:paraId="1FC4A8F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项目投资财务净现值（所得税后）（ic=4.2%）</w:t>
            </w:r>
          </w:p>
        </w:tc>
        <w:tc>
          <w:tcPr>
            <w:tcW w:w="984" w:type="dxa"/>
            <w:tcBorders>
              <w:top w:val="nil"/>
              <w:left w:val="nil"/>
              <w:bottom w:val="nil"/>
              <w:right w:val="nil"/>
            </w:tcBorders>
            <w:shd w:val="clear" w:color="auto" w:fill="auto"/>
            <w:noWrap/>
            <w:vAlign w:val="center"/>
          </w:tcPr>
          <w:p w14:paraId="7044985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i w:val="0"/>
                <w:iCs w:val="0"/>
                <w:color w:val="000000"/>
                <w:kern w:val="0"/>
                <w:sz w:val="18"/>
                <w:szCs w:val="18"/>
                <w:u w:val="none"/>
                <w:lang w:val="en-US" w:eastAsia="zh-CN" w:bidi="ar"/>
              </w:rPr>
            </w:pPr>
          </w:p>
        </w:tc>
        <w:tc>
          <w:tcPr>
            <w:tcW w:w="983" w:type="dxa"/>
            <w:gridSpan w:val="2"/>
            <w:tcBorders>
              <w:top w:val="nil"/>
              <w:left w:val="nil"/>
              <w:bottom w:val="nil"/>
              <w:right w:val="nil"/>
            </w:tcBorders>
            <w:shd w:val="clear" w:color="auto" w:fill="auto"/>
            <w:noWrap/>
            <w:vAlign w:val="center"/>
          </w:tcPr>
          <w:p w14:paraId="3AEA1C0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2151.65</w:t>
            </w:r>
          </w:p>
        </w:tc>
        <w:tc>
          <w:tcPr>
            <w:tcW w:w="942" w:type="dxa"/>
            <w:tcBorders>
              <w:top w:val="nil"/>
              <w:left w:val="nil"/>
              <w:bottom w:val="nil"/>
              <w:right w:val="nil"/>
            </w:tcBorders>
            <w:shd w:val="clear" w:color="auto" w:fill="auto"/>
            <w:noWrap/>
            <w:vAlign w:val="center"/>
          </w:tcPr>
          <w:p w14:paraId="5AC22C7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18"/>
                <w:szCs w:val="18"/>
                <w:u w:val="none"/>
              </w:rPr>
            </w:pPr>
          </w:p>
        </w:tc>
      </w:tr>
      <w:tr w14:paraId="7CBF5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492" w:type="dxa"/>
            <w:gridSpan w:val="3"/>
            <w:tcBorders>
              <w:top w:val="nil"/>
              <w:left w:val="nil"/>
              <w:bottom w:val="nil"/>
              <w:right w:val="nil"/>
            </w:tcBorders>
            <w:shd w:val="clear" w:color="auto" w:fill="auto"/>
            <w:noWrap/>
            <w:vAlign w:val="center"/>
          </w:tcPr>
          <w:p w14:paraId="0108314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项目投资回收期（年）（所得税前）</w:t>
            </w:r>
          </w:p>
        </w:tc>
        <w:tc>
          <w:tcPr>
            <w:tcW w:w="652" w:type="dxa"/>
            <w:gridSpan w:val="2"/>
            <w:tcBorders>
              <w:top w:val="nil"/>
              <w:left w:val="nil"/>
              <w:bottom w:val="nil"/>
              <w:right w:val="nil"/>
            </w:tcBorders>
            <w:shd w:val="clear" w:color="auto" w:fill="auto"/>
            <w:noWrap/>
            <w:vAlign w:val="center"/>
          </w:tcPr>
          <w:p w14:paraId="77AC173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i w:val="0"/>
                <w:iCs w:val="0"/>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14:paraId="53A264A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11.02</w:t>
            </w:r>
          </w:p>
        </w:tc>
        <w:tc>
          <w:tcPr>
            <w:tcW w:w="984" w:type="dxa"/>
            <w:gridSpan w:val="2"/>
            <w:tcBorders>
              <w:top w:val="nil"/>
              <w:left w:val="nil"/>
              <w:bottom w:val="nil"/>
              <w:right w:val="nil"/>
            </w:tcBorders>
            <w:shd w:val="clear" w:color="auto" w:fill="auto"/>
            <w:noWrap/>
            <w:vAlign w:val="center"/>
          </w:tcPr>
          <w:p w14:paraId="3314F1D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i w:val="0"/>
                <w:iCs w:val="0"/>
                <w:color w:val="000000"/>
                <w:kern w:val="0"/>
                <w:sz w:val="18"/>
                <w:szCs w:val="18"/>
                <w:u w:val="none"/>
                <w:lang w:val="en-US" w:eastAsia="zh-CN" w:bidi="ar"/>
              </w:rPr>
            </w:pPr>
          </w:p>
        </w:tc>
        <w:tc>
          <w:tcPr>
            <w:tcW w:w="3936" w:type="dxa"/>
            <w:gridSpan w:val="7"/>
            <w:tcBorders>
              <w:top w:val="nil"/>
              <w:left w:val="nil"/>
              <w:bottom w:val="nil"/>
              <w:right w:val="nil"/>
            </w:tcBorders>
            <w:shd w:val="clear" w:color="auto" w:fill="auto"/>
            <w:noWrap/>
            <w:vAlign w:val="center"/>
          </w:tcPr>
          <w:p w14:paraId="7E81EF7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项目投资回收期（年）（所得税后）</w:t>
            </w:r>
          </w:p>
        </w:tc>
        <w:tc>
          <w:tcPr>
            <w:tcW w:w="984" w:type="dxa"/>
            <w:tcBorders>
              <w:top w:val="nil"/>
              <w:left w:val="nil"/>
              <w:bottom w:val="nil"/>
              <w:right w:val="nil"/>
            </w:tcBorders>
            <w:shd w:val="clear" w:color="auto" w:fill="auto"/>
            <w:noWrap/>
            <w:vAlign w:val="center"/>
          </w:tcPr>
          <w:p w14:paraId="25C215E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i w:val="0"/>
                <w:iCs w:val="0"/>
                <w:color w:val="000000"/>
                <w:kern w:val="0"/>
                <w:sz w:val="18"/>
                <w:szCs w:val="18"/>
                <w:u w:val="none"/>
                <w:lang w:val="en-US" w:eastAsia="zh-CN" w:bidi="ar"/>
              </w:rPr>
            </w:pPr>
          </w:p>
        </w:tc>
        <w:tc>
          <w:tcPr>
            <w:tcW w:w="983" w:type="dxa"/>
            <w:gridSpan w:val="2"/>
            <w:tcBorders>
              <w:top w:val="nil"/>
              <w:left w:val="nil"/>
              <w:bottom w:val="nil"/>
              <w:right w:val="nil"/>
            </w:tcBorders>
            <w:shd w:val="clear" w:color="auto" w:fill="auto"/>
            <w:noWrap/>
            <w:vAlign w:val="center"/>
          </w:tcPr>
          <w:p w14:paraId="5E3006D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11.26</w:t>
            </w:r>
          </w:p>
        </w:tc>
        <w:tc>
          <w:tcPr>
            <w:tcW w:w="942" w:type="dxa"/>
            <w:tcBorders>
              <w:top w:val="nil"/>
              <w:left w:val="nil"/>
              <w:bottom w:val="nil"/>
              <w:right w:val="nil"/>
            </w:tcBorders>
            <w:shd w:val="clear" w:color="auto" w:fill="auto"/>
            <w:noWrap/>
            <w:vAlign w:val="center"/>
          </w:tcPr>
          <w:p w14:paraId="130A3BD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i w:val="0"/>
                <w:iCs w:val="0"/>
                <w:color w:val="000000"/>
                <w:sz w:val="18"/>
                <w:szCs w:val="18"/>
                <w:u w:val="none"/>
              </w:rPr>
            </w:pPr>
          </w:p>
        </w:tc>
      </w:tr>
    </w:tbl>
    <w:p w14:paraId="007ABA23">
      <w:pPr>
        <w:ind w:left="0" w:leftChars="0" w:firstLine="0" w:firstLineChars="0"/>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14:paraId="33A31A9B">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0"/>
        <w:rPr>
          <w:rFonts w:hint="eastAsia" w:ascii="宋体" w:hAnsi="宋体" w:eastAsia="宋体" w:cs="宋体"/>
          <w:b/>
          <w:bCs/>
          <w:i w:val="0"/>
          <w:iCs w:val="0"/>
          <w:color w:val="auto"/>
          <w:kern w:val="0"/>
          <w:sz w:val="28"/>
          <w:szCs w:val="28"/>
          <w:u w:val="none"/>
          <w:lang w:val="en-US" w:eastAsia="zh-CN"/>
        </w:rPr>
      </w:pPr>
      <w:bookmarkStart w:id="151" w:name="_Toc28353"/>
      <w:bookmarkStart w:id="152" w:name="_Toc8075"/>
      <w:bookmarkStart w:id="153" w:name="_Toc23809"/>
      <w:r>
        <w:rPr>
          <w:rFonts w:hint="eastAsia" w:ascii="宋体" w:hAnsi="宋体" w:eastAsia="宋体" w:cs="宋体"/>
          <w:b/>
          <w:bCs/>
          <w:i w:val="0"/>
          <w:iCs w:val="0"/>
          <w:color w:val="auto"/>
          <w:kern w:val="0"/>
          <w:sz w:val="28"/>
          <w:szCs w:val="28"/>
          <w:u w:val="none"/>
          <w:lang w:val="en-US" w:eastAsia="zh-CN"/>
        </w:rPr>
        <w:t>附表7：还本付息表</w:t>
      </w:r>
      <w:bookmarkEnd w:id="151"/>
      <w:bookmarkEnd w:id="152"/>
      <w:bookmarkEnd w:id="153"/>
    </w:p>
    <w:tbl>
      <w:tblPr>
        <w:tblStyle w:val="16"/>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2"/>
        <w:gridCol w:w="2145"/>
        <w:gridCol w:w="1020"/>
        <w:gridCol w:w="1438"/>
        <w:gridCol w:w="1438"/>
        <w:gridCol w:w="1438"/>
        <w:gridCol w:w="1438"/>
        <w:gridCol w:w="1438"/>
        <w:gridCol w:w="1438"/>
        <w:gridCol w:w="1441"/>
      </w:tblGrid>
      <w:tr w14:paraId="59EC5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3946" w:type="dxa"/>
            <w:gridSpan w:val="10"/>
            <w:tcBorders>
              <w:top w:val="nil"/>
              <w:left w:val="nil"/>
              <w:bottom w:val="nil"/>
              <w:right w:val="nil"/>
            </w:tcBorders>
            <w:shd w:val="clear" w:color="auto" w:fill="auto"/>
            <w:noWrap/>
            <w:vAlign w:val="center"/>
          </w:tcPr>
          <w:p w14:paraId="1A0EBC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单位：万元</w:t>
            </w:r>
          </w:p>
        </w:tc>
      </w:tr>
      <w:tr w14:paraId="1FAFA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7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67826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序号</w:t>
            </w:r>
          </w:p>
        </w:tc>
        <w:tc>
          <w:tcPr>
            <w:tcW w:w="21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5C5B5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项 目</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9B481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合计</w:t>
            </w:r>
          </w:p>
        </w:tc>
        <w:tc>
          <w:tcPr>
            <w:tcW w:w="10069" w:type="dxa"/>
            <w:gridSpan w:val="7"/>
            <w:tcBorders>
              <w:top w:val="single" w:color="000000" w:sz="4" w:space="0"/>
              <w:left w:val="single" w:color="000000" w:sz="4" w:space="0"/>
              <w:bottom w:val="single" w:color="000000" w:sz="4" w:space="0"/>
              <w:right w:val="nil"/>
            </w:tcBorders>
            <w:shd w:val="clear" w:color="auto" w:fill="auto"/>
            <w:vAlign w:val="center"/>
          </w:tcPr>
          <w:p w14:paraId="19F4AFF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计算期</w:t>
            </w:r>
          </w:p>
        </w:tc>
      </w:tr>
      <w:tr w14:paraId="00D82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17EDA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2125B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F6673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7282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0.5建设期</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3230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0.5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B706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2</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6242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3</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8D77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4</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23BA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5</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379F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6</w:t>
            </w:r>
          </w:p>
        </w:tc>
      </w:tr>
      <w:tr w14:paraId="06925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9EC28">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6F1F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建设投资借款</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DDA5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7000.00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D694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7000.00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1F36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226E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621C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E646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2486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E407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r>
      <w:tr w14:paraId="11502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6567A">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1.1</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DDED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期初借款余额</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0366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3B66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5D38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7000.00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C0D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6800.00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7B58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6300.00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53E0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5800.00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0305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5250.00</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D396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4700.00</w:t>
            </w:r>
          </w:p>
        </w:tc>
      </w:tr>
      <w:tr w14:paraId="374F4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86034">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603F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当期还本付息</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4B07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9061.00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E08F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78.75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3481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355.25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3767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794.75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EFC8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772.25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B271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798.63</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69EC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773.88</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3409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798.00</w:t>
            </w:r>
          </w:p>
        </w:tc>
      </w:tr>
      <w:tr w14:paraId="357B1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3514A">
            <w:pPr>
              <w:jc w:val="center"/>
              <w:rPr>
                <w:rFonts w:hint="eastAsia" w:ascii="宋体" w:hAnsi="宋体" w:eastAsia="宋体" w:cs="宋体"/>
                <w:i w:val="0"/>
                <w:iCs w:val="0"/>
                <w:color w:val="000000"/>
                <w:kern w:val="0"/>
                <w:sz w:val="18"/>
                <w:szCs w:val="18"/>
                <w:u w:val="none"/>
                <w:lang w:val="en-US" w:eastAsia="zh-CN" w:bidi="ar"/>
              </w:rPr>
            </w:pP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0FE9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其中：还本</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0C0C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7000.00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C451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4E38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B25F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718F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90B9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550.00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19E0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550.00</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DBAC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600.00</w:t>
            </w:r>
          </w:p>
        </w:tc>
      </w:tr>
      <w:tr w14:paraId="276A4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D926">
            <w:pPr>
              <w:jc w:val="center"/>
              <w:rPr>
                <w:rFonts w:hint="eastAsia" w:ascii="宋体" w:hAnsi="宋体" w:eastAsia="宋体" w:cs="宋体"/>
                <w:i w:val="0"/>
                <w:iCs w:val="0"/>
                <w:color w:val="000000"/>
                <w:kern w:val="0"/>
                <w:sz w:val="18"/>
                <w:szCs w:val="18"/>
                <w:u w:val="none"/>
                <w:lang w:val="en-US" w:eastAsia="zh-CN" w:bidi="ar"/>
              </w:rPr>
            </w:pP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E4CE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付息</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11BC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2061.00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DB31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78.75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62FF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155.25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D7FC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294.75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8A8D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272.25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75CB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248.63</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DB38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223.88</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8F3F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198.00</w:t>
            </w:r>
          </w:p>
        </w:tc>
      </w:tr>
      <w:tr w14:paraId="350D7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62627">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1.3</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3AF2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期末借款余额</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7430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50800.00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CE57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7000.00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069A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6800.00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CE9A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6300.00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D42B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5800.00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78F5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5250.00</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8E91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4700.00</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55C6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4100.00</w:t>
            </w:r>
          </w:p>
        </w:tc>
      </w:tr>
      <w:tr w14:paraId="15BD5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DF7E2">
            <w:pPr>
              <w:keepNext w:val="0"/>
              <w:keepLines w:val="0"/>
              <w:widowControl/>
              <w:suppressLineNumbers w:val="0"/>
              <w:jc w:val="center"/>
              <w:textAlignment w:val="top"/>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72BF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可用于还本付息的资金</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128D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10542.98</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8F81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FDFD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453.32</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7A9F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908.34</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0841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910.09</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C07B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908.84</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82F4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910.59</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76AC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907.65</w:t>
            </w:r>
          </w:p>
        </w:tc>
      </w:tr>
      <w:tr w14:paraId="4ED72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0A22E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指标</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EE2B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利息备付率</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DB9C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5.12</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D953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9599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2.92</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05F8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3.08</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99EC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3.34</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B9B0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3.66</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BF1B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4.07</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4673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4.58</w:t>
            </w:r>
          </w:p>
        </w:tc>
      </w:tr>
      <w:tr w14:paraId="611C3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9B97E6">
            <w:pPr>
              <w:jc w:val="center"/>
              <w:rPr>
                <w:rFonts w:hint="eastAsia" w:ascii="宋体" w:hAnsi="宋体" w:eastAsia="宋体" w:cs="宋体"/>
                <w:i w:val="0"/>
                <w:iCs w:val="0"/>
                <w:color w:val="000000"/>
                <w:kern w:val="0"/>
                <w:sz w:val="18"/>
                <w:szCs w:val="18"/>
                <w:u w:val="none"/>
                <w:lang w:val="en-US" w:eastAsia="zh-CN" w:bidi="ar"/>
              </w:rPr>
            </w:pP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91CB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偿债备付率</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19E2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1.16</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6D6C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751C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1.28</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A64A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1.14</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9C63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1.18</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668B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1.14</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D38D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1.18</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E5C7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1.14</w:t>
            </w:r>
          </w:p>
        </w:tc>
      </w:tr>
    </w:tbl>
    <w:p w14:paraId="52BF4B44">
      <w:r>
        <w:br w:type="page"/>
      </w:r>
    </w:p>
    <w:p w14:paraId="4B4FEECE">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9"/>
        <w:rPr>
          <w:rFonts w:hint="eastAsia" w:ascii="宋体" w:hAnsi="宋体" w:eastAsia="宋体" w:cs="宋体"/>
          <w:b/>
          <w:bCs/>
          <w:i w:val="0"/>
          <w:iCs w:val="0"/>
          <w:color w:val="auto"/>
          <w:kern w:val="0"/>
          <w:sz w:val="28"/>
          <w:szCs w:val="28"/>
          <w:u w:val="none"/>
          <w:lang w:val="en-US" w:eastAsia="zh-CN"/>
        </w:rPr>
      </w:pPr>
      <w:r>
        <w:rPr>
          <w:rFonts w:hint="eastAsia" w:ascii="宋体" w:hAnsi="宋体" w:eastAsia="宋体" w:cs="宋体"/>
          <w:b/>
          <w:bCs/>
          <w:i w:val="0"/>
          <w:iCs w:val="0"/>
          <w:color w:val="auto"/>
          <w:kern w:val="0"/>
          <w:sz w:val="28"/>
          <w:szCs w:val="28"/>
          <w:u w:val="none"/>
          <w:lang w:val="en-US" w:eastAsia="zh-CN"/>
        </w:rPr>
        <w:t>附表7：还本付息表</w:t>
      </w:r>
    </w:p>
    <w:tbl>
      <w:tblPr>
        <w:tblStyle w:val="16"/>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62"/>
        <w:gridCol w:w="2085"/>
        <w:gridCol w:w="1200"/>
        <w:gridCol w:w="1633"/>
        <w:gridCol w:w="1633"/>
        <w:gridCol w:w="1633"/>
        <w:gridCol w:w="1633"/>
        <w:gridCol w:w="1633"/>
        <w:gridCol w:w="1634"/>
      </w:tblGrid>
      <w:tr w14:paraId="6037D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3946" w:type="dxa"/>
            <w:gridSpan w:val="9"/>
            <w:tcBorders>
              <w:top w:val="nil"/>
              <w:left w:val="nil"/>
              <w:bottom w:val="nil"/>
              <w:right w:val="nil"/>
            </w:tcBorders>
            <w:shd w:val="clear" w:color="auto" w:fill="auto"/>
            <w:noWrap/>
            <w:vAlign w:val="center"/>
          </w:tcPr>
          <w:p w14:paraId="78D082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单位：万元</w:t>
            </w:r>
          </w:p>
        </w:tc>
      </w:tr>
      <w:tr w14:paraId="2AEF3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20" w:hRule="atLeast"/>
        </w:trPr>
        <w:tc>
          <w:tcPr>
            <w:tcW w:w="8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0E1AC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序号</w:t>
            </w:r>
          </w:p>
        </w:tc>
        <w:tc>
          <w:tcPr>
            <w:tcW w:w="20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2177D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项 目</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0934E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合计</w:t>
            </w:r>
          </w:p>
        </w:tc>
        <w:tc>
          <w:tcPr>
            <w:tcW w:w="9799" w:type="dxa"/>
            <w:gridSpan w:val="6"/>
            <w:tcBorders>
              <w:top w:val="single" w:color="000000" w:sz="4" w:space="0"/>
              <w:left w:val="single" w:color="000000" w:sz="4" w:space="0"/>
              <w:bottom w:val="single" w:color="000000" w:sz="4" w:space="0"/>
              <w:right w:val="nil"/>
            </w:tcBorders>
            <w:shd w:val="clear" w:color="auto" w:fill="auto"/>
            <w:vAlign w:val="center"/>
          </w:tcPr>
          <w:p w14:paraId="2717563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计算期</w:t>
            </w:r>
          </w:p>
        </w:tc>
      </w:tr>
      <w:tr w14:paraId="589FE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675A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p>
        </w:tc>
        <w:tc>
          <w:tcPr>
            <w:tcW w:w="2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784B8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BD528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B143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7</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1E19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8</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F426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9</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A626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10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4286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A9A2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top"/>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12</w:t>
            </w:r>
          </w:p>
        </w:tc>
      </w:tr>
      <w:tr w14:paraId="3DFB2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230E2">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24D0B">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建设投资借款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DE9E8">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7000.00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7A7A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012A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F847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74F5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A930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03BD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r>
      <w:tr w14:paraId="04738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F8558">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1.1</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FEFB5">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期初借款余额</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44D3E">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D8D4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4100.00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6F7C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3500.00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3916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2850.00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06F2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2200.00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36C6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1500.00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A31A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800.00</w:t>
            </w:r>
          </w:p>
        </w:tc>
      </w:tr>
      <w:tr w14:paraId="4DFAB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04B24">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1.2</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EC6A7">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当期还本付息</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E066E">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9061.00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149B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771.00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917A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792.88</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F302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763.63</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0DC4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783.25</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BDE6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751.75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922E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827.00</w:t>
            </w:r>
          </w:p>
        </w:tc>
      </w:tr>
      <w:tr w14:paraId="438D7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DE005">
            <w:pPr>
              <w:jc w:val="center"/>
              <w:rPr>
                <w:rFonts w:hint="default" w:ascii="宋体" w:hAnsi="宋体" w:eastAsia="宋体" w:cs="宋体"/>
                <w:i w:val="0"/>
                <w:iCs w:val="0"/>
                <w:color w:val="000000"/>
                <w:kern w:val="0"/>
                <w:sz w:val="18"/>
                <w:szCs w:val="18"/>
                <w:u w:val="none"/>
                <w:lang w:val="en-US" w:eastAsia="zh-CN" w:bidi="ar"/>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8DA63">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其中：还本</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40888">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7000.00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25F9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05AB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650.00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8CF6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650.00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87D1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272C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700.00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D5CA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800.00</w:t>
            </w:r>
          </w:p>
        </w:tc>
      </w:tr>
      <w:tr w14:paraId="55FC6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9A502">
            <w:pPr>
              <w:jc w:val="center"/>
              <w:rPr>
                <w:rFonts w:hint="default" w:ascii="宋体" w:hAnsi="宋体" w:eastAsia="宋体" w:cs="宋体"/>
                <w:i w:val="0"/>
                <w:iCs w:val="0"/>
                <w:color w:val="000000"/>
                <w:kern w:val="0"/>
                <w:sz w:val="18"/>
                <w:szCs w:val="18"/>
                <w:u w:val="none"/>
                <w:lang w:val="en-US" w:eastAsia="zh-CN" w:bidi="ar"/>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20C35">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付息</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016DA">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2061.00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1FFD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171.00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526C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142.88</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ADEF8">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113.63</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DD83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83.25</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47A7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51.75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22D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27.00</w:t>
            </w:r>
          </w:p>
        </w:tc>
      </w:tr>
      <w:tr w14:paraId="48657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00BA8">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1.3</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726CD">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期末借款余额</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B7F3F">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50800.00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2EDE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3500.00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F091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2850.00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D1B2A">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2200.00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9E2C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1500.00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7A0BF">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800.00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E38F3">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p>
        </w:tc>
      </w:tr>
      <w:tr w14:paraId="79168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4683A">
            <w:pPr>
              <w:keepNext w:val="0"/>
              <w:keepLines w:val="0"/>
              <w:widowControl/>
              <w:suppressLineNumbers w:val="0"/>
              <w:jc w:val="center"/>
              <w:textAlignment w:val="top"/>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28673">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可用于还本付息的资金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77A34">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10542.98</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5F42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928.43</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09F22">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927.10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7EE6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925.78</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AB1B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924.46</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36AF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919.84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A3509">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918.54</w:t>
            </w:r>
          </w:p>
        </w:tc>
      </w:tr>
      <w:tr w14:paraId="5ACAC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AF33E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指标</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12091">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利息备付率</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EF4F4">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5.12</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16D9E">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5.43</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0DB6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6.49</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53AFD">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8.15</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DDA65">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11.10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8C4A0">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17.77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FEEF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34.02</w:t>
            </w:r>
          </w:p>
        </w:tc>
      </w:tr>
      <w:tr w14:paraId="1EA5C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2DE6BF">
            <w:pPr>
              <w:jc w:val="center"/>
              <w:rPr>
                <w:rFonts w:hint="eastAsia" w:ascii="宋体" w:hAnsi="宋体" w:eastAsia="宋体" w:cs="宋体"/>
                <w:i w:val="0"/>
                <w:iCs w:val="0"/>
                <w:color w:val="000000"/>
                <w:kern w:val="0"/>
                <w:sz w:val="18"/>
                <w:szCs w:val="18"/>
                <w:u w:val="none"/>
                <w:lang w:val="en-US" w:eastAsia="zh-CN" w:bidi="ar"/>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88920">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偿债备付率</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B9184">
            <w:pPr>
              <w:keepNext w:val="0"/>
              <w:keepLines w:val="0"/>
              <w:widowControl/>
              <w:suppressLineNumbers w:val="0"/>
              <w:jc w:val="center"/>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1.16</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1275C">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1.20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A4E86">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1.17</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23561">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1.21</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5DEEB">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1.18</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4B3D4">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1.22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F79A7">
            <w:pPr>
              <w:keepNext w:val="0"/>
              <w:keepLines w:val="0"/>
              <w:widowControl/>
              <w:suppressLineNumbers w:val="0"/>
              <w:jc w:val="center"/>
              <w:textAlignment w:val="top"/>
              <w:rPr>
                <w:rFonts w:hint="eastAsia" w:ascii="宋体" w:hAnsi="宋体" w:eastAsia="宋体" w:cs="宋体"/>
                <w:i w:val="0"/>
                <w:iCs w:val="0"/>
                <w:snapToGrid w:val="0"/>
                <w:color w:val="000000"/>
                <w:kern w:val="0"/>
                <w:sz w:val="18"/>
                <w:szCs w:val="18"/>
                <w:u w:val="none"/>
                <w:lang w:val="en-US" w:eastAsia="zh-CN" w:bidi="ar"/>
              </w:rPr>
            </w:pPr>
            <w:r>
              <w:rPr>
                <w:rFonts w:hint="eastAsia" w:ascii="宋体" w:hAnsi="宋体" w:eastAsia="宋体" w:cs="宋体"/>
                <w:i w:val="0"/>
                <w:iCs w:val="0"/>
                <w:snapToGrid w:val="0"/>
                <w:color w:val="000000"/>
                <w:kern w:val="0"/>
                <w:sz w:val="18"/>
                <w:szCs w:val="18"/>
                <w:u w:val="none"/>
                <w:lang w:val="en-US" w:eastAsia="zh-CN" w:bidi="ar"/>
              </w:rPr>
              <w:t>1.11</w:t>
            </w:r>
          </w:p>
        </w:tc>
      </w:tr>
    </w:tbl>
    <w:p w14:paraId="334F3914">
      <w:pPr>
        <w:rPr>
          <w:rFonts w:hint="eastAsia"/>
          <w:lang w:val="en-US" w:eastAsia="zh-CN"/>
        </w:rPr>
      </w:pPr>
    </w:p>
    <w:sectPr>
      <w:pgSz w:w="16838" w:h="11906" w:orient="landscape"/>
      <w:pgMar w:top="1610" w:right="1440" w:bottom="1134"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altName w:val="汉仪书宋二KW"/>
    <w:panose1 w:val="02010600030101010101"/>
    <w:charset w:val="50"/>
    <w:family w:val="auto"/>
    <w:pitch w:val="default"/>
    <w:sig w:usb0="00000000" w:usb1="00000000" w:usb2="00000006" w:usb3="00000000" w:csb0="00040001" w:csb1="00000000"/>
  </w:font>
  <w:font w:name="汉仪书宋二KW">
    <w:panose1 w:val="00020600040101010101"/>
    <w:charset w:val="86"/>
    <w:family w:val="auto"/>
    <w:pitch w:val="default"/>
    <w:sig w:usb0="A00002BF" w:usb1="18EF7CFA" w:usb2="00000016" w:usb3="00000000" w:csb0="00040000" w:csb1="00000000"/>
  </w:font>
  <w:font w:name="Wingdings">
    <w:altName w:val="Kingsoft Confetti"/>
    <w:panose1 w:val="05000000000000000000"/>
    <w:charset w:val="02"/>
    <w:family w:val="auto"/>
    <w:pitch w:val="default"/>
    <w:sig w:usb0="00000000" w:usb1="00000000" w:usb2="00000000" w:usb3="00000000" w:csb0="80000000" w:csb1="00000000"/>
  </w:font>
  <w:font w:name="Kingsoft Confetti">
    <w:panose1 w:val="05000100010000000000"/>
    <w:charset w:val="00"/>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汉仪中黑KW">
    <w:panose1 w:val="00020600040101010101"/>
    <w:charset w:val="86"/>
    <w:family w:val="auto"/>
    <w:pitch w:val="default"/>
    <w:sig w:usb0="A00002BF" w:usb1="18EF7CFA" w:usb2="00000016" w:usb3="00000000" w:csb0="00040000"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Kingsoft Sign">
    <w:panose1 w:val="05050102010706020507"/>
    <w:charset w:val="00"/>
    <w:family w:val="auto"/>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Arial">
    <w:panose1 w:val="020B0604020202020204"/>
    <w:charset w:val="00"/>
    <w:family w:val="auto"/>
    <w:pitch w:val="default"/>
    <w:sig w:usb0="E0002AFF" w:usb1="C0007843" w:usb2="00000009" w:usb3="00000000" w:csb0="400001FF" w:csb1="FFFF0000"/>
  </w:font>
  <w:font w:name="仿宋">
    <w:altName w:val="汉仪仿宋KW"/>
    <w:panose1 w:val="02010609060101010101"/>
    <w:charset w:val="86"/>
    <w:family w:val="auto"/>
    <w:pitch w:val="default"/>
    <w:sig w:usb0="00000000" w:usb1="00000000" w:usb2="00000016" w:usb3="00000000" w:csb0="00040001" w:csb1="00000000"/>
  </w:font>
  <w:font w:name="汉仪仿宋KW">
    <w:panose1 w:val="00020600040101010101"/>
    <w:charset w:val="86"/>
    <w:family w:val="auto"/>
    <w:pitch w:val="default"/>
    <w:sig w:usb0="A00002BF" w:usb1="18EF7CFA" w:usb2="00000016" w:usb3="00000000" w:csb0="00040000" w:csb1="00000000"/>
  </w:font>
  <w:font w:name="仿宋_GB2312">
    <w:altName w:val="汉仪仿宋KW"/>
    <w:panose1 w:val="02010609030101010101"/>
    <w:charset w:val="86"/>
    <w:family w:val="modern"/>
    <w:pitch w:val="default"/>
    <w:sig w:usb0="00000000" w:usb1="00000000" w:usb2="00000000" w:usb3="00000000" w:csb0="00040000" w:csb1="00000000"/>
  </w:font>
  <w:font w:name="楷体_GB2312">
    <w:altName w:val="汉仪楷体KW"/>
    <w:panose1 w:val="02010609030101010101"/>
    <w:charset w:val="86"/>
    <w:family w:val="modern"/>
    <w:pitch w:val="default"/>
    <w:sig w:usb0="00000000" w:usb1="00000000" w:usb2="00000000" w:usb3="00000000" w:csb0="00040000" w:csb1="00000000"/>
  </w:font>
  <w:font w:name="汉仪楷体KW">
    <w:panose1 w:val="00020600040101010101"/>
    <w:charset w:val="86"/>
    <w:family w:val="auto"/>
    <w:pitch w:val="default"/>
    <w:sig w:usb0="A00002BF" w:usb1="18EF7CFA" w:usb2="00000016" w:usb3="00000000" w:csb0="00040000" w:csb1="00000000"/>
  </w:font>
  <w:font w:name="汉仪君黑KW 55J">
    <w:panose1 w:val="00020600040101010101"/>
    <w:charset w:val="86"/>
    <w:family w:val="auto"/>
    <w:pitch w:val="default"/>
    <w:sig w:usb0="A00002BF" w:usb1="0ACF7CFA" w:usb2="00000016" w:usb3="00000000" w:csb0="0004000F" w:csb1="00000000"/>
  </w:font>
  <w:font w:name="汉仪中等线KW">
    <w:panose1 w:val="01010104010101010101"/>
    <w:charset w:val="86"/>
    <w:family w:val="auto"/>
    <w:pitch w:val="default"/>
    <w:sig w:usb0="800002BF" w:usb1="004F7CFA"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08D25">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3708E4">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pojbwzAgAAYg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2EEsM0Kn76/u30&#10;49fp51dylfRpXJgh7MEhMLZvbYuuGc4DDhPttvI6fUGIwA91jxd1RRsJT5emk+k0h4vDN2yAnz1e&#10;dz7Ed8JqkoyCepSvU5UdNiH2oUNIymbsWirVlVAZ0hT0+up1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pojbwzAgAAYgQAAA4AAAAAAAAAAQAgAAAAHwEAAGRycy9lMm9Eb2MueG1sUEsF&#10;BgAAAAAGAAYAWQEAAMQFAAAAAA==&#10;">
              <v:fill on="f" focussize="0,0"/>
              <v:stroke on="f" weight="0.5pt"/>
              <v:imagedata o:title=""/>
              <o:lock v:ext="edit" aspectratio="f"/>
              <v:textbox inset="0mm,0mm,0mm,0mm" style="mso-fit-shape-to-text:t;">
                <w:txbxContent>
                  <w:p w14:paraId="003708E4">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cyYjdlYzJmZmM5MjgxM2FiMTg0MDhiYjQ1ZTA2N2YifQ=="/>
    <w:docVar w:name="KSO_WPS_MARK_KEY" w:val="74114926-c3c3-48e1-ab3c-148467b7437e"/>
  </w:docVars>
  <w:rsids>
    <w:rsidRoot w:val="00000000"/>
    <w:rsid w:val="00000871"/>
    <w:rsid w:val="00276E33"/>
    <w:rsid w:val="003A6B66"/>
    <w:rsid w:val="007F6C6F"/>
    <w:rsid w:val="00AA3CEC"/>
    <w:rsid w:val="00BF0E19"/>
    <w:rsid w:val="00F00AF2"/>
    <w:rsid w:val="00F86A1F"/>
    <w:rsid w:val="00FF56BA"/>
    <w:rsid w:val="011854D6"/>
    <w:rsid w:val="01233A9E"/>
    <w:rsid w:val="01590227"/>
    <w:rsid w:val="017405AF"/>
    <w:rsid w:val="01A2719B"/>
    <w:rsid w:val="02785724"/>
    <w:rsid w:val="028125AD"/>
    <w:rsid w:val="028669F8"/>
    <w:rsid w:val="030E5A2F"/>
    <w:rsid w:val="03766107"/>
    <w:rsid w:val="03B31109"/>
    <w:rsid w:val="03EF5EB9"/>
    <w:rsid w:val="047B1719"/>
    <w:rsid w:val="049F51EA"/>
    <w:rsid w:val="053E00D1"/>
    <w:rsid w:val="0553515E"/>
    <w:rsid w:val="058F1702"/>
    <w:rsid w:val="05A87C8C"/>
    <w:rsid w:val="05AD007F"/>
    <w:rsid w:val="05D666A6"/>
    <w:rsid w:val="05EB4D05"/>
    <w:rsid w:val="0622270A"/>
    <w:rsid w:val="066E1317"/>
    <w:rsid w:val="072D2F81"/>
    <w:rsid w:val="07612484"/>
    <w:rsid w:val="08017F69"/>
    <w:rsid w:val="089B216C"/>
    <w:rsid w:val="08A234FA"/>
    <w:rsid w:val="08AA23AF"/>
    <w:rsid w:val="08B31F1F"/>
    <w:rsid w:val="09104908"/>
    <w:rsid w:val="09293C1C"/>
    <w:rsid w:val="093920B1"/>
    <w:rsid w:val="093F0D49"/>
    <w:rsid w:val="099F4BAF"/>
    <w:rsid w:val="09E85885"/>
    <w:rsid w:val="0A5F5B47"/>
    <w:rsid w:val="0A882AFE"/>
    <w:rsid w:val="0ACA55BE"/>
    <w:rsid w:val="0B3643CE"/>
    <w:rsid w:val="0C1F6495"/>
    <w:rsid w:val="0CA710DF"/>
    <w:rsid w:val="0CE42333"/>
    <w:rsid w:val="0CFB142B"/>
    <w:rsid w:val="0DA815B3"/>
    <w:rsid w:val="0DFF01A7"/>
    <w:rsid w:val="0E0F5966"/>
    <w:rsid w:val="0E2A765C"/>
    <w:rsid w:val="0E325320"/>
    <w:rsid w:val="0E7771D7"/>
    <w:rsid w:val="0EF40828"/>
    <w:rsid w:val="0F38025F"/>
    <w:rsid w:val="0F9E1CEC"/>
    <w:rsid w:val="0FA55526"/>
    <w:rsid w:val="10262C63"/>
    <w:rsid w:val="113D0264"/>
    <w:rsid w:val="11D861DF"/>
    <w:rsid w:val="11DD2029"/>
    <w:rsid w:val="11ED4408"/>
    <w:rsid w:val="121A05A5"/>
    <w:rsid w:val="130D1EB8"/>
    <w:rsid w:val="132F795F"/>
    <w:rsid w:val="133728C5"/>
    <w:rsid w:val="13707696"/>
    <w:rsid w:val="137B4E47"/>
    <w:rsid w:val="13F319E8"/>
    <w:rsid w:val="13FB7F63"/>
    <w:rsid w:val="14116861"/>
    <w:rsid w:val="144933C4"/>
    <w:rsid w:val="14A32263"/>
    <w:rsid w:val="14AA20B4"/>
    <w:rsid w:val="14E05AD6"/>
    <w:rsid w:val="151E7BE7"/>
    <w:rsid w:val="155B515D"/>
    <w:rsid w:val="15747FCD"/>
    <w:rsid w:val="15D45137"/>
    <w:rsid w:val="163836F0"/>
    <w:rsid w:val="163D0D06"/>
    <w:rsid w:val="16534086"/>
    <w:rsid w:val="16574965"/>
    <w:rsid w:val="166B68BC"/>
    <w:rsid w:val="166C09FE"/>
    <w:rsid w:val="16897AA8"/>
    <w:rsid w:val="170535D2"/>
    <w:rsid w:val="17C04584"/>
    <w:rsid w:val="17D95B0F"/>
    <w:rsid w:val="17FEB1AA"/>
    <w:rsid w:val="18123EA2"/>
    <w:rsid w:val="18270379"/>
    <w:rsid w:val="18734554"/>
    <w:rsid w:val="18846779"/>
    <w:rsid w:val="1A156DAE"/>
    <w:rsid w:val="1A1846E1"/>
    <w:rsid w:val="1A424B3D"/>
    <w:rsid w:val="1A452F93"/>
    <w:rsid w:val="1A705206"/>
    <w:rsid w:val="1A8707A2"/>
    <w:rsid w:val="1A9315F3"/>
    <w:rsid w:val="1AC27A2C"/>
    <w:rsid w:val="1ACD08AB"/>
    <w:rsid w:val="1B1A33C4"/>
    <w:rsid w:val="1B6A5707"/>
    <w:rsid w:val="1B7A0CC2"/>
    <w:rsid w:val="1BBF5DF0"/>
    <w:rsid w:val="1BEA2D97"/>
    <w:rsid w:val="1BEB1F58"/>
    <w:rsid w:val="1C817B9F"/>
    <w:rsid w:val="1CE95744"/>
    <w:rsid w:val="1D531DAF"/>
    <w:rsid w:val="1E1E766F"/>
    <w:rsid w:val="1E9E4585"/>
    <w:rsid w:val="1EC41FC5"/>
    <w:rsid w:val="1EF205A4"/>
    <w:rsid w:val="1F026649"/>
    <w:rsid w:val="1F0C3210"/>
    <w:rsid w:val="1F4871EC"/>
    <w:rsid w:val="1FB5190D"/>
    <w:rsid w:val="201C7BDE"/>
    <w:rsid w:val="204719C1"/>
    <w:rsid w:val="206C2DC3"/>
    <w:rsid w:val="209459C7"/>
    <w:rsid w:val="213F0657"/>
    <w:rsid w:val="217512E3"/>
    <w:rsid w:val="226338A3"/>
    <w:rsid w:val="22ED3B9E"/>
    <w:rsid w:val="23A14683"/>
    <w:rsid w:val="23BE3486"/>
    <w:rsid w:val="23D56D8B"/>
    <w:rsid w:val="23DB7500"/>
    <w:rsid w:val="244905A6"/>
    <w:rsid w:val="24977834"/>
    <w:rsid w:val="24A26904"/>
    <w:rsid w:val="24BC729A"/>
    <w:rsid w:val="24EE4B38"/>
    <w:rsid w:val="24F06F8E"/>
    <w:rsid w:val="25080F6A"/>
    <w:rsid w:val="25381095"/>
    <w:rsid w:val="253B4663"/>
    <w:rsid w:val="25542B36"/>
    <w:rsid w:val="259605E0"/>
    <w:rsid w:val="25F84A15"/>
    <w:rsid w:val="26235823"/>
    <w:rsid w:val="26377520"/>
    <w:rsid w:val="269C55D5"/>
    <w:rsid w:val="269F1099"/>
    <w:rsid w:val="279278A0"/>
    <w:rsid w:val="280451E0"/>
    <w:rsid w:val="2838132E"/>
    <w:rsid w:val="283F16DD"/>
    <w:rsid w:val="284D7A15"/>
    <w:rsid w:val="2859082E"/>
    <w:rsid w:val="28C8445F"/>
    <w:rsid w:val="28DE0127"/>
    <w:rsid w:val="295220ED"/>
    <w:rsid w:val="29AD2DF9"/>
    <w:rsid w:val="29E4176D"/>
    <w:rsid w:val="2A0E0598"/>
    <w:rsid w:val="2A4C284B"/>
    <w:rsid w:val="2A9F5694"/>
    <w:rsid w:val="2B202325"/>
    <w:rsid w:val="2B6C37C8"/>
    <w:rsid w:val="2B844FB6"/>
    <w:rsid w:val="2BFD08C4"/>
    <w:rsid w:val="2C4C35F9"/>
    <w:rsid w:val="2C525485"/>
    <w:rsid w:val="2C680433"/>
    <w:rsid w:val="2CA60F5C"/>
    <w:rsid w:val="2CDF7FCA"/>
    <w:rsid w:val="2D664671"/>
    <w:rsid w:val="2D7A1670"/>
    <w:rsid w:val="2D990F72"/>
    <w:rsid w:val="2DC87FA5"/>
    <w:rsid w:val="2E320542"/>
    <w:rsid w:val="2F8E3583"/>
    <w:rsid w:val="2FFD2D9D"/>
    <w:rsid w:val="303932A5"/>
    <w:rsid w:val="30444D13"/>
    <w:rsid w:val="31644EEA"/>
    <w:rsid w:val="317732C2"/>
    <w:rsid w:val="3246740A"/>
    <w:rsid w:val="32827D75"/>
    <w:rsid w:val="328C4750"/>
    <w:rsid w:val="32B515DD"/>
    <w:rsid w:val="33071375"/>
    <w:rsid w:val="33185FE3"/>
    <w:rsid w:val="3337290D"/>
    <w:rsid w:val="3422536C"/>
    <w:rsid w:val="346F60D7"/>
    <w:rsid w:val="34931537"/>
    <w:rsid w:val="34AB04B7"/>
    <w:rsid w:val="35260DFF"/>
    <w:rsid w:val="35E06B6A"/>
    <w:rsid w:val="35F26FC0"/>
    <w:rsid w:val="369E5C39"/>
    <w:rsid w:val="36FD79CA"/>
    <w:rsid w:val="37737C8C"/>
    <w:rsid w:val="37C52BDE"/>
    <w:rsid w:val="37DE7398"/>
    <w:rsid w:val="383C09C6"/>
    <w:rsid w:val="384C5A92"/>
    <w:rsid w:val="38696D18"/>
    <w:rsid w:val="386E0C42"/>
    <w:rsid w:val="38D570C3"/>
    <w:rsid w:val="38ED4133"/>
    <w:rsid w:val="391060DB"/>
    <w:rsid w:val="394C4C39"/>
    <w:rsid w:val="3960579A"/>
    <w:rsid w:val="397F0B6A"/>
    <w:rsid w:val="39C944DB"/>
    <w:rsid w:val="39E21E54"/>
    <w:rsid w:val="3A254889"/>
    <w:rsid w:val="3A993EAE"/>
    <w:rsid w:val="3ABD5E67"/>
    <w:rsid w:val="3B922EDF"/>
    <w:rsid w:val="3BA526F6"/>
    <w:rsid w:val="3BEC0297"/>
    <w:rsid w:val="3C027033"/>
    <w:rsid w:val="3C8446EA"/>
    <w:rsid w:val="3D0F66A9"/>
    <w:rsid w:val="3D8F1598"/>
    <w:rsid w:val="3DC01751"/>
    <w:rsid w:val="3DF80EEB"/>
    <w:rsid w:val="3F185CE9"/>
    <w:rsid w:val="3F3276DC"/>
    <w:rsid w:val="3F565EE8"/>
    <w:rsid w:val="3F8418F6"/>
    <w:rsid w:val="3FA94B93"/>
    <w:rsid w:val="3FE73128"/>
    <w:rsid w:val="400E49F6"/>
    <w:rsid w:val="40300E10"/>
    <w:rsid w:val="409A6AE6"/>
    <w:rsid w:val="40D75730"/>
    <w:rsid w:val="40F97472"/>
    <w:rsid w:val="41061B71"/>
    <w:rsid w:val="413D1BB0"/>
    <w:rsid w:val="41475031"/>
    <w:rsid w:val="415832F8"/>
    <w:rsid w:val="419E1093"/>
    <w:rsid w:val="41C2018E"/>
    <w:rsid w:val="41D852BC"/>
    <w:rsid w:val="41ED05C6"/>
    <w:rsid w:val="42312C1E"/>
    <w:rsid w:val="42894808"/>
    <w:rsid w:val="42A9218F"/>
    <w:rsid w:val="42AF56AF"/>
    <w:rsid w:val="4352404F"/>
    <w:rsid w:val="437454B8"/>
    <w:rsid w:val="43B62A59"/>
    <w:rsid w:val="43B753A5"/>
    <w:rsid w:val="43DD111E"/>
    <w:rsid w:val="449F0313"/>
    <w:rsid w:val="453749EF"/>
    <w:rsid w:val="4545387C"/>
    <w:rsid w:val="456A1F7A"/>
    <w:rsid w:val="45B24076"/>
    <w:rsid w:val="45BB22F1"/>
    <w:rsid w:val="46072613"/>
    <w:rsid w:val="46210CC6"/>
    <w:rsid w:val="462C66C9"/>
    <w:rsid w:val="465F41FD"/>
    <w:rsid w:val="469240A5"/>
    <w:rsid w:val="46FB3202"/>
    <w:rsid w:val="474E2E70"/>
    <w:rsid w:val="47A5361A"/>
    <w:rsid w:val="47E946A7"/>
    <w:rsid w:val="47FE76D1"/>
    <w:rsid w:val="4805359A"/>
    <w:rsid w:val="48757D08"/>
    <w:rsid w:val="48833275"/>
    <w:rsid w:val="48D12A65"/>
    <w:rsid w:val="4965742B"/>
    <w:rsid w:val="49CE4465"/>
    <w:rsid w:val="4A196CF5"/>
    <w:rsid w:val="4A431740"/>
    <w:rsid w:val="4B667DDC"/>
    <w:rsid w:val="4BAA3732"/>
    <w:rsid w:val="4C5D5CF6"/>
    <w:rsid w:val="4CBE2E20"/>
    <w:rsid w:val="4CFE5C0C"/>
    <w:rsid w:val="4D325C6C"/>
    <w:rsid w:val="4D7A7B6F"/>
    <w:rsid w:val="4D8600A4"/>
    <w:rsid w:val="4D8C4B13"/>
    <w:rsid w:val="4D930C30"/>
    <w:rsid w:val="4DA47DE9"/>
    <w:rsid w:val="4E0F02B7"/>
    <w:rsid w:val="4EB1136E"/>
    <w:rsid w:val="4F1920A0"/>
    <w:rsid w:val="4F691C49"/>
    <w:rsid w:val="4F812059"/>
    <w:rsid w:val="4F983C1B"/>
    <w:rsid w:val="4FA709C3"/>
    <w:rsid w:val="4FAC3EAB"/>
    <w:rsid w:val="50007ACD"/>
    <w:rsid w:val="500B41B1"/>
    <w:rsid w:val="50240068"/>
    <w:rsid w:val="50252D29"/>
    <w:rsid w:val="503F0996"/>
    <w:rsid w:val="50515E4B"/>
    <w:rsid w:val="50EA6DB9"/>
    <w:rsid w:val="50FE76EC"/>
    <w:rsid w:val="51165913"/>
    <w:rsid w:val="5118277B"/>
    <w:rsid w:val="513A1AEF"/>
    <w:rsid w:val="514E559A"/>
    <w:rsid w:val="51791EEB"/>
    <w:rsid w:val="519C6BF2"/>
    <w:rsid w:val="51FC55B1"/>
    <w:rsid w:val="52342D13"/>
    <w:rsid w:val="523D0814"/>
    <w:rsid w:val="52642B9B"/>
    <w:rsid w:val="53D855EF"/>
    <w:rsid w:val="541C0185"/>
    <w:rsid w:val="543C3357"/>
    <w:rsid w:val="546D5D37"/>
    <w:rsid w:val="547A7D75"/>
    <w:rsid w:val="54C47921"/>
    <w:rsid w:val="54DE7D82"/>
    <w:rsid w:val="560650D6"/>
    <w:rsid w:val="560A5808"/>
    <w:rsid w:val="56443BC7"/>
    <w:rsid w:val="56C500AD"/>
    <w:rsid w:val="577477EE"/>
    <w:rsid w:val="57A2219C"/>
    <w:rsid w:val="57A91349"/>
    <w:rsid w:val="57CC7219"/>
    <w:rsid w:val="58942050"/>
    <w:rsid w:val="5A47527D"/>
    <w:rsid w:val="5A4E660B"/>
    <w:rsid w:val="5A6E45B7"/>
    <w:rsid w:val="5AA1498D"/>
    <w:rsid w:val="5AE54EDC"/>
    <w:rsid w:val="5B6D486F"/>
    <w:rsid w:val="5B932866"/>
    <w:rsid w:val="5BCA7F13"/>
    <w:rsid w:val="5C1F54B9"/>
    <w:rsid w:val="5C6E089F"/>
    <w:rsid w:val="5CBB0025"/>
    <w:rsid w:val="5CEF46C8"/>
    <w:rsid w:val="5D0255A9"/>
    <w:rsid w:val="5D215911"/>
    <w:rsid w:val="5D982B15"/>
    <w:rsid w:val="5DD82F19"/>
    <w:rsid w:val="5E155921"/>
    <w:rsid w:val="5E4D0988"/>
    <w:rsid w:val="5E6F6B50"/>
    <w:rsid w:val="5E816FDD"/>
    <w:rsid w:val="5E987E55"/>
    <w:rsid w:val="5EBA4D17"/>
    <w:rsid w:val="5EDE1337"/>
    <w:rsid w:val="5F222469"/>
    <w:rsid w:val="5F357D99"/>
    <w:rsid w:val="5F6D46B6"/>
    <w:rsid w:val="5F93686E"/>
    <w:rsid w:val="5F994316"/>
    <w:rsid w:val="5FA30C8D"/>
    <w:rsid w:val="5FEF0574"/>
    <w:rsid w:val="5FFC716E"/>
    <w:rsid w:val="600960BD"/>
    <w:rsid w:val="600E201D"/>
    <w:rsid w:val="60591866"/>
    <w:rsid w:val="605F052B"/>
    <w:rsid w:val="61313E32"/>
    <w:rsid w:val="613A51F3"/>
    <w:rsid w:val="61655E91"/>
    <w:rsid w:val="618B5A4F"/>
    <w:rsid w:val="61DD02D7"/>
    <w:rsid w:val="61F60880"/>
    <w:rsid w:val="631A2B9C"/>
    <w:rsid w:val="632F68AE"/>
    <w:rsid w:val="635C3B47"/>
    <w:rsid w:val="639037F0"/>
    <w:rsid w:val="63A64DC2"/>
    <w:rsid w:val="63AF7503"/>
    <w:rsid w:val="64882719"/>
    <w:rsid w:val="64A01811"/>
    <w:rsid w:val="64E831B8"/>
    <w:rsid w:val="651E6BDA"/>
    <w:rsid w:val="65702D9F"/>
    <w:rsid w:val="65921AA2"/>
    <w:rsid w:val="65D75707"/>
    <w:rsid w:val="6618187B"/>
    <w:rsid w:val="661F0E5C"/>
    <w:rsid w:val="66456B14"/>
    <w:rsid w:val="66C11F13"/>
    <w:rsid w:val="67391614"/>
    <w:rsid w:val="67E704B4"/>
    <w:rsid w:val="68127258"/>
    <w:rsid w:val="686139AD"/>
    <w:rsid w:val="68A70650"/>
    <w:rsid w:val="68E24AEE"/>
    <w:rsid w:val="696077C1"/>
    <w:rsid w:val="699F76FF"/>
    <w:rsid w:val="69CE6E20"/>
    <w:rsid w:val="6A132060"/>
    <w:rsid w:val="6B364C7D"/>
    <w:rsid w:val="6B3D4C00"/>
    <w:rsid w:val="6B9419A4"/>
    <w:rsid w:val="6BC77FCB"/>
    <w:rsid w:val="6BE41585"/>
    <w:rsid w:val="6C1256EA"/>
    <w:rsid w:val="6C1476AE"/>
    <w:rsid w:val="6C3A254B"/>
    <w:rsid w:val="6CAB169B"/>
    <w:rsid w:val="6CBE2DF9"/>
    <w:rsid w:val="6D050DAB"/>
    <w:rsid w:val="6D46375B"/>
    <w:rsid w:val="6D967C55"/>
    <w:rsid w:val="6DAA54AF"/>
    <w:rsid w:val="6DC413FE"/>
    <w:rsid w:val="6E076D69"/>
    <w:rsid w:val="6E62222D"/>
    <w:rsid w:val="6E7F14AD"/>
    <w:rsid w:val="6E89242D"/>
    <w:rsid w:val="6EE449F0"/>
    <w:rsid w:val="6F253543"/>
    <w:rsid w:val="6F926B42"/>
    <w:rsid w:val="6FC52A74"/>
    <w:rsid w:val="6FDE4B71"/>
    <w:rsid w:val="6FEEC05D"/>
    <w:rsid w:val="710769A7"/>
    <w:rsid w:val="71A768D5"/>
    <w:rsid w:val="71B66B18"/>
    <w:rsid w:val="72604CD6"/>
    <w:rsid w:val="72DF5BFA"/>
    <w:rsid w:val="72F62F44"/>
    <w:rsid w:val="7304539B"/>
    <w:rsid w:val="731B5B01"/>
    <w:rsid w:val="735544D4"/>
    <w:rsid w:val="735E3EDB"/>
    <w:rsid w:val="73B74C9B"/>
    <w:rsid w:val="73D239B1"/>
    <w:rsid w:val="73D2750D"/>
    <w:rsid w:val="73E84818"/>
    <w:rsid w:val="741A77EC"/>
    <w:rsid w:val="742D4BB0"/>
    <w:rsid w:val="744523D5"/>
    <w:rsid w:val="745B7503"/>
    <w:rsid w:val="748A428C"/>
    <w:rsid w:val="74A907A6"/>
    <w:rsid w:val="74AE1682"/>
    <w:rsid w:val="74B17A6A"/>
    <w:rsid w:val="752C70F1"/>
    <w:rsid w:val="7548217D"/>
    <w:rsid w:val="75846F2D"/>
    <w:rsid w:val="75BC66C7"/>
    <w:rsid w:val="75ED4AD2"/>
    <w:rsid w:val="76034BED"/>
    <w:rsid w:val="76601FDC"/>
    <w:rsid w:val="76B4114C"/>
    <w:rsid w:val="774553A6"/>
    <w:rsid w:val="776F591B"/>
    <w:rsid w:val="77B24750"/>
    <w:rsid w:val="77C81353"/>
    <w:rsid w:val="77D01FB6"/>
    <w:rsid w:val="78484242"/>
    <w:rsid w:val="7872306D"/>
    <w:rsid w:val="78E55401"/>
    <w:rsid w:val="78F41CD4"/>
    <w:rsid w:val="79E20842"/>
    <w:rsid w:val="79F00974"/>
    <w:rsid w:val="79FC7092"/>
    <w:rsid w:val="7A2E133F"/>
    <w:rsid w:val="7A682979"/>
    <w:rsid w:val="7B66217C"/>
    <w:rsid w:val="7B762E74"/>
    <w:rsid w:val="7BDA1655"/>
    <w:rsid w:val="7BE81FC4"/>
    <w:rsid w:val="7BF344C5"/>
    <w:rsid w:val="7BFD5343"/>
    <w:rsid w:val="7C1D1542"/>
    <w:rsid w:val="7C6815AF"/>
    <w:rsid w:val="7CD460A4"/>
    <w:rsid w:val="7CDB5685"/>
    <w:rsid w:val="7D237AA8"/>
    <w:rsid w:val="7DD547CA"/>
    <w:rsid w:val="7DF05680"/>
    <w:rsid w:val="7E3B648D"/>
    <w:rsid w:val="7E67175F"/>
    <w:rsid w:val="7EE12CFA"/>
    <w:rsid w:val="7F0C1437"/>
    <w:rsid w:val="7F3472CE"/>
    <w:rsid w:val="7F5434CC"/>
    <w:rsid w:val="7F71399A"/>
    <w:rsid w:val="7F7E1C1E"/>
    <w:rsid w:val="7FB64187"/>
    <w:rsid w:val="7FBFF972"/>
    <w:rsid w:val="7FFD1298"/>
    <w:rsid w:val="BFE3CCB3"/>
    <w:rsid w:val="CDFF5F32"/>
    <w:rsid w:val="D4EB342E"/>
    <w:rsid w:val="DCEEEA16"/>
    <w:rsid w:val="F4CB898F"/>
    <w:rsid w:val="FFFB1967"/>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autoRedefine/>
    <w:qFormat/>
    <w:uiPriority w:val="9"/>
    <w:pPr>
      <w:keepNext/>
      <w:keepLines/>
      <w:spacing w:before="340" w:beforeAutospacing="0" w:after="330" w:afterAutospacing="0" w:line="576" w:lineRule="auto"/>
      <w:outlineLvl w:val="0"/>
    </w:pPr>
    <w:rPr>
      <w:rFonts w:ascii="Calibri" w:hAnsi="Calibri" w:eastAsia="黑体"/>
      <w:b/>
      <w:kern w:val="44"/>
      <w:sz w:val="36"/>
    </w:rPr>
  </w:style>
  <w:style w:type="paragraph" w:styleId="3">
    <w:name w:val="heading 2"/>
    <w:basedOn w:val="1"/>
    <w:next w:val="1"/>
    <w:autoRedefine/>
    <w:qFormat/>
    <w:uiPriority w:val="9"/>
    <w:pPr>
      <w:keepNext/>
      <w:keepLines/>
      <w:spacing w:before="260" w:beforeAutospacing="0" w:after="260" w:afterAutospacing="0" w:line="413" w:lineRule="auto"/>
      <w:outlineLvl w:val="1"/>
    </w:pPr>
    <w:rPr>
      <w:rFonts w:ascii="Arial" w:hAnsi="Arial" w:eastAsia="黑体"/>
      <w:b/>
      <w:sz w:val="30"/>
    </w:rPr>
  </w:style>
  <w:style w:type="paragraph" w:styleId="4">
    <w:name w:val="heading 3"/>
    <w:basedOn w:val="1"/>
    <w:next w:val="1"/>
    <w:autoRedefine/>
    <w:qFormat/>
    <w:uiPriority w:val="9"/>
    <w:pPr>
      <w:keepNext/>
      <w:keepLines/>
      <w:spacing w:before="260" w:beforeAutospacing="0" w:after="260" w:afterAutospacing="0" w:line="413" w:lineRule="auto"/>
      <w:outlineLvl w:val="2"/>
    </w:pPr>
    <w:rPr>
      <w:rFonts w:ascii="Calibri" w:hAnsi="Calibri" w:eastAsia="黑体"/>
      <w:b/>
      <w:sz w:val="28"/>
    </w:rPr>
  </w:style>
  <w:style w:type="character" w:default="1" w:styleId="18">
    <w:name w:val="Default Paragraph Font"/>
    <w:autoRedefine/>
    <w:qFormat/>
    <w:uiPriority w:val="1"/>
  </w:style>
  <w:style w:type="table" w:default="1" w:styleId="16">
    <w:name w:val="Normal Table"/>
    <w:autoRedefine/>
    <w:qFormat/>
    <w:uiPriority w:val="99"/>
    <w:tblPr>
      <w:tblCellMar>
        <w:top w:w="0" w:type="dxa"/>
        <w:left w:w="108" w:type="dxa"/>
        <w:bottom w:w="0" w:type="dxa"/>
        <w:right w:w="108" w:type="dxa"/>
      </w:tblCellMar>
    </w:tblPr>
  </w:style>
  <w:style w:type="paragraph" w:styleId="5">
    <w:name w:val="annotation text"/>
    <w:basedOn w:val="1"/>
    <w:autoRedefine/>
    <w:qFormat/>
    <w:uiPriority w:val="99"/>
    <w:pPr>
      <w:jc w:val="left"/>
    </w:pPr>
  </w:style>
  <w:style w:type="paragraph" w:styleId="6">
    <w:name w:val="Body Text"/>
    <w:basedOn w:val="1"/>
    <w:autoRedefine/>
    <w:qFormat/>
    <w:uiPriority w:val="99"/>
    <w:rPr>
      <w:rFonts w:ascii="Arial" w:hAnsi="Arial" w:eastAsia="Arial" w:cs="Arial"/>
      <w:sz w:val="21"/>
      <w:szCs w:val="21"/>
      <w:lang w:val="en-US" w:eastAsia="en-US" w:bidi="ar-SA"/>
    </w:rPr>
  </w:style>
  <w:style w:type="paragraph" w:styleId="7">
    <w:name w:val="Body Text Indent"/>
    <w:basedOn w:val="1"/>
    <w:next w:val="8"/>
    <w:autoRedefine/>
    <w:qFormat/>
    <w:uiPriority w:val="99"/>
    <w:pPr>
      <w:widowControl w:val="0"/>
      <w:kinsoku/>
      <w:autoSpaceDE/>
      <w:autoSpaceDN/>
      <w:adjustRightInd/>
      <w:snapToGrid/>
      <w:spacing w:after="120" w:line="240" w:lineRule="auto"/>
      <w:ind w:left="420" w:leftChars="200"/>
      <w:jc w:val="both"/>
      <w:textAlignment w:val="auto"/>
    </w:pPr>
    <w:rPr>
      <w:rFonts w:ascii="Calibri" w:hAnsi="Calibri" w:eastAsia="宋体" w:cs="Times New Roman"/>
      <w:snapToGrid/>
      <w:kern w:val="2"/>
      <w:sz w:val="28"/>
      <w:szCs w:val="28"/>
      <w:lang w:eastAsia="zh-CN"/>
    </w:rPr>
  </w:style>
  <w:style w:type="paragraph" w:styleId="8">
    <w:name w:val="envelope return"/>
    <w:basedOn w:val="1"/>
    <w:autoRedefine/>
    <w:qFormat/>
    <w:uiPriority w:val="99"/>
    <w:pPr>
      <w:widowControl w:val="0"/>
      <w:kinsoku/>
      <w:autoSpaceDE/>
      <w:autoSpaceDN/>
      <w:adjustRightInd w:val="0"/>
      <w:snapToGrid w:val="0"/>
      <w:spacing w:line="240" w:lineRule="auto"/>
      <w:ind w:firstLine="0" w:firstLineChars="0"/>
      <w:jc w:val="both"/>
      <w:textAlignment w:val="auto"/>
    </w:pPr>
    <w:rPr>
      <w:rFonts w:ascii="Arial" w:hAnsi="Arial" w:eastAsia="宋体" w:cs="宋体"/>
      <w:snapToGrid/>
      <w:kern w:val="2"/>
      <w:szCs w:val="20"/>
      <w:lang w:eastAsia="zh-CN"/>
    </w:rPr>
  </w:style>
  <w:style w:type="paragraph" w:styleId="9">
    <w:name w:val="footer"/>
    <w:basedOn w:val="1"/>
    <w:autoRedefine/>
    <w:qFormat/>
    <w:uiPriority w:val="99"/>
    <w:pPr>
      <w:tabs>
        <w:tab w:val="center" w:pos="4153"/>
        <w:tab w:val="right" w:pos="8306"/>
      </w:tabs>
      <w:snapToGrid w:val="0"/>
      <w:jc w:val="left"/>
    </w:pPr>
    <w:rPr>
      <w:sz w:val="18"/>
    </w:rPr>
  </w:style>
  <w:style w:type="paragraph" w:styleId="10">
    <w:name w:val="header"/>
    <w:basedOn w:val="1"/>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autoRedefine/>
    <w:qFormat/>
    <w:uiPriority w:val="39"/>
  </w:style>
  <w:style w:type="paragraph" w:styleId="12">
    <w:name w:val="toc 2"/>
    <w:basedOn w:val="1"/>
    <w:next w:val="1"/>
    <w:autoRedefine/>
    <w:qFormat/>
    <w:uiPriority w:val="39"/>
    <w:pPr>
      <w:ind w:left="420" w:leftChars="200"/>
    </w:pPr>
  </w:style>
  <w:style w:type="paragraph" w:styleId="13">
    <w:name w:val="Body Text 2"/>
    <w:basedOn w:val="1"/>
    <w:autoRedefine/>
    <w:qFormat/>
    <w:uiPriority w:val="99"/>
    <w:rPr>
      <w:color w:val="0000FF"/>
    </w:rPr>
  </w:style>
  <w:style w:type="paragraph" w:styleId="14">
    <w:name w:val="Normal (Web)"/>
    <w:basedOn w:val="1"/>
    <w:autoRedefine/>
    <w:qFormat/>
    <w:uiPriority w:val="99"/>
    <w:pPr>
      <w:spacing w:before="0" w:beforeAutospacing="1" w:after="0" w:afterAutospacing="1"/>
      <w:ind w:left="0" w:right="0"/>
      <w:jc w:val="left"/>
    </w:pPr>
    <w:rPr>
      <w:kern w:val="0"/>
      <w:sz w:val="24"/>
      <w:lang w:val="en-US" w:eastAsia="zh-CN"/>
    </w:rPr>
  </w:style>
  <w:style w:type="paragraph" w:styleId="15">
    <w:name w:val="Body Text First Indent 2"/>
    <w:basedOn w:val="7"/>
    <w:autoRedefine/>
    <w:qFormat/>
    <w:uiPriority w:val="99"/>
    <w:pPr>
      <w:spacing w:line="360" w:lineRule="auto"/>
      <w:ind w:firstLine="420"/>
    </w:pPr>
    <w:rPr>
      <w:szCs w:val="22"/>
    </w:rPr>
  </w:style>
  <w:style w:type="table" w:styleId="17">
    <w:name w:val="Table Grid"/>
    <w:basedOn w:val="16"/>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autoRedefine/>
    <w:qFormat/>
    <w:uiPriority w:val="22"/>
    <w:rPr>
      <w:b/>
    </w:rPr>
  </w:style>
  <w:style w:type="character" w:styleId="20">
    <w:name w:val="Hyperlink"/>
    <w:basedOn w:val="18"/>
    <w:autoRedefine/>
    <w:qFormat/>
    <w:uiPriority w:val="99"/>
    <w:rPr>
      <w:rFonts w:ascii="Times New Roman" w:hAnsi="Times New Roman" w:eastAsia="宋体" w:cs="Times New Roman"/>
      <w:color w:val="0000FF"/>
      <w:u w:val="single"/>
    </w:rPr>
  </w:style>
  <w:style w:type="paragraph" w:customStyle="1" w:styleId="21">
    <w:name w:val="WPSOffice手动目录 3"/>
    <w:qFormat/>
    <w:uiPriority w:val="0"/>
    <w:pPr>
      <w:ind w:leftChars="400"/>
    </w:pPr>
    <w:rPr>
      <w:rFonts w:ascii="Times New Roman" w:hAnsi="Times New Roman" w:eastAsia="宋体" w:cs="Times New Roman"/>
      <w:sz w:val="20"/>
      <w:szCs w:val="20"/>
    </w:rPr>
  </w:style>
  <w:style w:type="paragraph" w:customStyle="1" w:styleId="22">
    <w:name w:val="WPSOffice手动目录 2"/>
    <w:qFormat/>
    <w:uiPriority w:val="0"/>
    <w:pPr>
      <w:ind w:leftChars="200"/>
    </w:pPr>
    <w:rPr>
      <w:rFonts w:ascii="Times New Roman" w:hAnsi="Times New Roman" w:eastAsia="宋体" w:cs="Times New Roman"/>
      <w:sz w:val="20"/>
      <w:szCs w:val="20"/>
    </w:rPr>
  </w:style>
  <w:style w:type="character" w:customStyle="1" w:styleId="23">
    <w:name w:val="font122"/>
    <w:basedOn w:val="18"/>
    <w:autoRedefine/>
    <w:qFormat/>
    <w:uiPriority w:val="0"/>
    <w:rPr>
      <w:rFonts w:hint="eastAsia" w:ascii="宋体" w:hAnsi="宋体" w:eastAsia="宋体" w:cs="宋体"/>
      <w:color w:val="000000"/>
      <w:sz w:val="14"/>
      <w:szCs w:val="14"/>
      <w:u w:val="none"/>
    </w:rPr>
  </w:style>
  <w:style w:type="character" w:customStyle="1" w:styleId="24">
    <w:name w:val="font112"/>
    <w:basedOn w:val="18"/>
    <w:qFormat/>
    <w:uiPriority w:val="0"/>
    <w:rPr>
      <w:rFonts w:hint="eastAsia" w:ascii="宋体" w:hAnsi="宋体" w:eastAsia="宋体" w:cs="宋体"/>
      <w:color w:val="000000"/>
      <w:sz w:val="14"/>
      <w:szCs w:val="14"/>
      <w:u w:val="none"/>
    </w:rPr>
  </w:style>
  <w:style w:type="character" w:customStyle="1" w:styleId="25">
    <w:name w:val="font51"/>
    <w:basedOn w:val="18"/>
    <w:autoRedefine/>
    <w:qFormat/>
    <w:uiPriority w:val="0"/>
    <w:rPr>
      <w:rFonts w:hint="default" w:ascii="Times New Roman" w:hAnsi="Times New Roman" w:cs="Times New Roman"/>
      <w:color w:val="000000"/>
      <w:sz w:val="16"/>
      <w:szCs w:val="16"/>
      <w:u w:val="none"/>
    </w:rPr>
  </w:style>
  <w:style w:type="paragraph" w:customStyle="1" w:styleId="26">
    <w:name w:val="封面日期"/>
    <w:basedOn w:val="1"/>
    <w:autoRedefine/>
    <w:qFormat/>
    <w:uiPriority w:val="0"/>
    <w:pPr>
      <w:widowControl w:val="0"/>
      <w:kinsoku/>
      <w:autoSpaceDE/>
      <w:autoSpaceDN/>
      <w:adjustRightInd/>
      <w:snapToGrid/>
      <w:spacing w:line="240" w:lineRule="auto"/>
      <w:jc w:val="center"/>
      <w:textAlignment w:val="auto"/>
    </w:pPr>
    <w:rPr>
      <w:rFonts w:ascii="黑体" w:hAnsi="Times New Roman" w:eastAsia="黑体" w:cs="Times New Roman"/>
      <w:snapToGrid/>
      <w:kern w:val="2"/>
      <w:sz w:val="32"/>
      <w:szCs w:val="32"/>
      <w:lang w:eastAsia="zh-CN"/>
    </w:rPr>
  </w:style>
  <w:style w:type="character" w:customStyle="1" w:styleId="27">
    <w:name w:val="font151"/>
    <w:basedOn w:val="18"/>
    <w:autoRedefine/>
    <w:qFormat/>
    <w:uiPriority w:val="0"/>
    <w:rPr>
      <w:rFonts w:hint="default" w:ascii="Times New Roman" w:hAnsi="Times New Roman" w:cs="Times New Roman"/>
      <w:color w:val="000000"/>
      <w:sz w:val="14"/>
      <w:szCs w:val="14"/>
      <w:u w:val="none"/>
    </w:rPr>
  </w:style>
  <w:style w:type="character" w:customStyle="1" w:styleId="28">
    <w:name w:val="font131"/>
    <w:basedOn w:val="18"/>
    <w:qFormat/>
    <w:uiPriority w:val="0"/>
    <w:rPr>
      <w:rFonts w:hint="default" w:ascii="Times New Roman" w:hAnsi="Times New Roman" w:cs="Times New Roman"/>
      <w:color w:val="000000"/>
      <w:sz w:val="14"/>
      <w:szCs w:val="14"/>
      <w:u w:val="none"/>
    </w:rPr>
  </w:style>
  <w:style w:type="paragraph" w:customStyle="1" w:styleId="29">
    <w:name w:val="WPSOffice手动目录 1"/>
    <w:autoRedefine/>
    <w:qFormat/>
    <w:uiPriority w:val="0"/>
    <w:pPr>
      <w:ind w:leftChars="0"/>
    </w:pPr>
    <w:rPr>
      <w:rFonts w:ascii="Times New Roman" w:hAnsi="Times New Roman" w:eastAsia="宋体" w:cs="Times New Roman"/>
      <w:sz w:val="20"/>
      <w:szCs w:val="20"/>
    </w:rPr>
  </w:style>
  <w:style w:type="paragraph" w:customStyle="1" w:styleId="30">
    <w:name w:val="研究生姓名"/>
    <w:basedOn w:val="1"/>
    <w:autoRedefine/>
    <w:qFormat/>
    <w:uiPriority w:val="0"/>
    <w:pPr>
      <w:widowControl w:val="0"/>
      <w:kinsoku/>
      <w:autoSpaceDE/>
      <w:autoSpaceDN/>
      <w:adjustRightInd/>
      <w:snapToGrid/>
      <w:spacing w:line="240" w:lineRule="auto"/>
      <w:ind w:firstLine="700" w:firstLineChars="700"/>
      <w:jc w:val="both"/>
      <w:textAlignment w:val="auto"/>
    </w:pPr>
    <w:rPr>
      <w:rFonts w:ascii="Times New Roman" w:hAnsi="Times New Roman" w:eastAsia="宋体" w:cs="Times New Roman"/>
      <w:snapToGrid/>
      <w:kern w:val="2"/>
      <w:sz w:val="28"/>
      <w:szCs w:val="28"/>
      <w:lang w:eastAsia="zh-CN"/>
    </w:rPr>
  </w:style>
  <w:style w:type="paragraph" w:customStyle="1" w:styleId="31">
    <w:name w:val="Table Paragraph1"/>
    <w:autoRedefine/>
    <w:qFormat/>
    <w:uiPriority w:val="1"/>
    <w:pPr>
      <w:kinsoku w:val="0"/>
      <w:autoSpaceDE w:val="0"/>
      <w:autoSpaceDN w:val="0"/>
      <w:adjustRightInd w:val="0"/>
      <w:snapToGrid w:val="0"/>
      <w:spacing w:line="240" w:lineRule="auto"/>
      <w:jc w:val="center"/>
      <w:textAlignment w:val="baseline"/>
    </w:pPr>
    <w:rPr>
      <w:rFonts w:ascii="Times New Roman" w:hAnsi="Times New Roman" w:eastAsia="Times New Roman" w:cs="Times New Roman"/>
      <w:snapToGrid w:val="0"/>
      <w:color w:val="000000"/>
      <w:kern w:val="0"/>
      <w:sz w:val="21"/>
      <w:szCs w:val="21"/>
      <w:lang w:val="zh-CN" w:eastAsia="zh-CN" w:bidi="zh-CN"/>
    </w:rPr>
  </w:style>
  <w:style w:type="character" w:customStyle="1" w:styleId="32">
    <w:name w:val="font91"/>
    <w:basedOn w:val="18"/>
    <w:qFormat/>
    <w:uiPriority w:val="0"/>
    <w:rPr>
      <w:rFonts w:hint="default" w:ascii="Times New Roman" w:hAnsi="Times New Roman" w:cs="Times New Roman"/>
      <w:color w:val="000000"/>
      <w:sz w:val="14"/>
      <w:szCs w:val="14"/>
      <w:u w:val="none"/>
    </w:rPr>
  </w:style>
  <w:style w:type="table" w:customStyle="1" w:styleId="33">
    <w:name w:val="Table Normal"/>
    <w:autoRedefine/>
    <w:qFormat/>
    <w:uiPriority w:val="0"/>
    <w:tblPr>
      <w:tblCellMar>
        <w:top w:w="0" w:type="dxa"/>
        <w:left w:w="0" w:type="dxa"/>
        <w:bottom w:w="0" w:type="dxa"/>
        <w:right w:w="0" w:type="dxa"/>
      </w:tblCellMar>
    </w:tblPr>
  </w:style>
  <w:style w:type="character" w:customStyle="1" w:styleId="34">
    <w:name w:val="font31"/>
    <w:basedOn w:val="18"/>
    <w:autoRedefine/>
    <w:qFormat/>
    <w:uiPriority w:val="0"/>
    <w:rPr>
      <w:rFonts w:hint="eastAsia" w:ascii="宋体" w:hAnsi="宋体" w:eastAsia="宋体" w:cs="宋体"/>
      <w:color w:val="000000"/>
      <w:sz w:val="18"/>
      <w:szCs w:val="18"/>
      <w:u w:val="none"/>
    </w:rPr>
  </w:style>
  <w:style w:type="character" w:customStyle="1" w:styleId="35">
    <w:name w:val="font11"/>
    <w:basedOn w:val="18"/>
    <w:autoRedefine/>
    <w:qFormat/>
    <w:uiPriority w:val="0"/>
    <w:rPr>
      <w:rFonts w:hint="eastAsia" w:ascii="宋体" w:hAnsi="宋体" w:eastAsia="宋体" w:cs="宋体"/>
      <w:color w:val="000000"/>
      <w:sz w:val="16"/>
      <w:szCs w:val="16"/>
      <w:u w:val="none"/>
    </w:rPr>
  </w:style>
  <w:style w:type="character" w:customStyle="1" w:styleId="36">
    <w:name w:val="font141"/>
    <w:basedOn w:val="18"/>
    <w:qFormat/>
    <w:uiPriority w:val="0"/>
    <w:rPr>
      <w:rFonts w:hint="default" w:ascii="Times New Roman" w:hAnsi="Times New Roman" w:cs="Times New Roman"/>
      <w:color w:val="000000"/>
      <w:sz w:val="14"/>
      <w:szCs w:val="14"/>
      <w:u w:val="none"/>
    </w:rPr>
  </w:style>
  <w:style w:type="character" w:customStyle="1" w:styleId="37">
    <w:name w:val="font121"/>
    <w:basedOn w:val="18"/>
    <w:qFormat/>
    <w:uiPriority w:val="0"/>
    <w:rPr>
      <w:rFonts w:hint="eastAsia" w:ascii="宋体" w:hAnsi="宋体" w:eastAsia="宋体" w:cs="宋体"/>
      <w:color w:val="000000"/>
      <w:sz w:val="14"/>
      <w:szCs w:val="14"/>
      <w:u w:val="none"/>
    </w:rPr>
  </w:style>
  <w:style w:type="paragraph" w:styleId="38">
    <w:name w:val="List Paragraph"/>
    <w:basedOn w:val="1"/>
    <w:autoRedefine/>
    <w:qFormat/>
    <w:uiPriority w:val="1"/>
    <w:pPr>
      <w:ind w:left="220" w:firstLine="559"/>
    </w:pPr>
    <w:rPr>
      <w:rFonts w:ascii="仿宋" w:hAnsi="仿宋" w:eastAsia="仿宋" w:cs="仿宋"/>
      <w:lang w:val="zh-CN" w:eastAsia="zh-CN" w:bidi="zh-CN"/>
    </w:rPr>
  </w:style>
  <w:style w:type="character" w:customStyle="1" w:styleId="39">
    <w:name w:val="font101"/>
    <w:basedOn w:val="18"/>
    <w:qFormat/>
    <w:uiPriority w:val="0"/>
    <w:rPr>
      <w:rFonts w:hint="default" w:ascii="Times New Roman" w:hAnsi="Times New Roman" w:cs="Times New Roman"/>
      <w:color w:val="000000"/>
      <w:sz w:val="14"/>
      <w:szCs w:val="14"/>
      <w:u w:val="none"/>
    </w:rPr>
  </w:style>
  <w:style w:type="paragraph" w:customStyle="1" w:styleId="40">
    <w:name w:val="分类号"/>
    <w:basedOn w:val="1"/>
    <w:autoRedefine/>
    <w:qFormat/>
    <w:uiPriority w:val="0"/>
    <w:pPr>
      <w:widowControl w:val="0"/>
      <w:kinsoku/>
      <w:autoSpaceDE/>
      <w:autoSpaceDN/>
      <w:adjustRightInd/>
      <w:snapToGrid/>
      <w:spacing w:line="240" w:lineRule="auto"/>
      <w:jc w:val="both"/>
      <w:textAlignment w:val="auto"/>
    </w:pPr>
    <w:rPr>
      <w:rFonts w:ascii="仿宋_GB2312" w:hAnsi="Times New Roman" w:eastAsia="仿宋_GB2312" w:cs="Times New Roman"/>
      <w:snapToGrid/>
      <w:kern w:val="2"/>
      <w:sz w:val="28"/>
      <w:szCs w:val="28"/>
      <w:lang w:eastAsia="zh-CN"/>
    </w:rPr>
  </w:style>
  <w:style w:type="character" w:customStyle="1" w:styleId="41">
    <w:name w:val="font41"/>
    <w:basedOn w:val="18"/>
    <w:autoRedefine/>
    <w:qFormat/>
    <w:uiPriority w:val="0"/>
    <w:rPr>
      <w:rFonts w:hint="eastAsia" w:ascii="宋体" w:hAnsi="宋体" w:eastAsia="宋体" w:cs="宋体"/>
      <w:color w:val="000000"/>
      <w:sz w:val="16"/>
      <w:szCs w:val="16"/>
      <w:u w:val="none"/>
    </w:rPr>
  </w:style>
  <w:style w:type="character" w:customStyle="1" w:styleId="42">
    <w:name w:val="font01"/>
    <w:basedOn w:val="18"/>
    <w:autoRedefine/>
    <w:qFormat/>
    <w:uiPriority w:val="0"/>
    <w:rPr>
      <w:rFonts w:hint="eastAsia" w:ascii="宋体" w:hAnsi="宋体" w:eastAsia="宋体" w:cs="宋体"/>
      <w:color w:val="FF0000"/>
      <w:sz w:val="21"/>
      <w:szCs w:val="21"/>
      <w:u w:val="none"/>
    </w:rPr>
  </w:style>
  <w:style w:type="paragraph" w:customStyle="1" w:styleId="43">
    <w:name w:val="Table Paragraph"/>
    <w:basedOn w:val="1"/>
    <w:qFormat/>
    <w:uiPriority w:val="1"/>
    <w:pPr>
      <w:jc w:val="center"/>
    </w:pPr>
    <w:rPr>
      <w:rFonts w:ascii="Times New Roman" w:hAnsi="Times New Roman" w:eastAsia="Times New Roman" w:cs="Times New Roman"/>
      <w:lang w:val="zh-CN" w:eastAsia="zh-CN" w:bidi="zh-CN"/>
    </w:rPr>
  </w:style>
  <w:style w:type="character" w:customStyle="1" w:styleId="44">
    <w:name w:val="font61"/>
    <w:basedOn w:val="18"/>
    <w:autoRedefine/>
    <w:qFormat/>
    <w:uiPriority w:val="0"/>
    <w:rPr>
      <w:rFonts w:ascii="Arial" w:hAnsi="Arial" w:cs="Arial"/>
      <w:color w:val="000000"/>
      <w:sz w:val="16"/>
      <w:szCs w:val="16"/>
      <w:u w:val="none"/>
    </w:rPr>
  </w:style>
  <w:style w:type="paragraph" w:customStyle="1" w:styleId="45">
    <w:name w:val="Table Text"/>
    <w:basedOn w:val="1"/>
    <w:autoRedefine/>
    <w:qFormat/>
    <w:uiPriority w:val="0"/>
    <w:rPr>
      <w:rFonts w:ascii="仿宋" w:hAnsi="仿宋" w:eastAsia="仿宋" w:cs="仿宋"/>
      <w:sz w:val="20"/>
      <w:szCs w:val="20"/>
      <w:lang w:val="en-US" w:eastAsia="en-US" w:bidi="ar-SA"/>
    </w:rPr>
  </w:style>
  <w:style w:type="paragraph" w:customStyle="1" w:styleId="46">
    <w:name w:val="论文标题"/>
    <w:basedOn w:val="1"/>
    <w:autoRedefine/>
    <w:qFormat/>
    <w:uiPriority w:val="0"/>
    <w:pPr>
      <w:widowControl w:val="0"/>
      <w:kinsoku/>
      <w:autoSpaceDE/>
      <w:autoSpaceDN/>
      <w:adjustRightInd/>
      <w:snapToGrid/>
      <w:spacing w:line="240" w:lineRule="auto"/>
      <w:jc w:val="center"/>
      <w:textAlignment w:val="auto"/>
    </w:pPr>
    <w:rPr>
      <w:rFonts w:ascii="Times New Roman" w:hAnsi="Times New Roman" w:eastAsia="楷体_GB2312" w:cs="Times New Roman"/>
      <w:b/>
      <w:snapToGrid/>
      <w:kern w:val="36"/>
      <w:sz w:val="52"/>
      <w:szCs w:val="52"/>
      <w:lang w:eastAsia="zh-CN"/>
    </w:rPr>
  </w:style>
  <w:style w:type="character" w:customStyle="1" w:styleId="47">
    <w:name w:val="font21"/>
    <w:basedOn w:val="18"/>
    <w:qFormat/>
    <w:uiPriority w:val="0"/>
    <w:rPr>
      <w:rFonts w:ascii="Arial" w:hAnsi="Arial" w:cs="Arial"/>
      <w:color w:val="000000"/>
      <w:sz w:val="16"/>
      <w:szCs w:val="16"/>
      <w:u w:val="none"/>
    </w:rPr>
  </w:style>
  <w:style w:type="character" w:customStyle="1" w:styleId="48">
    <w:name w:val="font132"/>
    <w:basedOn w:val="18"/>
    <w:qFormat/>
    <w:uiPriority w:val="0"/>
    <w:rPr>
      <w:rFonts w:hint="default" w:ascii="Times New Roman" w:hAnsi="Times New Roman" w:cs="Times New Roman"/>
      <w:color w:val="000000"/>
      <w:sz w:val="14"/>
      <w:szCs w:val="14"/>
      <w:u w:val="none"/>
    </w:rPr>
  </w:style>
  <w:style w:type="paragraph" w:customStyle="1" w:styleId="49">
    <w:name w:val="硕士学位论文"/>
    <w:basedOn w:val="1"/>
    <w:autoRedefine/>
    <w:qFormat/>
    <w:uiPriority w:val="0"/>
    <w:pPr>
      <w:widowControl w:val="0"/>
      <w:kinsoku/>
      <w:autoSpaceDE/>
      <w:autoSpaceDN/>
      <w:adjustRightInd/>
      <w:snapToGrid/>
      <w:spacing w:before="240" w:line="240" w:lineRule="auto"/>
      <w:jc w:val="center"/>
      <w:textAlignment w:val="auto"/>
    </w:pPr>
    <w:rPr>
      <w:rFonts w:ascii="Times New Roman" w:hAnsi="Times New Roman" w:eastAsia="宋体" w:cs="Times New Roman"/>
      <w:snapToGrid/>
      <w:kern w:val="2"/>
      <w:sz w:val="44"/>
      <w:szCs w:val="44"/>
      <w:lang w:eastAsia="zh-CN"/>
    </w:rPr>
  </w:style>
  <w:style w:type="paragraph" w:customStyle="1" w:styleId="50">
    <w:name w:val="正文11"/>
    <w:qFormat/>
    <w:uiPriority w:val="0"/>
    <w:pPr>
      <w:widowControl w:val="0"/>
      <w:spacing w:line="360" w:lineRule="auto"/>
      <w:ind w:firstLine="200" w:firstLineChars="200"/>
      <w:jc w:val="both"/>
    </w:pPr>
    <w:rPr>
      <w:rFonts w:ascii="Times New Roman" w:hAnsi="Times New Roman" w:eastAsia="宋体" w:cs="Times New Roman"/>
      <w:kern w:val="2"/>
      <w:sz w:val="28"/>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170</Pages>
  <Words>32097</Words>
  <Characters>34570</Characters>
  <TotalTime>0</TotalTime>
  <ScaleCrop>false</ScaleCrop>
  <LinksUpToDate>false</LinksUpToDate>
  <CharactersWithSpaces>35038</CharactersWithSpaces>
  <Application>WPS Office WWO_wpscloud_20251223211022-ce96ae1422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2025-06-10T00:58:00Z</dcterms:created>
  <dc:creator>Administrator</dc:creator>
  <cp:lastModifiedBy>WPS_1336257179</cp:lastModifiedBy>
  <dcterms:modified xsi:type="dcterms:W3CDTF">2026-04-10T11:23:57Z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eyJoZGlkIjoiMDYyYTQwMDdmZjQ3NTg0ZmZjYjc2NzdiMTg5YWQ2MWUiLCJ1c2VySWQiOiIxMzM2MjU3MTc5In0=</vt:lpwstr>
  </property>
  <property fmtid="{D5CDD505-2E9C-101B-9397-08002B2CF9AE}" pid="3" name="KSOProductBuildVer">
    <vt:lpwstr>2052-12.9.0.24132</vt:lpwstr>
  </property>
  <property fmtid="{D5CDD505-2E9C-101B-9397-08002B2CF9AE}" pid="4" name="ICV">
    <vt:lpwstr>B185B34475F5A4E74D6DD8695CE05510_43</vt:lpwstr>
  </property>
</Properties>
</file>