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6DABF7">
      <w:pPr>
        <w:keepNext w:val="0"/>
        <w:keepLines w:val="0"/>
        <w:pageBreakBefore w:val="0"/>
        <w:widowControl/>
        <w:suppressLineNumbers w:val="0"/>
        <w:kinsoku w:val="0"/>
        <w:wordWrap/>
        <w:overflowPunct/>
        <w:topLinePunct w:val="0"/>
        <w:autoSpaceDE w:val="0"/>
        <w:autoSpaceDN w:val="0"/>
        <w:bidi w:val="0"/>
        <w:adjustRightInd/>
        <w:snapToGrid/>
        <w:spacing w:before="20" w:beforeLines="100" w:after="20" w:afterLines="100" w:line="360" w:lineRule="auto"/>
        <w:jc w:val="center"/>
        <w:textAlignment w:val="baseline"/>
      </w:pPr>
    </w:p>
    <w:p w14:paraId="3EBCFC88">
      <w:pPr>
        <w:keepNext w:val="0"/>
        <w:keepLines w:val="0"/>
        <w:pageBreakBefore w:val="0"/>
        <w:widowControl/>
        <w:suppressLineNumbers w:val="0"/>
        <w:pBdr>
          <w:bottom w:val="none" w:color="auto" w:sz="0" w:space="0"/>
        </w:pBdr>
        <w:kinsoku w:val="0"/>
        <w:wordWrap/>
        <w:overflowPunct/>
        <w:topLinePunct w:val="0"/>
        <w:autoSpaceDE w:val="0"/>
        <w:autoSpaceDN w:val="0"/>
        <w:bidi w:val="0"/>
        <w:adjustRightInd/>
        <w:snapToGrid/>
        <w:spacing w:before="20" w:beforeLines="100" w:after="20" w:afterLines="100" w:line="360" w:lineRule="auto"/>
        <w:jc w:val="center"/>
        <w:textAlignment w:val="baseline"/>
        <w:outlineLvl w:val="9"/>
        <w:rPr>
          <w:rFonts w:hint="eastAsia" w:ascii="宋体" w:hAnsi="宋体" w:eastAsia="宋体" w:cs="宋体"/>
          <w:b/>
          <w:bCs/>
          <w:snapToGrid w:val="0"/>
          <w:color w:val="000000"/>
          <w:kern w:val="0"/>
          <w:sz w:val="52"/>
          <w:szCs w:val="52"/>
          <w:lang w:val="en-US" w:eastAsia="zh-CN"/>
        </w:rPr>
      </w:pPr>
      <w:r>
        <w:rPr>
          <w:rFonts w:hint="eastAsia" w:ascii="宋体" w:hAnsi="宋体" w:eastAsia="宋体" w:cs="宋体"/>
          <w:b/>
          <w:bCs/>
          <w:snapToGrid w:val="0"/>
          <w:color w:val="000000"/>
          <w:kern w:val="0"/>
          <w:sz w:val="52"/>
          <w:szCs w:val="52"/>
          <w:lang w:val="en-US" w:eastAsia="zh-CN"/>
        </w:rPr>
        <w:t>汝阳县金堆城矿山修复与微电网一体化项目</w:t>
      </w:r>
    </w:p>
    <w:p w14:paraId="3019A853">
      <w:pPr>
        <w:keepNext w:val="0"/>
        <w:keepLines w:val="0"/>
        <w:pageBreakBefore w:val="0"/>
        <w:widowControl/>
        <w:suppressLineNumbers w:val="0"/>
        <w:pBdr>
          <w:bottom w:val="none" w:color="auto" w:sz="0" w:space="0"/>
        </w:pBdr>
        <w:kinsoku w:val="0"/>
        <w:wordWrap/>
        <w:overflowPunct/>
        <w:topLinePunct w:val="0"/>
        <w:autoSpaceDE w:val="0"/>
        <w:autoSpaceDN w:val="0"/>
        <w:bidi w:val="0"/>
        <w:adjustRightInd/>
        <w:snapToGrid/>
        <w:spacing w:before="20" w:beforeLines="100" w:after="20" w:afterLines="100" w:line="360" w:lineRule="auto"/>
        <w:jc w:val="center"/>
        <w:textAlignment w:val="baseline"/>
        <w:outlineLvl w:val="9"/>
        <w:rPr>
          <w:rFonts w:hint="eastAsia" w:ascii="宋体" w:hAnsi="宋体" w:eastAsia="宋体" w:cs="宋体"/>
          <w:b/>
          <w:bCs/>
          <w:snapToGrid w:val="0"/>
          <w:color w:val="000000"/>
          <w:kern w:val="0"/>
          <w:sz w:val="52"/>
          <w:szCs w:val="52"/>
          <w:lang w:val="en-US" w:eastAsia="zh-CN"/>
        </w:rPr>
      </w:pPr>
      <w:r>
        <w:rPr>
          <w:rFonts w:hint="eastAsia" w:ascii="宋体" w:hAnsi="宋体" w:eastAsia="宋体" w:cs="宋体"/>
          <w:b/>
          <w:bCs/>
          <w:snapToGrid w:val="0"/>
          <w:color w:val="000000"/>
          <w:kern w:val="0"/>
          <w:sz w:val="52"/>
          <w:szCs w:val="52"/>
          <w:lang w:val="en-US" w:eastAsia="zh-CN"/>
        </w:rPr>
        <w:t>可行性研究报告</w:t>
      </w:r>
    </w:p>
    <w:p w14:paraId="0601453C">
      <w:pPr>
        <w:adjustRightInd/>
        <w:snapToGrid/>
        <w:spacing w:before="936" w:beforeLines="300" w:after="936" w:afterLines="300" w:line="360" w:lineRule="auto"/>
        <w:jc w:val="center"/>
        <w:outlineLvl w:val="9"/>
        <w:rPr>
          <w:rFonts w:hint="default" w:ascii="宋体" w:hAnsi="宋体" w:eastAsia="宋体" w:cs="宋体"/>
          <w:b/>
          <w:bCs/>
          <w:sz w:val="52"/>
          <w:szCs w:val="52"/>
          <w:lang w:val="en-US" w:eastAsia="zh-CN"/>
        </w:rPr>
      </w:pPr>
    </w:p>
    <w:p w14:paraId="1C264DF4">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eastAsia" w:ascii="宋体" w:hAnsi="宋体" w:eastAsia="宋体" w:cs="宋体"/>
          <w:b/>
          <w:bCs/>
          <w:spacing w:val="4"/>
          <w:kern w:val="0"/>
          <w:sz w:val="36"/>
          <w:szCs w:val="36"/>
          <w:lang w:eastAsia="zh-CN"/>
        </w:rPr>
      </w:pPr>
    </w:p>
    <w:p w14:paraId="3E5E4A79">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eastAsia" w:ascii="宋体" w:hAnsi="宋体" w:eastAsia="宋体" w:cs="宋体"/>
          <w:b/>
          <w:bCs/>
          <w:spacing w:val="4"/>
          <w:kern w:val="0"/>
          <w:sz w:val="36"/>
          <w:szCs w:val="36"/>
          <w:lang w:eastAsia="zh-CN"/>
        </w:rPr>
      </w:pPr>
    </w:p>
    <w:p w14:paraId="109F0485">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eastAsia" w:ascii="宋体" w:hAnsi="宋体" w:eastAsia="宋体" w:cs="宋体"/>
          <w:b/>
          <w:bCs/>
          <w:spacing w:val="4"/>
          <w:kern w:val="0"/>
          <w:sz w:val="36"/>
          <w:szCs w:val="36"/>
          <w:lang w:eastAsia="zh-CN"/>
        </w:rPr>
      </w:pPr>
    </w:p>
    <w:p w14:paraId="7ABA4B46">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default" w:ascii="宋体" w:hAnsi="宋体" w:eastAsia="宋体" w:cs="宋体"/>
          <w:b/>
          <w:bCs/>
          <w:spacing w:val="4"/>
          <w:kern w:val="0"/>
          <w:sz w:val="36"/>
          <w:szCs w:val="36"/>
          <w:lang w:val="en-US" w:eastAsia="zh-CN"/>
        </w:rPr>
      </w:pPr>
      <w:r>
        <w:rPr>
          <w:rFonts w:hint="eastAsia" w:ascii="宋体" w:hAnsi="宋体" w:eastAsia="宋体" w:cs="宋体"/>
          <w:b/>
          <w:bCs/>
          <w:spacing w:val="4"/>
          <w:kern w:val="0"/>
          <w:sz w:val="36"/>
          <w:szCs w:val="36"/>
          <w:lang w:eastAsia="zh-CN"/>
        </w:rPr>
        <w:t>建设单位：</w:t>
      </w:r>
    </w:p>
    <w:p w14:paraId="1002830A">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ascii="宋体" w:hAnsi="宋体" w:eastAsia="宋体" w:cs="宋体"/>
          <w:b/>
          <w:bCs/>
          <w:spacing w:val="4"/>
          <w:kern w:val="0"/>
          <w:sz w:val="36"/>
          <w:szCs w:val="36"/>
          <w:lang w:eastAsia="zh-CN"/>
        </w:rPr>
      </w:pPr>
      <w:r>
        <w:rPr>
          <w:rFonts w:hint="eastAsia" w:ascii="宋体" w:hAnsi="宋体" w:eastAsia="宋体" w:cs="宋体"/>
          <w:b/>
          <w:bCs/>
          <w:spacing w:val="4"/>
          <w:kern w:val="0"/>
          <w:sz w:val="36"/>
          <w:szCs w:val="36"/>
          <w:lang w:eastAsia="zh-CN"/>
        </w:rPr>
        <w:t>编制单位：北京新元工程咨询有限公司</w:t>
      </w:r>
    </w:p>
    <w:p w14:paraId="16C039F7">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eastAsia" w:ascii="宋体" w:hAnsi="宋体" w:eastAsia="宋体" w:cs="宋体"/>
          <w:b/>
          <w:bCs/>
          <w:spacing w:val="4"/>
          <w:kern w:val="0"/>
          <w:sz w:val="36"/>
          <w:szCs w:val="36"/>
          <w:lang w:eastAsia="zh-CN"/>
        </w:rPr>
      </w:pPr>
      <w:r>
        <w:rPr>
          <w:rFonts w:hint="eastAsia" w:ascii="宋体" w:hAnsi="宋体" w:eastAsia="宋体" w:cs="宋体"/>
          <w:b/>
          <w:bCs/>
          <w:spacing w:val="4"/>
          <w:kern w:val="0"/>
          <w:sz w:val="36"/>
          <w:szCs w:val="36"/>
          <w:lang w:eastAsia="zh-CN"/>
        </w:rPr>
        <w:t>编制日期：202</w:t>
      </w:r>
      <w:r>
        <w:rPr>
          <w:rFonts w:hint="eastAsia" w:ascii="宋体" w:hAnsi="宋体" w:eastAsia="宋体" w:cs="宋体"/>
          <w:b/>
          <w:bCs/>
          <w:spacing w:val="4"/>
          <w:kern w:val="0"/>
          <w:sz w:val="36"/>
          <w:szCs w:val="36"/>
          <w:lang w:val="en-US" w:eastAsia="zh-CN"/>
        </w:rPr>
        <w:t>6</w:t>
      </w:r>
      <w:r>
        <w:rPr>
          <w:rFonts w:hint="eastAsia" w:ascii="宋体" w:hAnsi="宋体" w:eastAsia="宋体" w:cs="宋体"/>
          <w:b/>
          <w:bCs/>
          <w:spacing w:val="4"/>
          <w:kern w:val="0"/>
          <w:sz w:val="36"/>
          <w:szCs w:val="36"/>
          <w:lang w:eastAsia="zh-CN"/>
        </w:rPr>
        <w:t>年</w:t>
      </w:r>
      <w:r>
        <w:rPr>
          <w:rFonts w:hint="eastAsia" w:ascii="宋体" w:hAnsi="宋体" w:eastAsia="宋体" w:cs="宋体"/>
          <w:b/>
          <w:bCs/>
          <w:spacing w:val="4"/>
          <w:kern w:val="0"/>
          <w:sz w:val="36"/>
          <w:szCs w:val="36"/>
          <w:lang w:val="en-US" w:eastAsia="zh-CN"/>
        </w:rPr>
        <w:t>6</w:t>
      </w:r>
      <w:r>
        <w:rPr>
          <w:rFonts w:hint="eastAsia" w:ascii="宋体" w:hAnsi="宋体" w:eastAsia="宋体" w:cs="宋体"/>
          <w:b/>
          <w:bCs/>
          <w:spacing w:val="4"/>
          <w:kern w:val="0"/>
          <w:sz w:val="36"/>
          <w:szCs w:val="36"/>
          <w:lang w:eastAsia="zh-CN"/>
        </w:rPr>
        <w:t>月</w:t>
      </w:r>
    </w:p>
    <w:p w14:paraId="59EB419B">
      <w:p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41215F2B">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ascii="宋体" w:hAnsi="宋体" w:eastAsia="宋体" w:cs="宋体"/>
          <w:b/>
          <w:bCs/>
          <w:spacing w:val="4"/>
          <w:kern w:val="0"/>
          <w:sz w:val="36"/>
          <w:szCs w:val="36"/>
          <w:lang w:eastAsia="zh-CN"/>
        </w:rPr>
      </w:pPr>
      <w:r>
        <w:rPr>
          <w:rFonts w:hint="eastAsia"/>
          <w:lang w:val="en-US" w:eastAsia="zh-CN"/>
        </w:rPr>
        <w:drawing>
          <wp:inline distT="0" distB="0" distL="114300" distR="114300">
            <wp:extent cx="7002780" cy="4957445"/>
            <wp:effectExtent l="0" t="0" r="7620" b="1460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0"/>
                    <a:stretch>
                      <a:fillRect/>
                    </a:stretch>
                  </pic:blipFill>
                  <pic:spPr>
                    <a:xfrm>
                      <a:off x="0" y="0"/>
                      <a:ext cx="7002780" cy="4957445"/>
                    </a:xfrm>
                    <a:prstGeom prst="rect">
                      <a:avLst/>
                    </a:prstGeom>
                  </pic:spPr>
                </pic:pic>
              </a:graphicData>
            </a:graphic>
          </wp:inline>
        </w:drawing>
      </w:r>
    </w:p>
    <w:p w14:paraId="252B90CE">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789953D">
      <w:pPr>
        <w:jc w:val="center"/>
        <w:sectPr>
          <w:pgSz w:w="16838" w:h="11906" w:orient="landscape"/>
          <w:pgMar w:top="1800" w:right="1440" w:bottom="1800" w:left="144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lang w:val="en-US" w:eastAsia="zh-CN"/>
        </w:rPr>
        <w:drawing>
          <wp:inline distT="0" distB="0" distL="114300" distR="114300">
            <wp:extent cx="7232015" cy="5006340"/>
            <wp:effectExtent l="0" t="0" r="6985" b="7620"/>
            <wp:docPr id="5"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
                    <pic:cNvPicPr>
                      <a:picLocks noChangeAspect="1"/>
                    </pic:cNvPicPr>
                  </pic:nvPicPr>
                  <pic:blipFill>
                    <a:blip r:embed="rId11"/>
                    <a:stretch>
                      <a:fillRect/>
                    </a:stretch>
                  </pic:blipFill>
                  <pic:spPr>
                    <a:xfrm>
                      <a:off x="0" y="0"/>
                      <a:ext cx="7232015" cy="5006340"/>
                    </a:xfrm>
                    <a:prstGeom prst="rect">
                      <a:avLst/>
                    </a:prstGeom>
                  </pic:spPr>
                </pic:pic>
              </a:graphicData>
            </a:graphic>
          </wp:inline>
        </w:drawing>
      </w:r>
    </w:p>
    <w:p w14:paraId="1C9E4A68">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after="0" w:afterLines="100" w:line="360" w:lineRule="auto"/>
        <w:ind w:left="0"/>
        <w:jc w:val="center"/>
        <w:textAlignment w:val="baseline"/>
        <w:outlineLvl w:val="9"/>
        <w:rPr>
          <w:rFonts w:hint="eastAsia"/>
          <w:lang w:val="en-US" w:eastAsia="zh-CN"/>
        </w:rPr>
      </w:pPr>
    </w:p>
    <w:sdt>
      <w:sdtPr>
        <w:rPr>
          <w:rFonts w:ascii="宋体" w:hAnsi="宋体" w:eastAsia="宋体" w:cs="Arial"/>
          <w:snapToGrid w:val="0"/>
          <w:color w:val="000000"/>
          <w:sz w:val="21"/>
          <w:szCs w:val="21"/>
          <w:lang w:val="en-US" w:eastAsia="en-US" w:bidi="ar-SA"/>
        </w:rPr>
        <w:id w:val="147455895"/>
        <w15:color w:val="DBDBDB"/>
        <w:docPartObj>
          <w:docPartGallery w:val="Table of Contents"/>
          <w:docPartUnique/>
        </w:docPartObj>
      </w:sdtPr>
      <w:sdtEndPr>
        <w:rPr>
          <w:rFonts w:hint="eastAsia" w:ascii="宋体" w:hAnsi="宋体" w:eastAsia="宋体" w:cs="宋体"/>
          <w:b/>
          <w:snapToGrid w:val="0"/>
          <w:color w:val="000000"/>
          <w:sz w:val="24"/>
          <w:szCs w:val="24"/>
          <w:lang w:val="en-US" w:eastAsia="en-US" w:bidi="ar-SA"/>
        </w:rPr>
      </w:sdtEndPr>
      <w:sdtContent>
        <w:p w14:paraId="4D235AA5">
          <w:pPr>
            <w:keepNext w:val="0"/>
            <w:keepLines w:val="0"/>
            <w:pageBreakBefore w:val="0"/>
            <w:widowControl/>
            <w:kinsoku w:val="0"/>
            <w:wordWrap/>
            <w:overflowPunct/>
            <w:topLinePunct w:val="0"/>
            <w:autoSpaceDE w:val="0"/>
            <w:autoSpaceDN w:val="0"/>
            <w:bidi w:val="0"/>
            <w:adjustRightInd/>
            <w:snapToGrid/>
            <w:spacing w:before="0" w:beforeLines="0" w:after="0" w:afterLines="0" w:line="360" w:lineRule="auto"/>
            <w:ind w:left="0" w:leftChars="0" w:right="0" w:rightChars="0" w:firstLine="0" w:firstLineChars="0"/>
            <w:jc w:val="center"/>
            <w:textAlignment w:val="baseline"/>
            <w:rPr>
              <w:b/>
              <w:bCs/>
              <w:sz w:val="44"/>
              <w:szCs w:val="44"/>
            </w:rPr>
          </w:pPr>
          <w:bookmarkStart w:id="0" w:name="_Tochkhbza"/>
          <w:r>
            <w:rPr>
              <w:rFonts w:ascii="宋体" w:hAnsi="宋体" w:eastAsia="宋体"/>
              <w:b/>
              <w:bCs/>
              <w:sz w:val="44"/>
              <w:szCs w:val="44"/>
            </w:rPr>
            <w:t>目录</w:t>
          </w:r>
        </w:p>
        <w:p w14:paraId="53261E28">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_Toc30115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第一章 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_Toc30115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1F4B63C">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_Toc4390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1.1 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_Toc4390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C843320">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_Toc9733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1.2 企业及实际控制人概况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_Toc9733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9F8D39B">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_Toc22758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1.3 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_Toc22758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DB0F00C">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_Toc13499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1.4 研究范围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_Toc13499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6907880">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_Toc10500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1.5 结论及建议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_Toc10500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A21A6F5">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_Toc17724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第二章 项目建设背景及必要性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_Toc17724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B51C8AE">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_Toc5130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2.1 规划政策符合性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_Toc5130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7234100">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_Toc20787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2.2 项目主体发展战略需求分析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_Toc20787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B80AFA7">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_Toc8492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2.3 项目市场需求分析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_Toc8492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1014884">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_Toc20048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2.3.7 项目市场拥有量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_Toc20048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DBF06FB">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_Toc5484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2.4 项目建设内容、规模及产出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_Toc5484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1C93B5A">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_Toc9075 </w:instrText>
          </w:r>
          <w:r>
            <w:rPr>
              <w:rFonts w:hint="eastAsia" w:ascii="宋体" w:hAnsi="宋体" w:eastAsia="宋体" w:cs="宋体"/>
              <w:sz w:val="24"/>
              <w:szCs w:val="24"/>
            </w:rPr>
            <w:fldChar w:fldCharType="separate"/>
          </w:r>
          <w:r>
            <w:rPr>
              <w:rFonts w:hint="eastAsia" w:ascii="宋体" w:hAnsi="宋体" w:eastAsia="宋体" w:cs="宋体"/>
              <w:i w:val="0"/>
              <w:spacing w:val="0"/>
              <w:sz w:val="24"/>
              <w:szCs w:val="24"/>
              <w:vertAlign w:val="baseline"/>
            </w:rPr>
            <w:t>2.5 项目商业模式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_Toc9075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B09FDB6">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_Toc8829 </w:instrText>
          </w:r>
          <w:r>
            <w:rPr>
              <w:rFonts w:hint="eastAsia" w:ascii="宋体" w:hAnsi="宋体" w:eastAsia="宋体" w:cs="宋体"/>
              <w:sz w:val="24"/>
              <w:szCs w:val="24"/>
            </w:rPr>
            <w:fldChar w:fldCharType="separate"/>
          </w:r>
          <w:r>
            <w:rPr>
              <w:rFonts w:hint="eastAsia" w:ascii="宋体" w:hAnsi="宋体" w:eastAsia="宋体" w:cs="宋体"/>
              <w:snapToGrid w:val="0"/>
              <w:spacing w:val="0"/>
              <w:kern w:val="44"/>
              <w:sz w:val="24"/>
              <w:szCs w:val="24"/>
              <w:vertAlign w:val="baseline"/>
              <w:lang w:val="en-US" w:eastAsia="zh-CN" w:bidi="ar-SA"/>
              <w:woUserID w:val="1"/>
            </w:rPr>
            <w:t>第三章 项目选址与要素保障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_Toc8829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26AF46C">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_Toc28784 </w:instrText>
          </w:r>
          <w:r>
            <w:rPr>
              <w:rFonts w:hint="eastAsia" w:ascii="宋体" w:hAnsi="宋体" w:eastAsia="宋体" w:cs="宋体"/>
              <w:sz w:val="24"/>
              <w:szCs w:val="24"/>
            </w:rPr>
            <w:fldChar w:fldCharType="separate"/>
          </w:r>
          <w:r>
            <w:rPr>
              <w:rFonts w:hint="eastAsia" w:ascii="宋体" w:hAnsi="宋体" w:eastAsia="宋体" w:cs="宋体"/>
              <w:bCs/>
              <w:snapToGrid w:val="0"/>
              <w:spacing w:val="0"/>
              <w:w w:val="100"/>
              <w:kern w:val="2"/>
              <w:sz w:val="24"/>
              <w:szCs w:val="24"/>
              <w:vertAlign w:val="baseline"/>
              <w:lang w:val="en-US" w:eastAsia="zh-CN" w:bidi="ar"/>
              <w:woUserID w:val="1"/>
            </w:rPr>
            <w:t>3.1 项目地址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_Toc28784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FA4C863">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_Toc4622 </w:instrText>
          </w:r>
          <w:r>
            <w:rPr>
              <w:rFonts w:hint="eastAsia" w:ascii="宋体" w:hAnsi="宋体" w:eastAsia="宋体" w:cs="宋体"/>
              <w:sz w:val="24"/>
              <w:szCs w:val="24"/>
            </w:rPr>
            <w:fldChar w:fldCharType="separate"/>
          </w:r>
          <w:r>
            <w:rPr>
              <w:rFonts w:hint="eastAsia" w:ascii="宋体" w:hAnsi="宋体" w:eastAsia="宋体" w:cs="宋体"/>
              <w:bCs/>
              <w:snapToGrid w:val="0"/>
              <w:spacing w:val="0"/>
              <w:kern w:val="0"/>
              <w:sz w:val="24"/>
              <w:szCs w:val="24"/>
              <w:vertAlign w:val="baseline"/>
              <w:lang w:val="en-US" w:eastAsia="zh-CN" w:bidi="ar"/>
              <w:woUserID w:val="1"/>
            </w:rPr>
            <w:t>3.2 项目建设条件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_Toc4622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74B39F8">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_Toc1219 </w:instrText>
          </w:r>
          <w:r>
            <w:rPr>
              <w:rFonts w:hint="eastAsia" w:ascii="宋体" w:hAnsi="宋体" w:eastAsia="宋体" w:cs="宋体"/>
              <w:sz w:val="24"/>
              <w:szCs w:val="24"/>
            </w:rPr>
            <w:fldChar w:fldCharType="separate"/>
          </w:r>
          <w:r>
            <w:rPr>
              <w:rFonts w:hint="eastAsia" w:ascii="宋体" w:hAnsi="宋体" w:eastAsia="宋体" w:cs="宋体"/>
              <w:bCs/>
              <w:snapToGrid w:val="0"/>
              <w:spacing w:val="0"/>
              <w:w w:val="100"/>
              <w:kern w:val="2"/>
              <w:sz w:val="24"/>
              <w:szCs w:val="24"/>
              <w:vertAlign w:val="baseline"/>
              <w:lang w:val="en-US" w:eastAsia="zh-CN" w:bidi="ar"/>
              <w:woUserID w:val="1"/>
            </w:rPr>
            <w:t>3.3 要素保障分析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_Toc1219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AD0E244">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_Toc30761 </w:instrText>
          </w:r>
          <w:r>
            <w:rPr>
              <w:rFonts w:hint="eastAsia" w:ascii="宋体" w:hAnsi="宋体" w:eastAsia="宋体" w:cs="宋体"/>
              <w:sz w:val="24"/>
              <w:szCs w:val="24"/>
            </w:rPr>
            <w:fldChar w:fldCharType="separate"/>
          </w:r>
          <w:r>
            <w:rPr>
              <w:rFonts w:hint="eastAsia" w:ascii="宋体" w:hAnsi="宋体" w:eastAsia="宋体" w:cs="宋体"/>
              <w:bCs/>
              <w:spacing w:val="0"/>
              <w:w w:val="100"/>
              <w:position w:val="0"/>
              <w:sz w:val="24"/>
              <w:szCs w:val="24"/>
              <w:lang w:val="en-US" w:eastAsia="zh-CN"/>
            </w:rPr>
            <w:t xml:space="preserve">第四章 </w:t>
          </w:r>
          <w:r>
            <w:rPr>
              <w:rFonts w:hint="eastAsia" w:ascii="宋体" w:hAnsi="宋体" w:eastAsia="宋体" w:cs="宋体"/>
              <w:bCs/>
              <w:spacing w:val="0"/>
              <w:w w:val="100"/>
              <w:position w:val="0"/>
              <w:sz w:val="24"/>
              <w:szCs w:val="24"/>
            </w:rPr>
            <w:t>项目建设方案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_Toc30761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79A7256">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_Toc1243 </w:instrText>
          </w:r>
          <w:r>
            <w:rPr>
              <w:rFonts w:hint="eastAsia" w:ascii="宋体" w:hAnsi="宋体" w:eastAsia="宋体" w:cs="宋体"/>
              <w:sz w:val="24"/>
              <w:szCs w:val="24"/>
            </w:rPr>
            <w:fldChar w:fldCharType="separate"/>
          </w:r>
          <w:r>
            <w:rPr>
              <w:rFonts w:hint="eastAsia" w:ascii="宋体" w:hAnsi="宋体" w:eastAsia="宋体" w:cs="宋体"/>
              <w:bCs/>
              <w:spacing w:val="0"/>
              <w:w w:val="100"/>
              <w:position w:val="0"/>
              <w:sz w:val="24"/>
              <w:szCs w:val="24"/>
              <w:lang w:val="en-US" w:eastAsia="zh-CN"/>
            </w:rPr>
            <w:t>4.1 技术方案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_Toc1243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A4C2DB5">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_Toc3524 </w:instrText>
          </w:r>
          <w:r>
            <w:rPr>
              <w:rFonts w:hint="eastAsia" w:ascii="宋体" w:hAnsi="宋体" w:eastAsia="宋体" w:cs="宋体"/>
              <w:sz w:val="24"/>
              <w:szCs w:val="24"/>
            </w:rPr>
            <w:fldChar w:fldCharType="separate"/>
          </w:r>
          <w:r>
            <w:rPr>
              <w:rFonts w:hint="eastAsia" w:ascii="宋体" w:hAnsi="宋体" w:eastAsia="宋体" w:cs="宋体"/>
              <w:bCs/>
              <w:spacing w:val="0"/>
              <w:w w:val="100"/>
              <w:position w:val="0"/>
              <w:sz w:val="24"/>
              <w:szCs w:val="24"/>
              <w:lang w:val="en-US" w:eastAsia="zh-CN"/>
            </w:rPr>
            <w:t>4.2 设备方案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_Toc3524 \h </w:instrText>
          </w:r>
          <w:r>
            <w:rPr>
              <w:rFonts w:hint="eastAsia" w:ascii="宋体" w:hAnsi="宋体" w:eastAsia="宋体" w:cs="宋体"/>
              <w:sz w:val="24"/>
              <w:szCs w:val="24"/>
            </w:rPr>
            <w:fldChar w:fldCharType="separate"/>
          </w:r>
          <w:r>
            <w:rPr>
              <w:rFonts w:hint="eastAsia" w:ascii="宋体" w:hAnsi="宋体" w:eastAsia="宋体" w:cs="宋体"/>
              <w:sz w:val="24"/>
              <w:szCs w:val="24"/>
            </w:rPr>
            <w:t>76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6C6A6E0">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_Toc31479 </w:instrText>
          </w:r>
          <w:r>
            <w:rPr>
              <w:rFonts w:hint="eastAsia" w:ascii="宋体" w:hAnsi="宋体" w:eastAsia="宋体" w:cs="宋体"/>
              <w:sz w:val="24"/>
              <w:szCs w:val="24"/>
            </w:rPr>
            <w:fldChar w:fldCharType="separate"/>
          </w:r>
          <w:r>
            <w:rPr>
              <w:rFonts w:hint="eastAsia" w:ascii="宋体" w:hAnsi="宋体" w:eastAsia="宋体" w:cs="宋体"/>
              <w:bCs w:val="0"/>
              <w:spacing w:val="0"/>
              <w:w w:val="100"/>
              <w:kern w:val="2"/>
              <w:position w:val="0"/>
              <w:sz w:val="24"/>
              <w:szCs w:val="24"/>
              <w:lang w:val="en-US" w:eastAsia="zh-CN" w:bidi="ar-SA"/>
            </w:rPr>
            <w:t>4.3 工程方案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_Toc31479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068F230">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_Toc7363 </w:instrText>
          </w:r>
          <w:r>
            <w:rPr>
              <w:rFonts w:hint="eastAsia" w:ascii="宋体" w:hAnsi="宋体" w:eastAsia="宋体" w:cs="宋体"/>
              <w:sz w:val="24"/>
              <w:szCs w:val="24"/>
            </w:rPr>
            <w:fldChar w:fldCharType="separate"/>
          </w:r>
          <w:r>
            <w:rPr>
              <w:rFonts w:hint="eastAsia" w:ascii="宋体" w:hAnsi="宋体" w:eastAsia="宋体" w:cs="宋体"/>
              <w:bCs/>
              <w:spacing w:val="0"/>
              <w:w w:val="100"/>
              <w:position w:val="0"/>
              <w:sz w:val="24"/>
              <w:szCs w:val="24"/>
              <w:lang w:val="en-US" w:eastAsia="zh-CN"/>
            </w:rPr>
            <w:t>4.4 抗震设计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_Toc7363 \h </w:instrText>
          </w:r>
          <w:r>
            <w:rPr>
              <w:rFonts w:hint="eastAsia" w:ascii="宋体" w:hAnsi="宋体" w:eastAsia="宋体" w:cs="宋体"/>
              <w:sz w:val="24"/>
              <w:szCs w:val="24"/>
            </w:rPr>
            <w:fldChar w:fldCharType="separate"/>
          </w:r>
          <w:r>
            <w:rPr>
              <w:rFonts w:hint="eastAsia" w:ascii="宋体" w:hAnsi="宋体" w:eastAsia="宋体" w:cs="宋体"/>
              <w:sz w:val="24"/>
              <w:szCs w:val="24"/>
            </w:rPr>
            <w:t>141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F9B29CF">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_Toc14243 </w:instrText>
          </w:r>
          <w:r>
            <w:rPr>
              <w:rFonts w:hint="eastAsia" w:ascii="宋体" w:hAnsi="宋体" w:eastAsia="宋体" w:cs="宋体"/>
              <w:sz w:val="24"/>
              <w:szCs w:val="24"/>
            </w:rPr>
            <w:fldChar w:fldCharType="separate"/>
          </w:r>
          <w:r>
            <w:rPr>
              <w:rFonts w:hint="eastAsia" w:ascii="宋体" w:hAnsi="宋体" w:eastAsia="宋体" w:cs="宋体"/>
              <w:bCs w:val="0"/>
              <w:spacing w:val="0"/>
              <w:w w:val="100"/>
              <w:kern w:val="2"/>
              <w:position w:val="0"/>
              <w:sz w:val="24"/>
              <w:szCs w:val="24"/>
              <w:lang w:val="en-US" w:eastAsia="zh-CN" w:bidi="ar-SA"/>
            </w:rPr>
            <w:t>4.4 数字化方案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_Toc14243 \h </w:instrText>
          </w:r>
          <w:r>
            <w:rPr>
              <w:rFonts w:hint="eastAsia" w:ascii="宋体" w:hAnsi="宋体" w:eastAsia="宋体" w:cs="宋体"/>
              <w:sz w:val="24"/>
              <w:szCs w:val="24"/>
            </w:rPr>
            <w:fldChar w:fldCharType="separate"/>
          </w:r>
          <w:r>
            <w:rPr>
              <w:rFonts w:hint="eastAsia" w:ascii="宋体" w:hAnsi="宋体" w:eastAsia="宋体" w:cs="宋体"/>
              <w:sz w:val="24"/>
              <w:szCs w:val="24"/>
            </w:rPr>
            <w:t>142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DE61944">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_Toc28905 </w:instrText>
          </w:r>
          <w:r>
            <w:rPr>
              <w:rFonts w:hint="eastAsia" w:ascii="宋体" w:hAnsi="宋体" w:eastAsia="宋体" w:cs="宋体"/>
              <w:sz w:val="24"/>
              <w:szCs w:val="24"/>
            </w:rPr>
            <w:fldChar w:fldCharType="separate"/>
          </w:r>
          <w:r>
            <w:rPr>
              <w:rFonts w:hint="eastAsia" w:ascii="宋体" w:hAnsi="宋体" w:eastAsia="宋体" w:cs="宋体"/>
              <w:bCs w:val="0"/>
              <w:spacing w:val="0"/>
              <w:w w:val="100"/>
              <w:kern w:val="2"/>
              <w:position w:val="0"/>
              <w:sz w:val="24"/>
              <w:szCs w:val="24"/>
              <w:lang w:val="en-US" w:eastAsia="zh-CN" w:bidi="ar-SA"/>
            </w:rPr>
            <w:t>4.5 建设管理方案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_Toc28905 \h </w:instrText>
          </w:r>
          <w:r>
            <w:rPr>
              <w:rFonts w:hint="eastAsia" w:ascii="宋体" w:hAnsi="宋体" w:eastAsia="宋体" w:cs="宋体"/>
              <w:sz w:val="24"/>
              <w:szCs w:val="24"/>
            </w:rPr>
            <w:fldChar w:fldCharType="separate"/>
          </w:r>
          <w:r>
            <w:rPr>
              <w:rFonts w:hint="eastAsia" w:ascii="宋体" w:hAnsi="宋体" w:eastAsia="宋体" w:cs="宋体"/>
              <w:sz w:val="24"/>
              <w:szCs w:val="24"/>
            </w:rPr>
            <w:t>148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43D4B14">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_Toc18258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第五章 项目运营方案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_Toc18258 \h </w:instrText>
          </w:r>
          <w:r>
            <w:rPr>
              <w:rFonts w:hint="eastAsia" w:ascii="宋体" w:hAnsi="宋体" w:eastAsia="宋体" w:cs="宋体"/>
              <w:sz w:val="24"/>
              <w:szCs w:val="24"/>
            </w:rPr>
            <w:fldChar w:fldCharType="separate"/>
          </w:r>
          <w:r>
            <w:rPr>
              <w:rFonts w:hint="eastAsia" w:ascii="宋体" w:hAnsi="宋体" w:eastAsia="宋体" w:cs="宋体"/>
              <w:sz w:val="24"/>
              <w:szCs w:val="24"/>
            </w:rPr>
            <w:t>158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05E2E5A">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_Toc7577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5.1 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_Toc7577 \h </w:instrText>
          </w:r>
          <w:r>
            <w:rPr>
              <w:rFonts w:hint="eastAsia" w:ascii="宋体" w:hAnsi="宋体" w:eastAsia="宋体" w:cs="宋体"/>
              <w:sz w:val="24"/>
              <w:szCs w:val="24"/>
            </w:rPr>
            <w:fldChar w:fldCharType="separate"/>
          </w:r>
          <w:r>
            <w:rPr>
              <w:rFonts w:hint="eastAsia" w:ascii="宋体" w:hAnsi="宋体" w:eastAsia="宋体" w:cs="宋体"/>
              <w:sz w:val="24"/>
              <w:szCs w:val="24"/>
            </w:rPr>
            <w:t>158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D940CB1">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_Toc11697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5.2 安全保障方案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_Toc11697 \h </w:instrText>
          </w:r>
          <w:r>
            <w:rPr>
              <w:rFonts w:hint="eastAsia" w:ascii="宋体" w:hAnsi="宋体" w:eastAsia="宋体" w:cs="宋体"/>
              <w:sz w:val="24"/>
              <w:szCs w:val="24"/>
            </w:rPr>
            <w:fldChar w:fldCharType="separate"/>
          </w:r>
          <w:r>
            <w:rPr>
              <w:rFonts w:hint="eastAsia" w:ascii="宋体" w:hAnsi="宋体" w:eastAsia="宋体" w:cs="宋体"/>
              <w:sz w:val="24"/>
              <w:szCs w:val="24"/>
            </w:rPr>
            <w:t>165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2E6E213">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_Toc9809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5.3 运营管理方案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_Toc9809 \h </w:instrText>
          </w:r>
          <w:r>
            <w:rPr>
              <w:rFonts w:hint="eastAsia" w:ascii="宋体" w:hAnsi="宋体" w:eastAsia="宋体" w:cs="宋体"/>
              <w:sz w:val="24"/>
              <w:szCs w:val="24"/>
            </w:rPr>
            <w:fldChar w:fldCharType="separate"/>
          </w:r>
          <w:r>
            <w:rPr>
              <w:rFonts w:hint="eastAsia" w:ascii="宋体" w:hAnsi="宋体" w:eastAsia="宋体" w:cs="宋体"/>
              <w:sz w:val="24"/>
              <w:szCs w:val="24"/>
            </w:rPr>
            <w:t>174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33AC332">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_Toc23717 </w:instrText>
          </w:r>
          <w:r>
            <w:rPr>
              <w:rFonts w:hint="eastAsia" w:ascii="宋体" w:hAnsi="宋体" w:eastAsia="宋体" w:cs="宋体"/>
              <w:sz w:val="24"/>
              <w:szCs w:val="24"/>
            </w:rPr>
            <w:fldChar w:fldCharType="separate"/>
          </w:r>
          <w:r>
            <w:rPr>
              <w:rFonts w:hint="eastAsia" w:ascii="宋体" w:hAnsi="宋体" w:eastAsia="宋体" w:cs="宋体"/>
              <w:bCs/>
              <w:spacing w:val="0"/>
              <w:w w:val="100"/>
              <w:position w:val="0"/>
              <w:sz w:val="24"/>
              <w:szCs w:val="24"/>
              <w:lang w:val="en-US" w:eastAsia="zh-CN"/>
            </w:rPr>
            <w:t>第六章 项目投融资与财务方案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_Toc23717 \h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1411514">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_Toc18499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0"/>
              <w:position w:val="0"/>
              <w:sz w:val="24"/>
              <w:szCs w:val="24"/>
              <w:lang w:val="en-US" w:eastAsia="zh-CN" w:bidi="zh-CN"/>
            </w:rPr>
            <w:t>6.1 项目投资估算及说明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_Toc18499 \h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6E50A03">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_Toc19466 </w:instrText>
          </w:r>
          <w:r>
            <w:rPr>
              <w:rFonts w:hint="eastAsia" w:ascii="宋体" w:hAnsi="宋体" w:eastAsia="宋体" w:cs="宋体"/>
              <w:sz w:val="24"/>
              <w:szCs w:val="24"/>
            </w:rPr>
            <w:fldChar w:fldCharType="separate"/>
          </w:r>
          <w:r>
            <w:rPr>
              <w:rFonts w:hint="eastAsia" w:ascii="宋体" w:hAnsi="宋体" w:eastAsia="宋体" w:cs="宋体"/>
              <w:bCs/>
              <w:spacing w:val="0"/>
              <w:w w:val="100"/>
              <w:position w:val="0"/>
              <w:sz w:val="24"/>
              <w:szCs w:val="24"/>
              <w:lang w:val="en-US" w:eastAsia="zh-CN"/>
            </w:rPr>
            <w:t>6.2 财务盈利能力分析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_Toc19466 \h </w:instrText>
          </w:r>
          <w:r>
            <w:rPr>
              <w:rFonts w:hint="eastAsia" w:ascii="宋体" w:hAnsi="宋体" w:eastAsia="宋体" w:cs="宋体"/>
              <w:sz w:val="24"/>
              <w:szCs w:val="24"/>
            </w:rPr>
            <w:fldChar w:fldCharType="separate"/>
          </w:r>
          <w:r>
            <w:rPr>
              <w:rFonts w:hint="eastAsia" w:ascii="宋体" w:hAnsi="宋体" w:eastAsia="宋体" w:cs="宋体"/>
              <w:sz w:val="24"/>
              <w:szCs w:val="24"/>
            </w:rPr>
            <w:t>192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D52AF98">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_Toc21886 </w:instrText>
          </w:r>
          <w:r>
            <w:rPr>
              <w:rFonts w:hint="eastAsia" w:ascii="宋体" w:hAnsi="宋体" w:eastAsia="宋体" w:cs="宋体"/>
              <w:sz w:val="24"/>
              <w:szCs w:val="24"/>
            </w:rPr>
            <w:fldChar w:fldCharType="separate"/>
          </w:r>
          <w:r>
            <w:rPr>
              <w:rFonts w:hint="eastAsia" w:ascii="宋体" w:hAnsi="宋体" w:eastAsia="宋体" w:cs="宋体"/>
              <w:bCs/>
              <w:spacing w:val="0"/>
              <w:w w:val="100"/>
              <w:position w:val="0"/>
              <w:sz w:val="24"/>
              <w:szCs w:val="24"/>
              <w:lang w:val="en-US" w:eastAsia="zh-CN" w:bidi="zh-CN"/>
            </w:rPr>
            <w:t>6.3 资金投入计划和筹措方案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_Toc21886 \h </w:instrText>
          </w:r>
          <w:r>
            <w:rPr>
              <w:rFonts w:hint="eastAsia" w:ascii="宋体" w:hAnsi="宋体" w:eastAsia="宋体" w:cs="宋体"/>
              <w:sz w:val="24"/>
              <w:szCs w:val="24"/>
            </w:rPr>
            <w:fldChar w:fldCharType="separate"/>
          </w:r>
          <w:r>
            <w:rPr>
              <w:rFonts w:hint="eastAsia" w:ascii="宋体" w:hAnsi="宋体" w:eastAsia="宋体" w:cs="宋体"/>
              <w:sz w:val="24"/>
              <w:szCs w:val="24"/>
            </w:rPr>
            <w:t>204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616D189">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_Toc183 </w:instrText>
          </w:r>
          <w:r>
            <w:rPr>
              <w:rFonts w:hint="eastAsia" w:ascii="宋体" w:hAnsi="宋体" w:eastAsia="宋体" w:cs="宋体"/>
              <w:sz w:val="24"/>
              <w:szCs w:val="24"/>
            </w:rPr>
            <w:fldChar w:fldCharType="separate"/>
          </w:r>
          <w:r>
            <w:rPr>
              <w:rFonts w:hint="eastAsia" w:ascii="宋体" w:hAnsi="宋体" w:eastAsia="宋体" w:cs="宋体"/>
              <w:bCs/>
              <w:spacing w:val="0"/>
              <w:w w:val="100"/>
              <w:position w:val="0"/>
              <w:sz w:val="24"/>
              <w:szCs w:val="24"/>
              <w:lang w:val="en-US" w:eastAsia="zh-CN"/>
            </w:rPr>
            <w:t>6.4 债务清偿能力分析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_Toc183 \h </w:instrText>
          </w:r>
          <w:r>
            <w:rPr>
              <w:rFonts w:hint="eastAsia" w:ascii="宋体" w:hAnsi="宋体" w:eastAsia="宋体" w:cs="宋体"/>
              <w:sz w:val="24"/>
              <w:szCs w:val="24"/>
            </w:rPr>
            <w:fldChar w:fldCharType="separate"/>
          </w:r>
          <w:r>
            <w:rPr>
              <w:rFonts w:hint="eastAsia" w:ascii="宋体" w:hAnsi="宋体" w:eastAsia="宋体" w:cs="宋体"/>
              <w:sz w:val="24"/>
              <w:szCs w:val="24"/>
            </w:rPr>
            <w:t>204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EE9D7FE">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_Toc22140 </w:instrText>
          </w:r>
          <w:r>
            <w:rPr>
              <w:rFonts w:hint="eastAsia" w:ascii="宋体" w:hAnsi="宋体" w:eastAsia="宋体" w:cs="宋体"/>
              <w:sz w:val="24"/>
              <w:szCs w:val="24"/>
            </w:rPr>
            <w:fldChar w:fldCharType="separate"/>
          </w:r>
          <w:r>
            <w:rPr>
              <w:rFonts w:hint="eastAsia" w:ascii="宋体" w:hAnsi="宋体" w:eastAsia="宋体" w:cs="宋体"/>
              <w:bCs/>
              <w:spacing w:val="0"/>
              <w:w w:val="100"/>
              <w:position w:val="0"/>
              <w:sz w:val="24"/>
              <w:szCs w:val="24"/>
              <w:lang w:val="en-US" w:eastAsia="zh-CN"/>
            </w:rPr>
            <w:t>6.5 财务可持续性分析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_Toc22140 \h </w:instrText>
          </w:r>
          <w:r>
            <w:rPr>
              <w:rFonts w:hint="eastAsia" w:ascii="宋体" w:hAnsi="宋体" w:eastAsia="宋体" w:cs="宋体"/>
              <w:sz w:val="24"/>
              <w:szCs w:val="24"/>
            </w:rPr>
            <w:fldChar w:fldCharType="separate"/>
          </w:r>
          <w:r>
            <w:rPr>
              <w:rFonts w:hint="eastAsia" w:ascii="宋体" w:hAnsi="宋体" w:eastAsia="宋体" w:cs="宋体"/>
              <w:sz w:val="24"/>
              <w:szCs w:val="24"/>
            </w:rPr>
            <w:t>205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59EAD37">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_Toc1105 </w:instrText>
          </w:r>
          <w:r>
            <w:rPr>
              <w:rFonts w:hint="eastAsia" w:ascii="宋体" w:hAnsi="宋体" w:eastAsia="宋体" w:cs="宋体"/>
              <w:sz w:val="24"/>
              <w:szCs w:val="24"/>
            </w:rPr>
            <w:fldChar w:fldCharType="separate"/>
          </w:r>
          <w:r>
            <w:rPr>
              <w:rFonts w:hint="eastAsia" w:ascii="宋体" w:hAnsi="宋体" w:eastAsia="宋体" w:cs="宋体"/>
              <w:bCs/>
              <w:snapToGrid w:val="0"/>
              <w:kern w:val="0"/>
              <w:sz w:val="24"/>
              <w:szCs w:val="24"/>
              <w:lang w:val="en-US" w:eastAsia="zh-CN" w:bidi="ar-SA"/>
            </w:rPr>
            <w:t>第七章 项目影响效果分析 </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_Toc1105 \h </w:instrText>
          </w:r>
          <w:r>
            <w:rPr>
              <w:rFonts w:hint="eastAsia" w:ascii="宋体" w:hAnsi="宋体" w:eastAsia="宋体" w:cs="宋体"/>
              <w:sz w:val="24"/>
              <w:szCs w:val="24"/>
            </w:rPr>
            <w:fldChar w:fldCharType="separate"/>
          </w:r>
          <w:r>
            <w:rPr>
              <w:rFonts w:hint="eastAsia" w:ascii="宋体" w:hAnsi="宋体" w:eastAsia="宋体" w:cs="宋体"/>
              <w:sz w:val="24"/>
              <w:szCs w:val="24"/>
            </w:rPr>
            <w:t>206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B0B66E1">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_Toc3351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7.1 经济影响分析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_Toc3351 \h </w:instrText>
          </w:r>
          <w:r>
            <w:rPr>
              <w:rFonts w:hint="eastAsia" w:ascii="宋体" w:hAnsi="宋体" w:eastAsia="宋体" w:cs="宋体"/>
              <w:sz w:val="24"/>
              <w:szCs w:val="24"/>
            </w:rPr>
            <w:fldChar w:fldCharType="separate"/>
          </w:r>
          <w:r>
            <w:rPr>
              <w:rFonts w:hint="eastAsia" w:ascii="宋体" w:hAnsi="宋体" w:eastAsia="宋体" w:cs="宋体"/>
              <w:sz w:val="24"/>
              <w:szCs w:val="24"/>
            </w:rPr>
            <w:t>206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D4EEC4F">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_Toc7401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7.2 社会影响分析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_Toc7401 \h </w:instrText>
          </w:r>
          <w:r>
            <w:rPr>
              <w:rFonts w:hint="eastAsia" w:ascii="宋体" w:hAnsi="宋体" w:eastAsia="宋体" w:cs="宋体"/>
              <w:sz w:val="24"/>
              <w:szCs w:val="24"/>
            </w:rPr>
            <w:fldChar w:fldCharType="separate"/>
          </w:r>
          <w:r>
            <w:rPr>
              <w:rFonts w:hint="eastAsia" w:ascii="宋体" w:hAnsi="宋体" w:eastAsia="宋体" w:cs="宋体"/>
              <w:sz w:val="24"/>
              <w:szCs w:val="24"/>
            </w:rPr>
            <w:t>211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82FC0F0">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_Toc3121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7.3 生态环境影响分析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_Toc3121 \h </w:instrText>
          </w:r>
          <w:r>
            <w:rPr>
              <w:rFonts w:hint="eastAsia" w:ascii="宋体" w:hAnsi="宋体" w:eastAsia="宋体" w:cs="宋体"/>
              <w:sz w:val="24"/>
              <w:szCs w:val="24"/>
            </w:rPr>
            <w:fldChar w:fldCharType="separate"/>
          </w:r>
          <w:r>
            <w:rPr>
              <w:rFonts w:hint="eastAsia" w:ascii="宋体" w:hAnsi="宋体" w:eastAsia="宋体" w:cs="宋体"/>
              <w:sz w:val="24"/>
              <w:szCs w:val="24"/>
            </w:rPr>
            <w:t>215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98D3FFD">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_Toc19084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7.4 资源和能源利用效果分析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_Toc19084 \h </w:instrText>
          </w:r>
          <w:r>
            <w:rPr>
              <w:rFonts w:hint="eastAsia" w:ascii="宋体" w:hAnsi="宋体" w:eastAsia="宋体" w:cs="宋体"/>
              <w:sz w:val="24"/>
              <w:szCs w:val="24"/>
            </w:rPr>
            <w:fldChar w:fldCharType="separate"/>
          </w:r>
          <w:r>
            <w:rPr>
              <w:rFonts w:hint="eastAsia" w:ascii="宋体" w:hAnsi="宋体" w:eastAsia="宋体" w:cs="宋体"/>
              <w:sz w:val="24"/>
              <w:szCs w:val="24"/>
            </w:rPr>
            <w:t>219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C77BFD4">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_Toc29077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7.5 碳达峰碳中和分析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_Toc29077 \h </w:instrText>
          </w:r>
          <w:r>
            <w:rPr>
              <w:rFonts w:hint="eastAsia" w:ascii="宋体" w:hAnsi="宋体" w:eastAsia="宋体" w:cs="宋体"/>
              <w:sz w:val="24"/>
              <w:szCs w:val="24"/>
            </w:rPr>
            <w:fldChar w:fldCharType="separate"/>
          </w:r>
          <w:r>
            <w:rPr>
              <w:rFonts w:hint="eastAsia" w:ascii="宋体" w:hAnsi="宋体" w:eastAsia="宋体" w:cs="宋体"/>
              <w:sz w:val="24"/>
              <w:szCs w:val="24"/>
            </w:rPr>
            <w:t>223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CE8B632">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_Toc538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第八章 项目风险管控方案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_Toc538 \h </w:instrText>
          </w:r>
          <w:r>
            <w:rPr>
              <w:rFonts w:hint="eastAsia" w:ascii="宋体" w:hAnsi="宋体" w:eastAsia="宋体" w:cs="宋体"/>
              <w:sz w:val="24"/>
              <w:szCs w:val="24"/>
            </w:rPr>
            <w:fldChar w:fldCharType="separate"/>
          </w:r>
          <w:r>
            <w:rPr>
              <w:rFonts w:hint="eastAsia" w:ascii="宋体" w:hAnsi="宋体" w:eastAsia="宋体" w:cs="宋体"/>
              <w:sz w:val="24"/>
              <w:szCs w:val="24"/>
            </w:rPr>
            <w:t>224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D47A8B4">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_Toc31704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8.1 风险识别与评价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_Toc31704 \h </w:instrText>
          </w:r>
          <w:r>
            <w:rPr>
              <w:rFonts w:hint="eastAsia" w:ascii="宋体" w:hAnsi="宋体" w:eastAsia="宋体" w:cs="宋体"/>
              <w:sz w:val="24"/>
              <w:szCs w:val="24"/>
            </w:rPr>
            <w:fldChar w:fldCharType="separate"/>
          </w:r>
          <w:r>
            <w:rPr>
              <w:rFonts w:hint="eastAsia" w:ascii="宋体" w:hAnsi="宋体" w:eastAsia="宋体" w:cs="宋体"/>
              <w:sz w:val="24"/>
              <w:szCs w:val="24"/>
            </w:rPr>
            <w:t>224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D819F12">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_Toc6187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8.2 风险评估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_Toc6187 \h </w:instrText>
          </w:r>
          <w:r>
            <w:rPr>
              <w:rFonts w:hint="eastAsia" w:ascii="宋体" w:hAnsi="宋体" w:eastAsia="宋体" w:cs="宋体"/>
              <w:sz w:val="24"/>
              <w:szCs w:val="24"/>
            </w:rPr>
            <w:fldChar w:fldCharType="separate"/>
          </w:r>
          <w:r>
            <w:rPr>
              <w:rFonts w:hint="eastAsia" w:ascii="宋体" w:hAnsi="宋体" w:eastAsia="宋体" w:cs="宋体"/>
              <w:sz w:val="24"/>
              <w:szCs w:val="24"/>
            </w:rPr>
            <w:t>225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C878E75">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_Toc17472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8.3 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_Toc17472 \h </w:instrText>
          </w:r>
          <w:r>
            <w:rPr>
              <w:rFonts w:hint="eastAsia" w:ascii="宋体" w:hAnsi="宋体" w:eastAsia="宋体" w:cs="宋体"/>
              <w:sz w:val="24"/>
              <w:szCs w:val="24"/>
            </w:rPr>
            <w:fldChar w:fldCharType="separate"/>
          </w:r>
          <w:r>
            <w:rPr>
              <w:rFonts w:hint="eastAsia" w:ascii="宋体" w:hAnsi="宋体" w:eastAsia="宋体" w:cs="宋体"/>
              <w:sz w:val="24"/>
              <w:szCs w:val="24"/>
            </w:rPr>
            <w:t>226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08356D0">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_Toc9161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8.4 重大风险管控应急预案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_Toc9161 \h </w:instrText>
          </w:r>
          <w:r>
            <w:rPr>
              <w:rFonts w:hint="eastAsia" w:ascii="宋体" w:hAnsi="宋体" w:eastAsia="宋体" w:cs="宋体"/>
              <w:sz w:val="24"/>
              <w:szCs w:val="24"/>
            </w:rPr>
            <w:fldChar w:fldCharType="separate"/>
          </w:r>
          <w:r>
            <w:rPr>
              <w:rFonts w:hint="eastAsia" w:ascii="宋体" w:hAnsi="宋体" w:eastAsia="宋体" w:cs="宋体"/>
              <w:sz w:val="24"/>
              <w:szCs w:val="24"/>
            </w:rPr>
            <w:t>228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1E8D734">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_Toc25859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第九章 结论和建议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_Toc25859 \h </w:instrText>
          </w:r>
          <w:r>
            <w:rPr>
              <w:rFonts w:hint="eastAsia" w:ascii="宋体" w:hAnsi="宋体" w:eastAsia="宋体" w:cs="宋体"/>
              <w:sz w:val="24"/>
              <w:szCs w:val="24"/>
            </w:rPr>
            <w:fldChar w:fldCharType="separate"/>
          </w:r>
          <w:r>
            <w:rPr>
              <w:rFonts w:hint="eastAsia" w:ascii="宋体" w:hAnsi="宋体" w:eastAsia="宋体" w:cs="宋体"/>
              <w:sz w:val="24"/>
              <w:szCs w:val="24"/>
            </w:rPr>
            <w:t>230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FE552A4">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_Toc8262 </w:instrText>
          </w:r>
          <w:r>
            <w:rPr>
              <w:rFonts w:hint="eastAsia" w:ascii="宋体" w:hAnsi="宋体" w:eastAsia="宋体" w:cs="宋体"/>
              <w:sz w:val="24"/>
              <w:szCs w:val="24"/>
            </w:rPr>
            <w:fldChar w:fldCharType="separate"/>
          </w:r>
          <w:r>
            <w:rPr>
              <w:rFonts w:hint="eastAsia" w:ascii="宋体" w:hAnsi="宋体" w:eastAsia="宋体" w:cs="宋体"/>
              <w:bCs/>
              <w:snapToGrid/>
              <w:spacing w:val="0"/>
              <w:w w:val="100"/>
              <w:kern w:val="2"/>
              <w:position w:val="0"/>
              <w:sz w:val="24"/>
              <w:szCs w:val="24"/>
              <w:lang w:val="en-US" w:eastAsia="zh-CN" w:bidi="ar-SA"/>
            </w:rPr>
            <w:t>9.1 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_Toc8262 \h </w:instrText>
          </w:r>
          <w:r>
            <w:rPr>
              <w:rFonts w:hint="eastAsia" w:ascii="宋体" w:hAnsi="宋体" w:eastAsia="宋体" w:cs="宋体"/>
              <w:sz w:val="24"/>
              <w:szCs w:val="24"/>
            </w:rPr>
            <w:fldChar w:fldCharType="separate"/>
          </w:r>
          <w:r>
            <w:rPr>
              <w:rFonts w:hint="eastAsia" w:ascii="宋体" w:hAnsi="宋体" w:eastAsia="宋体" w:cs="宋体"/>
              <w:sz w:val="24"/>
              <w:szCs w:val="24"/>
            </w:rPr>
            <w:t>230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BF92A92">
          <w:pPr>
            <w:pStyle w:val="11"/>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_Toc22106 </w:instrText>
          </w:r>
          <w:r>
            <w:rPr>
              <w:rFonts w:hint="eastAsia" w:ascii="宋体" w:hAnsi="宋体" w:eastAsia="宋体" w:cs="宋体"/>
              <w:sz w:val="24"/>
              <w:szCs w:val="24"/>
            </w:rPr>
            <w:fldChar w:fldCharType="separate"/>
          </w:r>
          <w:r>
            <w:rPr>
              <w:rFonts w:hint="eastAsia" w:ascii="宋体" w:hAnsi="宋体" w:eastAsia="宋体" w:cs="宋体"/>
              <w:sz w:val="24"/>
              <w:szCs w:val="24"/>
            </w:rPr>
            <w:t>9.2 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_Toc22106 \h </w:instrText>
          </w:r>
          <w:r>
            <w:rPr>
              <w:rFonts w:hint="eastAsia" w:ascii="宋体" w:hAnsi="宋体" w:eastAsia="宋体" w:cs="宋体"/>
              <w:sz w:val="24"/>
              <w:szCs w:val="24"/>
            </w:rPr>
            <w:fldChar w:fldCharType="separate"/>
          </w:r>
          <w:r>
            <w:rPr>
              <w:rFonts w:hint="eastAsia" w:ascii="宋体" w:hAnsi="宋体" w:eastAsia="宋体" w:cs="宋体"/>
              <w:sz w:val="24"/>
              <w:szCs w:val="24"/>
            </w:rPr>
            <w:t>230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FC3B95F">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_Toc3705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附表1：建设投资估算表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_Toc3705 \h </w:instrText>
          </w:r>
          <w:r>
            <w:rPr>
              <w:rFonts w:hint="eastAsia" w:ascii="宋体" w:hAnsi="宋体" w:eastAsia="宋体" w:cs="宋体"/>
              <w:sz w:val="24"/>
              <w:szCs w:val="24"/>
            </w:rPr>
            <w:fldChar w:fldCharType="separate"/>
          </w:r>
          <w:r>
            <w:rPr>
              <w:rFonts w:hint="eastAsia" w:ascii="宋体" w:hAnsi="宋体" w:eastAsia="宋体" w:cs="宋体"/>
              <w:sz w:val="24"/>
              <w:szCs w:val="24"/>
            </w:rPr>
            <w:t>232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3F46887">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_Toc24885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附表2：固定资产折旧表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_Toc24885 \h </w:instrText>
          </w:r>
          <w:r>
            <w:rPr>
              <w:rFonts w:hint="eastAsia" w:ascii="宋体" w:hAnsi="宋体" w:eastAsia="宋体" w:cs="宋体"/>
              <w:sz w:val="24"/>
              <w:szCs w:val="24"/>
            </w:rPr>
            <w:fldChar w:fldCharType="separate"/>
          </w:r>
          <w:r>
            <w:rPr>
              <w:rFonts w:hint="eastAsia" w:ascii="宋体" w:hAnsi="宋体" w:eastAsia="宋体" w:cs="宋体"/>
              <w:sz w:val="24"/>
              <w:szCs w:val="24"/>
            </w:rPr>
            <w:t>235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303ABC7">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_Toc6438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附表3：营业收入及税金表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_Toc6438 \h </w:instrText>
          </w:r>
          <w:r>
            <w:rPr>
              <w:rFonts w:hint="eastAsia" w:ascii="宋体" w:hAnsi="宋体" w:eastAsia="宋体" w:cs="宋体"/>
              <w:sz w:val="24"/>
              <w:szCs w:val="24"/>
            </w:rPr>
            <w:fldChar w:fldCharType="separate"/>
          </w:r>
          <w:r>
            <w:rPr>
              <w:rFonts w:hint="eastAsia" w:ascii="宋体" w:hAnsi="宋体" w:eastAsia="宋体" w:cs="宋体"/>
              <w:sz w:val="24"/>
              <w:szCs w:val="24"/>
            </w:rPr>
            <w:t>237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F97E5F2">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_Toc15514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附表3：营业收入及税金表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_Toc15514 \h </w:instrText>
          </w:r>
          <w:r>
            <w:rPr>
              <w:rFonts w:hint="eastAsia" w:ascii="宋体" w:hAnsi="宋体" w:eastAsia="宋体" w:cs="宋体"/>
              <w:sz w:val="24"/>
              <w:szCs w:val="24"/>
            </w:rPr>
            <w:fldChar w:fldCharType="separate"/>
          </w:r>
          <w:r>
            <w:rPr>
              <w:rFonts w:hint="eastAsia" w:ascii="宋体" w:hAnsi="宋体" w:eastAsia="宋体" w:cs="宋体"/>
              <w:sz w:val="24"/>
              <w:szCs w:val="24"/>
            </w:rPr>
            <w:t>238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1683794">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_Toc7514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附表3：营业收入及税金表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_Toc7514 \h </w:instrText>
          </w:r>
          <w:r>
            <w:rPr>
              <w:rFonts w:hint="eastAsia" w:ascii="宋体" w:hAnsi="宋体" w:eastAsia="宋体" w:cs="宋体"/>
              <w:sz w:val="24"/>
              <w:szCs w:val="24"/>
            </w:rPr>
            <w:fldChar w:fldCharType="separate"/>
          </w:r>
          <w:r>
            <w:rPr>
              <w:rFonts w:hint="eastAsia" w:ascii="宋体" w:hAnsi="宋体" w:eastAsia="宋体" w:cs="宋体"/>
              <w:sz w:val="24"/>
              <w:szCs w:val="24"/>
            </w:rPr>
            <w:t>239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DE42847">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_Toc21236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附表4：总成本费用表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_Toc21236 \h </w:instrText>
          </w:r>
          <w:r>
            <w:rPr>
              <w:rFonts w:hint="eastAsia" w:ascii="宋体" w:hAnsi="宋体" w:eastAsia="宋体" w:cs="宋体"/>
              <w:sz w:val="24"/>
              <w:szCs w:val="24"/>
            </w:rPr>
            <w:fldChar w:fldCharType="separate"/>
          </w:r>
          <w:r>
            <w:rPr>
              <w:rFonts w:hint="eastAsia" w:ascii="宋体" w:hAnsi="宋体" w:eastAsia="宋体" w:cs="宋体"/>
              <w:sz w:val="24"/>
              <w:szCs w:val="24"/>
            </w:rPr>
            <w:t>243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6916A03">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_Toc16135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附表5：利润及利润分配表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_Toc16135 \h </w:instrText>
          </w:r>
          <w:r>
            <w:rPr>
              <w:rFonts w:hint="eastAsia" w:ascii="宋体" w:hAnsi="宋体" w:eastAsia="宋体" w:cs="宋体"/>
              <w:sz w:val="24"/>
              <w:szCs w:val="24"/>
            </w:rPr>
            <w:fldChar w:fldCharType="separate"/>
          </w:r>
          <w:r>
            <w:rPr>
              <w:rFonts w:hint="eastAsia" w:ascii="宋体" w:hAnsi="宋体" w:eastAsia="宋体" w:cs="宋体"/>
              <w:sz w:val="24"/>
              <w:szCs w:val="24"/>
            </w:rPr>
            <w:t>245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FB5C111">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_Toc22236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附表6：项目投资现金流量表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_Toc22236 \h </w:instrText>
          </w:r>
          <w:r>
            <w:rPr>
              <w:rFonts w:hint="eastAsia" w:ascii="宋体" w:hAnsi="宋体" w:eastAsia="宋体" w:cs="宋体"/>
              <w:sz w:val="24"/>
              <w:szCs w:val="24"/>
            </w:rPr>
            <w:fldChar w:fldCharType="separate"/>
          </w:r>
          <w:r>
            <w:rPr>
              <w:rFonts w:hint="eastAsia" w:ascii="宋体" w:hAnsi="宋体" w:eastAsia="宋体" w:cs="宋体"/>
              <w:sz w:val="24"/>
              <w:szCs w:val="24"/>
            </w:rPr>
            <w:t>248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89BBBDC">
          <w:pPr>
            <w:pStyle w:val="10"/>
            <w:keepNext w:val="0"/>
            <w:keepLines w:val="0"/>
            <w:pageBreakBefore w:val="0"/>
            <w:widowControl/>
            <w:tabs>
              <w:tab w:val="right" w:leader="dot" w:pos="8299"/>
            </w:tabs>
            <w:kinsoku w:val="0"/>
            <w:wordWrap/>
            <w:overflowPunct/>
            <w:topLinePunct w:val="0"/>
            <w:autoSpaceDE w:val="0"/>
            <w:autoSpaceDN w:val="0"/>
            <w:bidi w:val="0"/>
            <w:adjustRightInd w:val="0"/>
            <w:snapToGrid w:val="0"/>
            <w:spacing w:line="360" w:lineRule="auto"/>
            <w:ind w:left="420" w:leftChars="200"/>
            <w:textAlignment w:val="baseline"/>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_Toc13093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附表7：还本付息表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_Toc13093 \h </w:instrText>
          </w:r>
          <w:r>
            <w:rPr>
              <w:rFonts w:hint="eastAsia" w:ascii="宋体" w:hAnsi="宋体" w:eastAsia="宋体" w:cs="宋体"/>
              <w:sz w:val="24"/>
              <w:szCs w:val="24"/>
            </w:rPr>
            <w:fldChar w:fldCharType="separate"/>
          </w:r>
          <w:r>
            <w:rPr>
              <w:rFonts w:hint="eastAsia" w:ascii="宋体" w:hAnsi="宋体" w:eastAsia="宋体" w:cs="宋体"/>
              <w:sz w:val="24"/>
              <w:szCs w:val="24"/>
            </w:rPr>
            <w:t>251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8A34AC3">
          <w:pPr>
            <w:keepNext w:val="0"/>
            <w:keepLines w:val="0"/>
            <w:pageBreakBefore w:val="0"/>
            <w:widowControl/>
            <w:wordWrap/>
            <w:overflowPunct/>
            <w:topLinePunct w:val="0"/>
            <w:bidi w:val="0"/>
            <w:adjustRightInd/>
            <w:snapToGrid/>
            <w:spacing w:line="360" w:lineRule="auto"/>
          </w:pPr>
          <w:r>
            <w:rPr>
              <w:rFonts w:hint="eastAsia" w:ascii="宋体" w:hAnsi="宋体" w:eastAsia="宋体" w:cs="宋体"/>
              <w:szCs w:val="24"/>
            </w:rPr>
            <w:fldChar w:fldCharType="end"/>
          </w:r>
          <w:bookmarkStart w:id="1" w:name="_Toc30115"/>
        </w:p>
      </w:sdtContent>
    </w:sdt>
    <w:bookmarkEnd w:id="0"/>
    <w:bookmarkEnd w:id="1"/>
    <w:p w14:paraId="6CA6D598">
      <w:pPr>
        <w:sectPr>
          <w:headerReference r:id="rId3" w:type="default"/>
          <w:footerReference r:id="rId4" w:type="default"/>
          <w:pgSz w:w="11905" w:h="16840"/>
          <w:pgMar w:top="1440" w:right="1803" w:bottom="1440" w:left="1803" w:header="825" w:footer="1201" w:gutter="0"/>
          <w:pgBorders>
            <w:top w:val="none" w:sz="0" w:space="0"/>
            <w:left w:val="none" w:sz="0" w:space="0"/>
            <w:bottom w:val="none" w:sz="0" w:space="0"/>
            <w:right w:val="none" w:sz="0" w:space="0"/>
          </w:pgBorders>
          <w:pgNumType w:fmt="decimal"/>
          <w:cols w:space="720" w:num="1"/>
        </w:sectPr>
      </w:pPr>
    </w:p>
    <w:p w14:paraId="006F3880">
      <w:pPr>
        <w:keepNext w:val="0"/>
        <w:keepLines w:val="0"/>
        <w:pageBreakBefore w:val="0"/>
        <w:widowControl w:val="0"/>
        <w:tabs>
          <w:tab w:val="left" w:pos="5773"/>
          <w:tab w:val="left" w:pos="7081"/>
        </w:tabs>
        <w:kinsoku/>
        <w:wordWrap/>
        <w:overflowPunct/>
        <w:topLinePunct w:val="0"/>
        <w:autoSpaceDE w:val="0"/>
        <w:autoSpaceDN w:val="0"/>
        <w:bidi w:val="0"/>
        <w:adjustRightInd/>
        <w:snapToGrid/>
        <w:spacing w:before="313" w:beforeLines="100" w:after="313" w:afterLines="100" w:line="360" w:lineRule="auto"/>
        <w:jc w:val="center"/>
        <w:textAlignment w:val="auto"/>
        <w:outlineLvl w:val="0"/>
        <w:rPr>
          <w:rFonts w:hint="eastAsia" w:ascii="宋体" w:hAnsi="宋体" w:eastAsia="宋体" w:cs="宋体"/>
          <w:b/>
          <w:bCs/>
          <w:spacing w:val="0"/>
          <w:w w:val="100"/>
          <w:position w:val="0"/>
          <w:sz w:val="36"/>
          <w:szCs w:val="36"/>
        </w:rPr>
      </w:pPr>
      <w:bookmarkStart w:id="2" w:name="_Toc28378"/>
      <w:bookmarkStart w:id="3" w:name="_Toc8249"/>
      <w:bookmarkStart w:id="4" w:name="_Toc24223"/>
      <w:bookmarkStart w:id="5" w:name="_Toc21613"/>
      <w:bookmarkStart w:id="6" w:name="_Tocvyvfiw"/>
      <w:r>
        <w:rPr>
          <w:rFonts w:hint="eastAsia" w:ascii="宋体" w:hAnsi="宋体" w:eastAsia="宋体" w:cs="宋体"/>
          <w:b/>
          <w:bCs/>
          <w:snapToGrid/>
          <w:color w:val="000000"/>
          <w:spacing w:val="0"/>
          <w:w w:val="100"/>
          <w:kern w:val="2"/>
          <w:position w:val="0"/>
          <w:sz w:val="36"/>
          <w:szCs w:val="36"/>
          <w:lang w:val="en-US" w:eastAsia="zh-CN"/>
        </w:rPr>
        <w:t>第四章 项目建设</w:t>
      </w:r>
      <w:r>
        <w:rPr>
          <w:rFonts w:hint="eastAsia" w:ascii="宋体" w:hAnsi="宋体" w:eastAsia="宋体" w:cs="宋体"/>
          <w:b/>
          <w:bCs/>
          <w:spacing w:val="0"/>
          <w:w w:val="100"/>
          <w:position w:val="0"/>
          <w:sz w:val="36"/>
          <w:szCs w:val="36"/>
        </w:rPr>
        <w:t>方案</w:t>
      </w:r>
      <w:bookmarkEnd w:id="2"/>
      <w:bookmarkEnd w:id="3"/>
      <w:bookmarkEnd w:id="4"/>
      <w:bookmarkEnd w:id="5"/>
    </w:p>
    <w:p w14:paraId="3675DFAC">
      <w:pPr>
        <w:keepNext w:val="0"/>
        <w:keepLines w:val="0"/>
        <w:pageBreakBefore w:val="0"/>
        <w:widowControl/>
        <w:numPr>
          <w:ilvl w:val="0"/>
          <w:numId w:val="0"/>
        </w:numPr>
        <w:kinsoku/>
        <w:wordWrap/>
        <w:overflowPunct/>
        <w:topLinePunct/>
        <w:autoSpaceDE w:val="0"/>
        <w:autoSpaceDN/>
        <w:bidi w:val="0"/>
        <w:adjustRightInd/>
        <w:snapToGrid/>
        <w:spacing w:before="161" w:beforeLines="50" w:after="161" w:afterLines="50" w:line="360" w:lineRule="auto"/>
        <w:jc w:val="left"/>
        <w:textAlignment w:val="baseline"/>
        <w:outlineLvl w:val="1"/>
        <w:rPr>
          <w:rFonts w:hint="eastAsia" w:ascii="宋体" w:hAnsi="宋体" w:eastAsia="宋体" w:cs="宋体"/>
          <w:b/>
          <w:bCs/>
          <w:color w:val="auto"/>
          <w:spacing w:val="0"/>
          <w:w w:val="100"/>
          <w:position w:val="0"/>
          <w:sz w:val="28"/>
          <w:szCs w:val="28"/>
          <w:lang w:val="en-US" w:eastAsia="zh-CN"/>
        </w:rPr>
      </w:pPr>
      <w:bookmarkStart w:id="7" w:name="_Toc17678"/>
      <w:bookmarkStart w:id="8" w:name="_Toc12540"/>
      <w:bookmarkStart w:id="9" w:name="_Toc30636"/>
      <w:r>
        <w:rPr>
          <w:rFonts w:hint="eastAsia" w:ascii="宋体" w:hAnsi="宋体" w:eastAsia="宋体" w:cs="宋体"/>
          <w:b/>
          <w:bCs/>
          <w:color w:val="auto"/>
          <w:spacing w:val="0"/>
          <w:w w:val="100"/>
          <w:position w:val="0"/>
          <w:sz w:val="28"/>
          <w:szCs w:val="28"/>
          <w:lang w:val="en-US" w:eastAsia="zh-CN"/>
        </w:rPr>
        <w:t>4.1 技术方案</w:t>
      </w:r>
      <w:bookmarkEnd w:id="7"/>
      <w:bookmarkEnd w:id="8"/>
      <w:bookmarkEnd w:id="9"/>
    </w:p>
    <w:p w14:paraId="1F76278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2" w:firstLineChars="200"/>
        <w:jc w:val="both"/>
        <w:textAlignment w:val="auto"/>
        <w:rPr>
          <w:rFonts w:hint="eastAsia" w:ascii="宋体" w:hAnsi="宋体" w:eastAsia="宋体" w:cs="宋体"/>
          <w:b/>
          <w:bCs/>
          <w:color w:val="000000"/>
          <w:spacing w:val="0"/>
          <w:w w:val="100"/>
          <w:position w:val="0"/>
          <w:sz w:val="28"/>
          <w:szCs w:val="28"/>
          <w:lang w:val="en-US" w:eastAsia="zh-CN"/>
        </w:rPr>
      </w:pPr>
      <w:r>
        <w:rPr>
          <w:rFonts w:hint="eastAsia" w:ascii="宋体" w:hAnsi="宋体" w:eastAsia="宋体" w:cs="宋体"/>
          <w:b/>
          <w:bCs/>
          <w:color w:val="000000"/>
          <w:spacing w:val="0"/>
          <w:w w:val="100"/>
          <w:position w:val="0"/>
          <w:sz w:val="28"/>
          <w:szCs w:val="28"/>
          <w:lang w:val="en-US" w:eastAsia="zh-CN"/>
        </w:rPr>
        <w:t>一、技术目标</w:t>
      </w:r>
    </w:p>
    <w:p w14:paraId="7011932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（1）光伏发电</w:t>
      </w:r>
    </w:p>
    <w:p w14:paraId="29507B3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本项目在洛阳市汝阳县付店镇东沟村附近的金堆城钼业尾矿治理覆土区域建设26MW分布式光伏发电系统，采用林光互补模式，在光伏板下种植超级芦竹能源植物。光伏所发电力通过源网荷储系统优先满足金堆城钼业公司本地负荷需求，余电通过微电网实现区域内消纳，基本实现无余电上网。项目通过高效单晶硅光伏组件、智能逆变器及柔性支架技术，实现年等效利用小时数不低于1200小时，系统综合发电效率不低于82%。</w:t>
      </w:r>
    </w:p>
    <w:p w14:paraId="044BDEF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（2）储能运营</w:t>
      </w:r>
    </w:p>
    <w:p w14:paraId="50B5AD3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项目配套建设3MW/6MWh电网侧储能系统，采用磷酸铁锂电池技术，参与峰谷套利和电力调节。储能系统与光伏发电协同运行，在光伏大发时段充电、在用电高峰时段放电，实现24小时绿电供应；同时参与电力现货市场交易和辅助服务市场，提升项目整体经济性。储能系统具备快速响应能力，实现毫秒级内完成充放电状态切换，为电网提供调峰调频等辅助服务。</w:t>
      </w:r>
    </w:p>
    <w:p w14:paraId="125CC2C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（3）林光互补</w:t>
      </w:r>
    </w:p>
    <w:p w14:paraId="223357E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项目采用林光互补复合开发模式，在光伏阵列下方种植超级芦竹能源植物300亩。超级芦竹具有生长快、产量高、热值高（约4200大卡）的特点，可作为生物质燃料和化工原料使用，兼具固碳释氧、改良土壤、修复生态的多重功能。由于本项目位于尾矿治理覆土区域，下层为含重金属尾矿矿渣，土地质量较低，超级芦竹作为能源植物适应性强，可在边际土地生长，既能实现生态修复又能产生能源产出。光伏板为芦竹提供遮阴保湿环境，提高干旱条件下成活率；芦竹种植可有效抑制扬尘、改良矿山土壤，实现光伏发电与生态修复的有机融合，形成"板上发电、板下种植"的双重收益模式。</w:t>
      </w:r>
    </w:p>
    <w:p w14:paraId="460A917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（4）微电网与虚拟电厂</w:t>
      </w:r>
    </w:p>
    <w:p w14:paraId="3FA36D8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项目构建源网荷储一体化的微电网系统，将26MW分布式光伏、3MW/6MWh储能及金堆城钼业公司工业负荷聚合为可控单元，实现分布式电源、储能和负荷的协调优化运行。通过部署虚拟电厂聚合平台，将本项目资源统一聚合为可调资源池，参与电力市场交易、调峰调频辅助服务和容量租赁，实现分布式资源的规模化价值挖掘，提升区域电网柔性调节能力。</w:t>
      </w:r>
    </w:p>
    <w:p w14:paraId="2A34871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（5）能量管理</w:t>
      </w:r>
    </w:p>
    <w:p w14:paraId="238AB46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部署智能能量管理系统（EMS），实现源网荷储协同优化调度、负荷预测、发电预测、需量管理等功能，预留虚拟电厂（VPP）聚合接口。EMS通过实时监控、分析和优化能源的生产、转换、储存和消耗，最大化系统效率和可靠性。平台集成气象、功率及负荷预测与实时电价信号，制定日前计划、日内滚动修正与实时功率平衡策略，统一响应电网需求侧管理指令参与辅助服务。</w:t>
      </w:r>
    </w:p>
    <w:p w14:paraId="0C3FB29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2" w:firstLineChars="200"/>
        <w:jc w:val="both"/>
        <w:textAlignment w:val="auto"/>
        <w:rPr>
          <w:rFonts w:hint="eastAsia" w:ascii="宋体" w:hAnsi="宋体" w:eastAsia="宋体" w:cs="宋体"/>
          <w:b/>
          <w:bCs/>
          <w:color w:val="000000"/>
          <w:spacing w:val="0"/>
          <w:w w:val="100"/>
          <w:position w:val="0"/>
          <w:sz w:val="28"/>
          <w:szCs w:val="28"/>
          <w:lang w:val="en-US" w:eastAsia="zh-CN"/>
        </w:rPr>
      </w:pPr>
      <w:r>
        <w:rPr>
          <w:rFonts w:hint="eastAsia" w:ascii="宋体" w:hAnsi="宋体" w:eastAsia="宋体" w:cs="宋体"/>
          <w:b/>
          <w:bCs/>
          <w:color w:val="000000"/>
          <w:spacing w:val="0"/>
          <w:w w:val="100"/>
          <w:position w:val="0"/>
          <w:sz w:val="28"/>
          <w:szCs w:val="28"/>
          <w:lang w:val="en-US" w:eastAsia="zh-CN"/>
        </w:rPr>
        <w:t>二、技术来源</w:t>
      </w:r>
    </w:p>
    <w:p w14:paraId="6069BA8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项目采用全链条国产化成熟技术。光伏选用双面双玻半片组件，转换效率达21%以上；储能采用磷酸铁锂电芯配套模块化液冷温控，循环寿命不低于6000次；微电网控制器、BMS、EMS及虚拟电厂平台基于国家电网"源网荷储"技术标准开发，核心算法来自国内头部院校联合攻关，通信协议符合DL/T 1867、GB/T 36558等国家标准，支持光纤与5G双通道冗余传输。关键设备与核心元器件均为国内头部企业供货，无进口依赖。</w:t>
      </w:r>
    </w:p>
    <w:p w14:paraId="01BA190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超级芦竹种植技术采用中科院培育的改良品种，配套水肥一体化智能灌溉系统，实现精准农业管理。芦竹收割及加工设备选用国产成熟农机装备，燃料化利用技术已通过中试验证。</w:t>
      </w:r>
    </w:p>
    <w:p w14:paraId="631F10E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2" w:firstLineChars="200"/>
        <w:jc w:val="both"/>
        <w:textAlignment w:val="auto"/>
        <w:rPr>
          <w:rFonts w:hint="eastAsia" w:ascii="宋体" w:hAnsi="宋体" w:eastAsia="宋体" w:cs="宋体"/>
          <w:b/>
          <w:bCs/>
          <w:color w:val="000000"/>
          <w:spacing w:val="0"/>
          <w:w w:val="100"/>
          <w:position w:val="0"/>
          <w:sz w:val="28"/>
          <w:szCs w:val="28"/>
          <w:lang w:val="en-US" w:eastAsia="zh-CN"/>
        </w:rPr>
      </w:pPr>
      <w:r>
        <w:rPr>
          <w:rFonts w:hint="eastAsia" w:ascii="宋体" w:hAnsi="宋体" w:eastAsia="宋体" w:cs="宋体"/>
          <w:b/>
          <w:bCs/>
          <w:color w:val="000000"/>
          <w:spacing w:val="0"/>
          <w:w w:val="100"/>
          <w:position w:val="0"/>
          <w:sz w:val="28"/>
          <w:szCs w:val="28"/>
          <w:lang w:val="en-US" w:eastAsia="zh-CN"/>
        </w:rPr>
        <w:t>三、实现路径</w:t>
      </w:r>
    </w:p>
    <w:p w14:paraId="620448F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项目建设从场地整治、物理层建设、微电网组网到虚拟电厂调度分步推进。</w:t>
      </w:r>
    </w:p>
    <w:p w14:paraId="082E24E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场地整治阶段，首先完成约300亩尾矿治理覆土区域的地形测量与土地平整，清除危岩碎石，进行土壤改良与培肥，建设灌溉主管网及深水井等农业基础设施，为光伏基础施工和芦竹种植创造条件。由于该区域为尾矿库覆土区域，下层含有重金属成分，土壤环境特殊，需采取针对性的土壤修复措施，确保满足超级芦竹的生长条件。</w:t>
      </w:r>
    </w:p>
    <w:p w14:paraId="0494DEF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物理层建设上，在平整后的场地上采用柔性支架和固定支架相结合的方式布置26MW光伏阵列，阵列下方同步完成芦竹种苗定植。光伏区配套建设干式变压器（箱变）、集电线路及接入电网设施；储能区布置3套2000KWh磷酸铁锂储能集装箱（总容量6MWh），接入10kV配电网。光伏组件选用640Wp单晶N型组件共48,752块，配套逆变器248台、交流汇流箱39台、光伏支架及配件381km、交直流电缆及MC4连接器等设备。</w:t>
      </w:r>
    </w:p>
    <w:p w14:paraId="0B70DB5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微电网组网层面，各子系统部署就地控制器实现光储本地能量平衡与并离网切换，各控制器经光纤或5G专网接入区域能源管理平台，通信延时控制在100毫秒以内。通过源网荷储协同控制，实现光伏发电优先供给金堆城钼业公司用电，储能系统在电价低谷时段充电、高峰时段放电，通过峰谷价差获取收益。</w:t>
      </w:r>
    </w:p>
    <w:p w14:paraId="2F2DFFD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虚拟电厂调度层面，平台集成气象、功率及负荷预测与实时电价信号，将26MW光伏、6MWh储能及金堆城钼业公司工业负荷统一聚合为可调资源池，制定日前计划、日内滚动修正与实时功率平衡策略，光伏直供跟踪工业负荷曲线，储能参与峰谷套利和配网削峰填谷，平台统一响应电网需求侧管理指令参与辅助服务，实现分布式资源的规模化价值挖掘。</w:t>
      </w:r>
    </w:p>
    <w:p w14:paraId="79931FB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2"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bCs/>
          <w:color w:val="000000"/>
          <w:spacing w:val="0"/>
          <w:w w:val="100"/>
          <w:position w:val="0"/>
          <w:sz w:val="28"/>
          <w:szCs w:val="28"/>
          <w:lang w:val="en-US" w:eastAsia="zh-CN"/>
        </w:rPr>
        <w:t>总结：</w:t>
      </w:r>
      <w:r>
        <w:rPr>
          <w:rFonts w:hint="eastAsia" w:ascii="宋体" w:hAnsi="宋体" w:eastAsia="宋体" w:cs="宋体"/>
          <w:b w:val="0"/>
          <w:bCs w:val="0"/>
          <w:color w:val="000000"/>
          <w:spacing w:val="0"/>
          <w:w w:val="100"/>
          <w:position w:val="0"/>
          <w:sz w:val="28"/>
          <w:szCs w:val="28"/>
          <w:lang w:val="en-US" w:eastAsia="zh-CN"/>
        </w:rPr>
        <w:t>本项目技术方案采用全链条国产化设备与自主算法，关键技术均在国内同类场景中成熟应用，林光互补复合开发模式已在多个示范项目中验证，符合国家现行标准与电网安全运行要求。核心供应商具备成熟产能与稳定供应链，项目投运后可保障金堆城钼业公司清洁能源就地利用与电力供应自主可控，产业链安全性与供应链稳定性得到充分保证。</w:t>
      </w:r>
    </w:p>
    <w:p w14:paraId="00A0B33E">
      <w:pPr>
        <w:keepNext w:val="0"/>
        <w:keepLines w:val="0"/>
        <w:pageBreakBefore w:val="0"/>
        <w:widowControl/>
        <w:numPr>
          <w:ilvl w:val="0"/>
          <w:numId w:val="0"/>
        </w:numPr>
        <w:kinsoku/>
        <w:wordWrap/>
        <w:overflowPunct/>
        <w:topLinePunct/>
        <w:autoSpaceDE w:val="0"/>
        <w:autoSpaceDN/>
        <w:bidi w:val="0"/>
        <w:adjustRightInd/>
        <w:snapToGrid/>
        <w:spacing w:before="161" w:beforeLines="50" w:after="161" w:afterLines="50" w:line="360" w:lineRule="auto"/>
        <w:jc w:val="left"/>
        <w:textAlignment w:val="baseline"/>
        <w:outlineLvl w:val="1"/>
        <w:rPr>
          <w:rFonts w:hint="eastAsia" w:ascii="宋体" w:hAnsi="宋体" w:eastAsia="宋体" w:cs="宋体"/>
          <w:b/>
          <w:bCs/>
          <w:color w:val="auto"/>
          <w:spacing w:val="0"/>
          <w:w w:val="100"/>
          <w:position w:val="0"/>
          <w:sz w:val="28"/>
          <w:szCs w:val="28"/>
          <w:lang w:val="en-US" w:eastAsia="zh-CN"/>
        </w:rPr>
      </w:pPr>
      <w:bookmarkStart w:id="10" w:name="_Toc14320"/>
      <w:bookmarkStart w:id="11" w:name="_Toc29173"/>
      <w:r>
        <w:rPr>
          <w:rFonts w:hint="eastAsia" w:ascii="宋体" w:hAnsi="宋体" w:eastAsia="宋体" w:cs="宋体"/>
          <w:b/>
          <w:bCs/>
          <w:color w:val="auto"/>
          <w:spacing w:val="0"/>
          <w:w w:val="100"/>
          <w:position w:val="0"/>
          <w:sz w:val="28"/>
          <w:szCs w:val="28"/>
          <w:lang w:val="en-US" w:eastAsia="zh-CN"/>
        </w:rPr>
        <w:t>4.2 设备方案</w:t>
      </w:r>
      <w:bookmarkEnd w:id="10"/>
      <w:bookmarkEnd w:id="11"/>
    </w:p>
    <w:p w14:paraId="469475F9">
      <w:pPr>
        <w:keepNext w:val="0"/>
        <w:keepLines w:val="0"/>
        <w:pageBreakBefore w:val="0"/>
        <w:widowControl/>
        <w:kinsoku w:val="0"/>
        <w:wordWrap/>
        <w:overflowPunct/>
        <w:topLinePunct w:val="0"/>
        <w:autoSpaceDE w:val="0"/>
        <w:autoSpaceDN w:val="0"/>
        <w:bidi w:val="0"/>
        <w:adjustRightInd/>
        <w:snapToGrid/>
        <w:spacing w:before="161" w:beforeLines="50" w:after="161" w:afterLines="50" w:line="360" w:lineRule="auto"/>
        <w:ind w:left="0" w:right="0"/>
        <w:textAlignment w:val="baseline"/>
        <w:outlineLvl w:val="9"/>
        <w:rPr>
          <w:rFonts w:hint="eastAsia" w:ascii="宋体" w:hAnsi="宋体" w:eastAsia="宋体" w:cs="宋体"/>
          <w:b/>
          <w:bCs/>
          <w:spacing w:val="0"/>
          <w:w w:val="100"/>
          <w:position w:val="0"/>
          <w:sz w:val="28"/>
          <w:szCs w:val="28"/>
          <w:lang w:val="en-US" w:eastAsia="zh-CN"/>
        </w:rPr>
      </w:pPr>
      <w:r>
        <w:rPr>
          <w:rFonts w:hint="eastAsia" w:ascii="宋体" w:hAnsi="宋体" w:eastAsia="宋体" w:cs="宋体"/>
          <w:b/>
          <w:bCs/>
          <w:spacing w:val="0"/>
          <w:w w:val="100"/>
          <w:position w:val="0"/>
          <w:sz w:val="28"/>
          <w:szCs w:val="28"/>
          <w:lang w:val="en-US" w:eastAsia="zh-CN"/>
        </w:rPr>
        <w:t>4.2.1 设备配置原则</w:t>
      </w:r>
    </w:p>
    <w:p w14:paraId="7941CA3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zh-CN" w:eastAsia="zh-CN"/>
        </w:rPr>
      </w:pPr>
      <w:r>
        <w:rPr>
          <w:rFonts w:hint="eastAsia" w:ascii="宋体" w:hAnsi="宋体" w:eastAsia="宋体" w:cs="宋体"/>
          <w:b w:val="0"/>
          <w:bCs w:val="0"/>
          <w:color w:val="000000"/>
          <w:spacing w:val="0"/>
          <w:w w:val="100"/>
          <w:position w:val="0"/>
          <w:sz w:val="28"/>
          <w:szCs w:val="28"/>
          <w:lang w:val="zh-CN" w:eastAsia="zh-CN"/>
        </w:rPr>
        <w:t>本项目设备方案选择依据</w:t>
      </w:r>
      <w:r>
        <w:rPr>
          <w:rFonts w:hint="eastAsia" w:ascii="宋体" w:hAnsi="宋体" w:eastAsia="宋体" w:cs="宋体"/>
          <w:b w:val="0"/>
          <w:bCs w:val="0"/>
          <w:color w:val="000000"/>
          <w:spacing w:val="0"/>
          <w:w w:val="100"/>
          <w:position w:val="0"/>
          <w:sz w:val="28"/>
          <w:szCs w:val="28"/>
          <w:lang w:val="en-US" w:eastAsia="zh-CN"/>
        </w:rPr>
        <w:t>使用功能</w:t>
      </w:r>
      <w:r>
        <w:rPr>
          <w:rFonts w:hint="eastAsia" w:ascii="宋体" w:hAnsi="宋体" w:eastAsia="宋体" w:cs="宋体"/>
          <w:b w:val="0"/>
          <w:bCs w:val="0"/>
          <w:color w:val="000000"/>
          <w:spacing w:val="0"/>
          <w:w w:val="100"/>
          <w:position w:val="0"/>
          <w:sz w:val="28"/>
          <w:szCs w:val="28"/>
          <w:lang w:val="zh-CN" w:eastAsia="zh-CN"/>
        </w:rPr>
        <w:t>确定。应该满足以下基本要求：主要设备方案与拟定建设规模相适应，以最大限度满足项目投产后生产要求；主要设备之间、主要设备与辅助设备之间的能力相互配套；设备质量、性能成熟，以保证生产的稳定性和产品质量；设备选择在保证性能前提下，力求经济合理；选用设备应符合国家和有关部门颁布的相关技术标准要求。</w:t>
      </w:r>
    </w:p>
    <w:p w14:paraId="13CB8AE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为适应该项目生产需要，确保产品的质量，增强生产的可操作手段，必须完整配置各种技术装备，该项目设备应选择国内外现有的先进、成熟、可靠的设备，因此，在主设备选型上应遵循以下原则：</w:t>
      </w:r>
    </w:p>
    <w:p w14:paraId="6E47C8C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1、主要设备选型的原则应与选择的项目建设规模、产品方案相适应，满足项目的要求，可获得最大效益。</w:t>
      </w:r>
    </w:p>
    <w:p w14:paraId="42F5B57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3、提高连续化、大型化程序，降低劳动强度，提高劳动生产率。</w:t>
      </w:r>
    </w:p>
    <w:p w14:paraId="337B683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4、降低原材料、水、电单耗，满足环境保护要求。</w:t>
      </w:r>
    </w:p>
    <w:p w14:paraId="713589C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5、强调设备的可靠性、成熟性，保证生产和质量稳定。不允许将不成熟或未经生产考验的设备用于建设方案设计。</w:t>
      </w:r>
    </w:p>
    <w:p w14:paraId="26ECA1C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6、符合政府或专门机构发布的技术标准要求。</w:t>
      </w:r>
    </w:p>
    <w:p w14:paraId="7A5D2E6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7、在满足机械功能和生产过程的条件下，力求经济合理（含用料、制造、操作和维护保养），尽可能立足于国内市场。</w:t>
      </w:r>
    </w:p>
    <w:p w14:paraId="5777A2E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8、主要设备及辅助设备之间应相互配套。</w:t>
      </w:r>
    </w:p>
    <w:p w14:paraId="70E64BB6">
      <w:pPr>
        <w:keepNext w:val="0"/>
        <w:keepLines w:val="0"/>
        <w:pageBreakBefore w:val="0"/>
        <w:widowControl/>
        <w:kinsoku w:val="0"/>
        <w:wordWrap/>
        <w:overflowPunct/>
        <w:topLinePunct w:val="0"/>
        <w:autoSpaceDE w:val="0"/>
        <w:autoSpaceDN w:val="0"/>
        <w:bidi w:val="0"/>
        <w:adjustRightInd/>
        <w:snapToGrid/>
        <w:spacing w:before="161" w:beforeLines="50" w:after="161" w:afterLines="50" w:line="360" w:lineRule="auto"/>
        <w:ind w:left="0" w:right="0"/>
        <w:textAlignment w:val="baseline"/>
        <w:outlineLvl w:val="9"/>
        <w:rPr>
          <w:rFonts w:hint="eastAsia" w:ascii="宋体" w:hAnsi="宋体" w:eastAsia="宋体" w:cs="宋体"/>
          <w:b/>
          <w:bCs/>
          <w:spacing w:val="0"/>
          <w:w w:val="100"/>
          <w:position w:val="0"/>
          <w:sz w:val="28"/>
          <w:szCs w:val="28"/>
          <w:lang w:val="en-US" w:eastAsia="zh-CN"/>
        </w:rPr>
      </w:pPr>
      <w:r>
        <w:rPr>
          <w:rFonts w:hint="eastAsia" w:ascii="宋体" w:hAnsi="宋体" w:eastAsia="宋体" w:cs="宋体"/>
          <w:b/>
          <w:bCs/>
          <w:spacing w:val="0"/>
          <w:w w:val="100"/>
          <w:position w:val="0"/>
          <w:sz w:val="28"/>
          <w:szCs w:val="28"/>
          <w:lang w:val="en-US" w:eastAsia="zh-CN"/>
        </w:rPr>
        <w:t>4.2.2 项目主要设备（含软件）的规格、数量和性能参数等内容</w:t>
      </w:r>
    </w:p>
    <w:p w14:paraId="7087142A">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zh-CN" w:eastAsia="zh-CN"/>
        </w:rPr>
      </w:pPr>
      <w:r>
        <w:rPr>
          <w:rFonts w:hint="eastAsia" w:ascii="宋体" w:hAnsi="宋体" w:eastAsia="宋体" w:cs="宋体"/>
          <w:b w:val="0"/>
          <w:bCs w:val="0"/>
          <w:color w:val="000000"/>
          <w:spacing w:val="0"/>
          <w:w w:val="100"/>
          <w:position w:val="0"/>
          <w:sz w:val="28"/>
          <w:szCs w:val="28"/>
          <w:lang w:val="en-US" w:eastAsia="zh-CN"/>
        </w:rPr>
        <w:t>1、</w:t>
      </w:r>
      <w:r>
        <w:rPr>
          <w:rFonts w:hint="eastAsia" w:ascii="宋体" w:hAnsi="宋体" w:eastAsia="宋体" w:cs="宋体"/>
          <w:b w:val="0"/>
          <w:bCs w:val="0"/>
          <w:color w:val="000000"/>
          <w:spacing w:val="0"/>
          <w:w w:val="100"/>
          <w:position w:val="0"/>
          <w:sz w:val="28"/>
          <w:szCs w:val="28"/>
          <w:lang w:val="zh-CN" w:eastAsia="zh-CN"/>
        </w:rPr>
        <w:t>设备方案</w:t>
      </w:r>
    </w:p>
    <w:p w14:paraId="70E0B5E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zh-CN" w:eastAsia="zh-CN"/>
        </w:rPr>
      </w:pPr>
      <w:r>
        <w:rPr>
          <w:rFonts w:hint="eastAsia" w:ascii="宋体" w:hAnsi="宋体" w:eastAsia="宋体" w:cs="宋体"/>
          <w:b w:val="0"/>
          <w:bCs w:val="0"/>
          <w:color w:val="000000"/>
          <w:spacing w:val="0"/>
          <w:w w:val="100"/>
          <w:position w:val="0"/>
          <w:sz w:val="28"/>
          <w:szCs w:val="28"/>
          <w:lang w:val="zh-CN" w:eastAsia="zh-CN"/>
        </w:rPr>
        <w:t>（1）光伏发电设备</w:t>
      </w:r>
    </w:p>
    <w:p w14:paraId="728C433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zh-CN" w:eastAsia="zh-CN"/>
        </w:rPr>
      </w:pPr>
      <w:r>
        <w:rPr>
          <w:rFonts w:hint="eastAsia" w:ascii="宋体" w:hAnsi="宋体" w:eastAsia="宋体" w:cs="宋体"/>
          <w:b w:val="0"/>
          <w:bCs w:val="0"/>
          <w:color w:val="000000"/>
          <w:spacing w:val="0"/>
          <w:w w:val="100"/>
          <w:position w:val="0"/>
          <w:sz w:val="28"/>
          <w:szCs w:val="28"/>
          <w:lang w:val="zh-CN" w:eastAsia="zh-CN"/>
        </w:rPr>
        <w:t>本项目在洛阳市汝阳县付店镇东沟村附近的金堆城钼业尾矿治理覆土区域内建设安装</w:t>
      </w:r>
      <w:r>
        <w:rPr>
          <w:rFonts w:hint="eastAsia" w:ascii="宋体" w:hAnsi="宋体" w:eastAsia="宋体" w:cs="宋体"/>
          <w:b w:val="0"/>
          <w:bCs w:val="0"/>
          <w:color w:val="000000"/>
          <w:spacing w:val="0"/>
          <w:w w:val="100"/>
          <w:position w:val="0"/>
          <w:sz w:val="28"/>
          <w:szCs w:val="28"/>
          <w:lang w:val="en-US" w:eastAsia="zh-CN"/>
        </w:rPr>
        <w:t>26</w:t>
      </w:r>
      <w:r>
        <w:rPr>
          <w:rFonts w:hint="eastAsia" w:ascii="宋体" w:hAnsi="宋体" w:eastAsia="宋体" w:cs="宋体"/>
          <w:b w:val="0"/>
          <w:bCs w:val="0"/>
          <w:color w:val="000000"/>
          <w:spacing w:val="0"/>
          <w:w w:val="100"/>
          <w:position w:val="0"/>
          <w:sz w:val="28"/>
          <w:szCs w:val="28"/>
          <w:lang w:val="zh-CN" w:eastAsia="zh-CN"/>
        </w:rPr>
        <w:t>MW分布式光伏发电设备，采用林光互补模式布置，同时完成其他相关配套工程。光伏发电系统采用较高高度的柔性支架和固定支架结构方案，主要利用矿山治理后的地面空间资源，不影响下方超级芦竹种植。系统主要由光伏组件、控制器、逆变器及其他配件组成。根据是否依赖公共电网，分为离网跟并网两种，其中离网系统是独立运行的、不需要依赖电网。光伏系统配备了有储能作用的蓄电池，可保证系统功率稳定，能在光伏系统夜间不发电或阴雨天发电不足等情况下供给负载用电。</w:t>
      </w:r>
    </w:p>
    <w:p w14:paraId="434D13B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zh-CN" w:eastAsia="zh-CN"/>
        </w:rPr>
      </w:pPr>
      <w:r>
        <w:rPr>
          <w:rFonts w:hint="eastAsia" w:ascii="宋体" w:hAnsi="宋体" w:eastAsia="宋体" w:cs="宋体"/>
          <w:b w:val="0"/>
          <w:bCs w:val="0"/>
          <w:color w:val="000000"/>
          <w:spacing w:val="0"/>
          <w:w w:val="100"/>
          <w:position w:val="0"/>
          <w:sz w:val="28"/>
          <w:szCs w:val="28"/>
          <w:lang w:val="zh-CN" w:eastAsia="zh-CN"/>
        </w:rPr>
        <w:t>不管何种形式，工作原理均为光伏组件将光能转换成直流电，直流电在逆变器的作用下转变成交流电，最终实现用电、上网功能。</w:t>
      </w:r>
    </w:p>
    <w:p w14:paraId="57B5C65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zh-CN" w:eastAsia="zh-CN"/>
        </w:rPr>
      </w:pPr>
      <w:r>
        <w:rPr>
          <w:rFonts w:hint="eastAsia" w:ascii="宋体" w:hAnsi="宋体" w:eastAsia="宋体" w:cs="宋体"/>
          <w:b w:val="0"/>
          <w:bCs w:val="0"/>
          <w:color w:val="000000"/>
          <w:spacing w:val="0"/>
          <w:w w:val="100"/>
          <w:position w:val="0"/>
          <w:sz w:val="28"/>
          <w:szCs w:val="28"/>
          <w:lang w:val="zh-CN" w:eastAsia="zh-CN"/>
        </w:rPr>
        <w:t>（2）储能电站系统</w:t>
      </w:r>
    </w:p>
    <w:p w14:paraId="5ED7EA7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zh-CN" w:eastAsia="zh-CN"/>
        </w:rPr>
        <w:t>本项目配套安装</w:t>
      </w:r>
      <w:r>
        <w:rPr>
          <w:rFonts w:hint="eastAsia" w:ascii="宋体" w:hAnsi="宋体" w:eastAsia="宋体" w:cs="宋体"/>
          <w:b w:val="0"/>
          <w:bCs w:val="0"/>
          <w:color w:val="000000"/>
          <w:spacing w:val="0"/>
          <w:w w:val="100"/>
          <w:position w:val="0"/>
          <w:sz w:val="28"/>
          <w:szCs w:val="28"/>
          <w:lang w:val="en-US" w:eastAsia="zh-CN"/>
        </w:rPr>
        <w:t>3</w:t>
      </w:r>
      <w:r>
        <w:rPr>
          <w:rFonts w:hint="eastAsia" w:ascii="宋体" w:hAnsi="宋体" w:eastAsia="宋体" w:cs="宋体"/>
          <w:b w:val="0"/>
          <w:bCs w:val="0"/>
          <w:color w:val="000000"/>
          <w:spacing w:val="0"/>
          <w:w w:val="100"/>
          <w:position w:val="0"/>
          <w:sz w:val="28"/>
          <w:szCs w:val="28"/>
          <w:lang w:val="zh-CN" w:eastAsia="zh-CN"/>
        </w:rPr>
        <w:t>MW/</w:t>
      </w:r>
      <w:r>
        <w:rPr>
          <w:rFonts w:hint="eastAsia" w:ascii="宋体" w:hAnsi="宋体" w:eastAsia="宋体" w:cs="宋体"/>
          <w:b w:val="0"/>
          <w:bCs w:val="0"/>
          <w:color w:val="000000"/>
          <w:spacing w:val="0"/>
          <w:w w:val="100"/>
          <w:position w:val="0"/>
          <w:sz w:val="28"/>
          <w:szCs w:val="28"/>
          <w:lang w:val="en-US" w:eastAsia="zh-CN"/>
        </w:rPr>
        <w:t>6</w:t>
      </w:r>
      <w:r>
        <w:rPr>
          <w:rFonts w:hint="eastAsia" w:ascii="宋体" w:hAnsi="宋体" w:eastAsia="宋体" w:cs="宋体"/>
          <w:b w:val="0"/>
          <w:bCs w:val="0"/>
          <w:color w:val="000000"/>
          <w:spacing w:val="0"/>
          <w:w w:val="100"/>
          <w:position w:val="0"/>
          <w:sz w:val="28"/>
          <w:szCs w:val="28"/>
          <w:lang w:val="zh-CN" w:eastAsia="zh-CN"/>
        </w:rPr>
        <w:t>MWh电网侧储能设备，采用磷酸铁锂电池技术。储能电站设备主要包括储能电池、储能变流器PCS、能量管理系统EMS、电池管理系统BMS、开闭所等其他辅助设备，主要用于备用电源、峰谷套利和电网辅助服务。储能系统配置灵活，可扩容性好，建设周期短，响应速度快，充放电转换效率高，环境适应性强。</w:t>
      </w:r>
    </w:p>
    <w:p w14:paraId="1BDBCA6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zh-CN" w:eastAsia="zh-CN"/>
        </w:rPr>
        <w:t>（</w:t>
      </w:r>
      <w:r>
        <w:rPr>
          <w:rFonts w:hint="eastAsia" w:ascii="宋体" w:hAnsi="宋体" w:eastAsia="宋体" w:cs="宋体"/>
          <w:b w:val="0"/>
          <w:bCs w:val="0"/>
          <w:color w:val="000000"/>
          <w:spacing w:val="0"/>
          <w:w w:val="100"/>
          <w:position w:val="0"/>
          <w:sz w:val="28"/>
          <w:szCs w:val="28"/>
          <w:lang w:val="en-US" w:eastAsia="zh-CN"/>
        </w:rPr>
        <w:t>3）林业植物配置</w:t>
      </w:r>
    </w:p>
    <w:p w14:paraId="022A99A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zh-CN" w:eastAsia="zh-CN"/>
        </w:rPr>
      </w:pPr>
      <w:r>
        <w:rPr>
          <w:rFonts w:hint="eastAsia" w:ascii="宋体" w:hAnsi="宋体" w:eastAsia="宋体" w:cs="宋体"/>
          <w:b w:val="0"/>
          <w:bCs w:val="0"/>
          <w:color w:val="000000"/>
          <w:spacing w:val="0"/>
          <w:w w:val="100"/>
          <w:position w:val="0"/>
          <w:sz w:val="28"/>
          <w:szCs w:val="28"/>
          <w:lang w:val="en-US" w:eastAsia="zh-CN"/>
        </w:rPr>
        <w:t>本项目主要种植的林业植物为超级芦竹，超级芦竹生态适应性强、可在滩涂地、盐碱地、废弃矿区等边际土地生长，热值高、纤维素含量高，具有广泛的工业用途，是目前公认的高产出、低投入的能源植物与环境修复植物，在经济发展和环境保护两方面均有重要发展潜力。</w:t>
      </w:r>
    </w:p>
    <w:p w14:paraId="03BD100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（4）电力外送设备</w:t>
      </w:r>
    </w:p>
    <w:p w14:paraId="7225B6E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主要用于将光伏生产的电力直接输送到附近的园区，主要包括电力输送设备、变电站等设施。</w:t>
      </w:r>
    </w:p>
    <w:p w14:paraId="4E53F86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2、工艺设备内容及规模</w:t>
      </w:r>
    </w:p>
    <w:p w14:paraId="50CB5AC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(1)光伏组件选型及规模</w:t>
      </w:r>
    </w:p>
    <w:p w14:paraId="1892F73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本项目光伏规模总计装机容量为</w:t>
      </w:r>
      <w:r>
        <w:rPr>
          <w:rFonts w:hint="eastAsia" w:ascii="宋体" w:hAnsi="宋体" w:eastAsia="宋体" w:cs="宋体"/>
          <w:b w:val="0"/>
          <w:bCs w:val="0"/>
          <w:color w:val="000000"/>
          <w:spacing w:val="0"/>
          <w:w w:val="100"/>
          <w:position w:val="0"/>
          <w:sz w:val="28"/>
          <w:szCs w:val="28"/>
          <w:lang w:val="en-US" w:eastAsia="zh-CN"/>
        </w:rPr>
        <w:t>26</w:t>
      </w:r>
      <w:r>
        <w:rPr>
          <w:rFonts w:hint="default" w:ascii="宋体" w:hAnsi="宋体" w:eastAsia="宋体" w:cs="宋体"/>
          <w:b w:val="0"/>
          <w:bCs w:val="0"/>
          <w:color w:val="000000"/>
          <w:spacing w:val="0"/>
          <w:w w:val="100"/>
          <w:position w:val="0"/>
          <w:sz w:val="28"/>
          <w:szCs w:val="28"/>
          <w:lang w:val="en-US" w:eastAsia="zh-CN"/>
        </w:rPr>
        <w:t>MW，</w:t>
      </w:r>
      <w:r>
        <w:rPr>
          <w:rFonts w:hint="eastAsia" w:ascii="宋体" w:hAnsi="宋体" w:eastAsia="宋体" w:cs="宋体"/>
          <w:b w:val="0"/>
          <w:bCs w:val="0"/>
          <w:color w:val="000000"/>
          <w:spacing w:val="0"/>
          <w:w w:val="100"/>
          <w:position w:val="0"/>
          <w:sz w:val="28"/>
          <w:szCs w:val="28"/>
          <w:lang w:val="en-US" w:eastAsia="zh-CN"/>
        </w:rPr>
        <w:t>全部采用源网荷储模式，为周围企业提供绿电</w:t>
      </w:r>
      <w:r>
        <w:rPr>
          <w:rFonts w:hint="default" w:ascii="宋体" w:hAnsi="宋体" w:eastAsia="宋体" w:cs="宋体"/>
          <w:b w:val="0"/>
          <w:bCs w:val="0"/>
          <w:color w:val="000000"/>
          <w:spacing w:val="0"/>
          <w:w w:val="100"/>
          <w:position w:val="0"/>
          <w:sz w:val="28"/>
          <w:szCs w:val="28"/>
          <w:lang w:val="en-US" w:eastAsia="zh-CN"/>
        </w:rPr>
        <w:t>。</w:t>
      </w:r>
    </w:p>
    <w:p w14:paraId="050EDE3D">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val="en-US" w:eastAsia="zh-CN" w:bidi="ar"/>
        </w:rPr>
        <w:t>光伏组件是光伏发电系统的核心部件，其光电转换效率、各项参数指标的优劣直接代表了整个光伏发电系统的发电性能。表征太阳能电池组件性能的各项参数有标准测试条件下组件峰值功率、最佳工作电流、最佳工作电压、短路电流、开路电压、最大系统电压、组件效率、短路电流温度系数、开路电压温度系数、峰值功率温度系数、输出功率公差等。</w:t>
      </w:r>
    </w:p>
    <w:p w14:paraId="0E0CB00F">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val="en-US" w:eastAsia="zh-CN" w:bidi="ar"/>
        </w:rPr>
        <w:t>光伏组件的功率规格较多，但是，在进行选型时，一般主要考虑单体功率大且已经商业化应用的太阳能电池组件。单体功率大意味着一定容量的光伏电站所使用的组件数量就少，组件数量少意味着组件间连接点少，故障几率减少，接触电阻小，线缆用量少，于是系统整体损耗也会降低，电池板后期维护检修工作量较小。</w:t>
      </w:r>
    </w:p>
    <w:p w14:paraId="7096042A">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val="en-US" w:eastAsia="zh-CN" w:bidi="ar"/>
        </w:rPr>
        <w:t>目前主流光伏组件生产厂家545Wp至650Wp晶硅组件基本参数比较见表所示：</w:t>
      </w:r>
    </w:p>
    <w:p w14:paraId="6302E12A">
      <w:pPr>
        <w:keepNext w:val="0"/>
        <w:keepLines w:val="0"/>
        <w:widowControl/>
        <w:suppressLineNumbers w:val="0"/>
        <w:kinsoku w:val="0"/>
        <w:autoSpaceDE w:val="0"/>
        <w:autoSpaceDN w:val="0"/>
        <w:adjustRightInd w:val="0"/>
        <w:snapToGrid w:val="0"/>
        <w:spacing w:before="0" w:beforeLines="50" w:beforeAutospacing="0" w:after="0" w:afterLines="50" w:afterAutospacing="0" w:line="360" w:lineRule="auto"/>
        <w:ind w:left="0" w:leftChars="0" w:right="0" w:rightChars="0" w:firstLine="562" w:firstLineChars="200"/>
        <w:jc w:val="center"/>
        <w:textAlignment w:val="baseline"/>
        <w:rPr>
          <w:rFonts w:hint="eastAsia" w:ascii="宋体" w:hAnsi="宋体" w:eastAsia="宋体" w:cs="宋体"/>
          <w:b/>
          <w:bCs/>
          <w:color w:val="000000"/>
          <w:spacing w:val="0"/>
          <w:sz w:val="28"/>
          <w:szCs w:val="28"/>
          <w:vertAlign w:val="baseline"/>
        </w:rPr>
      </w:pPr>
      <w:r>
        <w:rPr>
          <w:rFonts w:hint="eastAsia" w:ascii="宋体" w:hAnsi="宋体" w:eastAsia="宋体" w:cs="宋体"/>
          <w:b/>
          <w:bCs/>
          <w:snapToGrid w:val="0"/>
          <w:color w:val="000000"/>
          <w:spacing w:val="0"/>
          <w:kern w:val="0"/>
          <w:sz w:val="28"/>
          <w:szCs w:val="28"/>
          <w:vertAlign w:val="baseline"/>
          <w:lang w:val="en-US" w:eastAsia="zh-CN" w:bidi="ar"/>
        </w:rPr>
        <w:t>不同容量组件基本参数比较表</w:t>
      </w:r>
    </w:p>
    <w:tbl>
      <w:tblPr>
        <w:tblStyle w:val="15"/>
        <w:tblW w:w="50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99"/>
        <w:gridCol w:w="1199"/>
        <w:gridCol w:w="1199"/>
        <w:gridCol w:w="1199"/>
        <w:gridCol w:w="1199"/>
        <w:gridCol w:w="1199"/>
        <w:gridCol w:w="1200"/>
      </w:tblGrid>
      <w:tr w14:paraId="03C0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7" w:hRule="atLeast"/>
        </w:trPr>
        <w:tc>
          <w:tcPr>
            <w:tcW w:w="714" w:type="pct"/>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6DFC620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组件最大功率(Wp)</w:t>
            </w:r>
          </w:p>
        </w:tc>
        <w:tc>
          <w:tcPr>
            <w:tcW w:w="714" w:type="pct"/>
            <w:tcBorders>
              <w:top w:val="single" w:color="000000" w:sz="12" w:space="0"/>
              <w:left w:val="nil"/>
              <w:bottom w:val="single" w:color="000000" w:sz="12" w:space="0"/>
              <w:right w:val="single" w:color="000000" w:sz="12" w:space="0"/>
            </w:tcBorders>
            <w:shd w:val="clear" w:color="auto" w:fill="auto"/>
            <w:tcMar>
              <w:left w:w="0" w:type="dxa"/>
              <w:right w:w="0" w:type="dxa"/>
            </w:tcMar>
            <w:vAlign w:val="center"/>
          </w:tcPr>
          <w:p w14:paraId="5A090FA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545</w:t>
            </w:r>
          </w:p>
        </w:tc>
        <w:tc>
          <w:tcPr>
            <w:tcW w:w="714" w:type="pct"/>
            <w:tcBorders>
              <w:top w:val="single" w:color="000000" w:sz="12" w:space="0"/>
              <w:left w:val="nil"/>
              <w:bottom w:val="single" w:color="000000" w:sz="12" w:space="0"/>
              <w:right w:val="single" w:color="000000" w:sz="12" w:space="0"/>
            </w:tcBorders>
            <w:shd w:val="clear" w:color="auto" w:fill="auto"/>
            <w:tcMar>
              <w:left w:w="0" w:type="dxa"/>
              <w:right w:w="0" w:type="dxa"/>
            </w:tcMar>
            <w:vAlign w:val="center"/>
          </w:tcPr>
          <w:p w14:paraId="7626B8B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570</w:t>
            </w:r>
          </w:p>
        </w:tc>
        <w:tc>
          <w:tcPr>
            <w:tcW w:w="714" w:type="pct"/>
            <w:tcBorders>
              <w:top w:val="single" w:color="000000" w:sz="12" w:space="0"/>
              <w:left w:val="nil"/>
              <w:bottom w:val="single" w:color="000000" w:sz="12" w:space="0"/>
              <w:right w:val="single" w:color="000000" w:sz="12" w:space="0"/>
            </w:tcBorders>
            <w:shd w:val="clear" w:color="auto" w:fill="auto"/>
            <w:tcMar>
              <w:left w:w="0" w:type="dxa"/>
              <w:right w:w="0" w:type="dxa"/>
            </w:tcMar>
            <w:vAlign w:val="center"/>
          </w:tcPr>
          <w:p w14:paraId="5D595AC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600</w:t>
            </w:r>
          </w:p>
        </w:tc>
        <w:tc>
          <w:tcPr>
            <w:tcW w:w="714" w:type="pct"/>
            <w:tcBorders>
              <w:top w:val="single" w:color="000000" w:sz="12" w:space="0"/>
              <w:left w:val="nil"/>
              <w:bottom w:val="single" w:color="000000" w:sz="12" w:space="0"/>
              <w:right w:val="single" w:color="000000" w:sz="12" w:space="0"/>
            </w:tcBorders>
            <w:shd w:val="clear" w:color="auto" w:fill="auto"/>
            <w:tcMar>
              <w:left w:w="0" w:type="dxa"/>
              <w:right w:w="0" w:type="dxa"/>
            </w:tcMar>
            <w:vAlign w:val="center"/>
          </w:tcPr>
          <w:p w14:paraId="52419E0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620</w:t>
            </w:r>
          </w:p>
        </w:tc>
        <w:tc>
          <w:tcPr>
            <w:tcW w:w="714" w:type="pct"/>
            <w:tcBorders>
              <w:top w:val="single" w:color="000000" w:sz="12" w:space="0"/>
              <w:left w:val="nil"/>
              <w:bottom w:val="single" w:color="000000" w:sz="12" w:space="0"/>
              <w:right w:val="single" w:color="000000" w:sz="12" w:space="0"/>
            </w:tcBorders>
            <w:shd w:val="clear" w:color="auto" w:fill="auto"/>
            <w:tcMar>
              <w:left w:w="0" w:type="dxa"/>
              <w:right w:w="0" w:type="dxa"/>
            </w:tcMar>
            <w:vAlign w:val="center"/>
          </w:tcPr>
          <w:p w14:paraId="3F5AAEF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640</w:t>
            </w:r>
          </w:p>
        </w:tc>
        <w:tc>
          <w:tcPr>
            <w:tcW w:w="714" w:type="pct"/>
            <w:tcBorders>
              <w:top w:val="single" w:color="000000" w:sz="12" w:space="0"/>
              <w:left w:val="nil"/>
              <w:bottom w:val="single" w:color="000000" w:sz="12" w:space="0"/>
              <w:right w:val="single" w:color="000000" w:sz="12" w:space="0"/>
            </w:tcBorders>
            <w:shd w:val="clear" w:color="auto" w:fill="auto"/>
            <w:tcMar>
              <w:left w:w="0" w:type="dxa"/>
              <w:right w:w="0" w:type="dxa"/>
            </w:tcMar>
            <w:vAlign w:val="center"/>
          </w:tcPr>
          <w:p w14:paraId="287D2AA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650</w:t>
            </w:r>
          </w:p>
        </w:tc>
      </w:tr>
      <w:tr w14:paraId="6440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7" w:hRule="atLeast"/>
        </w:trPr>
        <w:tc>
          <w:tcPr>
            <w:tcW w:w="714" w:type="pct"/>
            <w:tcBorders>
              <w:top w:val="single" w:color="000000" w:sz="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28B6AF1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电池片尺寸（mm）</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2194CEE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182×182</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14018A6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182×210</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38E32F2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210×210</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666B082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210×210</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182370F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210×210</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56B29B6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210×210</w:t>
            </w:r>
          </w:p>
        </w:tc>
      </w:tr>
      <w:tr w14:paraId="20A9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7" w:hRule="atLeast"/>
        </w:trPr>
        <w:tc>
          <w:tcPr>
            <w:tcW w:w="714" w:type="pct"/>
            <w:tcBorders>
              <w:top w:val="single" w:color="000000" w:sz="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3DC2B1F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电池片数量（片）</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28715C9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144</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76FDBCE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132</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15CE557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132</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70004CE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132</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29B75BB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132</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20769B7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132</w:t>
            </w:r>
          </w:p>
        </w:tc>
      </w:tr>
      <w:tr w14:paraId="0795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6" w:hRule="atLeast"/>
        </w:trPr>
        <w:tc>
          <w:tcPr>
            <w:tcW w:w="714" w:type="pct"/>
            <w:tcBorders>
              <w:top w:val="single" w:color="000000" w:sz="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17AE4DD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组件效率（%）</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7943EF0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21.1</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2A820D5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21.5</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7F00DFE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22.3</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1D521A8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22.8</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52F03F1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23.1</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38C0D4B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23.3</w:t>
            </w:r>
          </w:p>
        </w:tc>
      </w:tr>
      <w:tr w14:paraId="56E6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2" w:hRule="atLeast"/>
        </w:trPr>
        <w:tc>
          <w:tcPr>
            <w:tcW w:w="714" w:type="pct"/>
            <w:tcBorders>
              <w:top w:val="single" w:color="000000" w:sz="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71E4804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组件尺寸（mm）</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7C3D736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2279×1134×35</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3F04A47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z w:val="21"/>
                <w:szCs w:val="21"/>
              </w:rPr>
            </w:pPr>
            <w:r>
              <w:rPr>
                <w:rFonts w:hint="eastAsia" w:ascii="宋体" w:hAnsi="宋体" w:eastAsia="宋体" w:cs="宋体"/>
                <w:i w:val="0"/>
                <w:iCs w:val="0"/>
                <w:snapToGrid w:val="0"/>
                <w:color w:val="000000"/>
                <w:kern w:val="0"/>
                <w:sz w:val="21"/>
                <w:szCs w:val="21"/>
                <w:lang w:val="en-US" w:eastAsia="zh-CN" w:bidi="ar"/>
              </w:rPr>
              <w:t>2382×1134×30</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3BF62D3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2382×1134×30</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1A0DF1D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z w:val="21"/>
                <w:szCs w:val="21"/>
              </w:rPr>
            </w:pPr>
            <w:r>
              <w:rPr>
                <w:rFonts w:hint="eastAsia" w:ascii="宋体" w:hAnsi="宋体" w:eastAsia="宋体" w:cs="宋体"/>
                <w:i w:val="0"/>
                <w:iCs w:val="0"/>
                <w:snapToGrid w:val="0"/>
                <w:color w:val="000000"/>
                <w:kern w:val="0"/>
                <w:sz w:val="21"/>
                <w:szCs w:val="21"/>
                <w:lang w:val="en-US" w:eastAsia="zh-CN" w:bidi="ar"/>
              </w:rPr>
              <w:t>2382×1134×30</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07D5656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z w:val="21"/>
                <w:szCs w:val="21"/>
              </w:rPr>
            </w:pPr>
            <w:r>
              <w:rPr>
                <w:rFonts w:hint="eastAsia" w:ascii="宋体" w:hAnsi="宋体" w:eastAsia="宋体" w:cs="宋体"/>
                <w:i w:val="0"/>
                <w:iCs w:val="0"/>
                <w:snapToGrid w:val="0"/>
                <w:color w:val="000000"/>
                <w:kern w:val="0"/>
                <w:sz w:val="21"/>
                <w:szCs w:val="21"/>
                <w:lang w:val="en-US" w:eastAsia="zh-CN" w:bidi="ar"/>
              </w:rPr>
              <w:t>2382×1134×30</w:t>
            </w:r>
          </w:p>
        </w:tc>
        <w:tc>
          <w:tcPr>
            <w:tcW w:w="714" w:type="pct"/>
            <w:tcBorders>
              <w:top w:val="single" w:color="000000" w:sz="2" w:space="0"/>
              <w:left w:val="nil"/>
              <w:bottom w:val="single" w:color="000000" w:sz="12" w:space="0"/>
              <w:right w:val="single" w:color="000000" w:sz="12" w:space="0"/>
            </w:tcBorders>
            <w:shd w:val="clear" w:color="auto" w:fill="auto"/>
            <w:tcMar>
              <w:left w:w="0" w:type="dxa"/>
              <w:right w:w="0" w:type="dxa"/>
            </w:tcMar>
            <w:vAlign w:val="center"/>
          </w:tcPr>
          <w:p w14:paraId="3CC01B4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color w:val="000000"/>
                <w:spacing w:val="0"/>
                <w:sz w:val="21"/>
                <w:szCs w:val="21"/>
              </w:rPr>
            </w:pPr>
            <w:r>
              <w:rPr>
                <w:rFonts w:hint="eastAsia" w:ascii="宋体" w:hAnsi="宋体" w:eastAsia="宋体" w:cs="宋体"/>
                <w:i w:val="0"/>
                <w:iCs w:val="0"/>
                <w:snapToGrid w:val="0"/>
                <w:color w:val="000000"/>
                <w:kern w:val="0"/>
                <w:sz w:val="21"/>
                <w:szCs w:val="21"/>
                <w:lang w:val="en-US" w:eastAsia="zh-CN" w:bidi="ar"/>
              </w:rPr>
              <w:t>2382×1134×30</w:t>
            </w:r>
          </w:p>
        </w:tc>
      </w:tr>
    </w:tbl>
    <w:p w14:paraId="11019D03">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val="en-US" w:eastAsia="zh-CN" w:bidi="ar"/>
        </w:rPr>
        <w:t>545Wp及以下组件多为上一代P型PERC技术，650Wp组件采用N型TOPCon电池技术及半片封装工艺，组件平均效率显著高于P型组件。用大容量光伏组件可以有效减少土地占用面积；相同容量的光伏电站，大容量光伏组件数量更少，连接组件的直流电缆也越少，可以降低投资，也可以降低直流损耗，提高光伏电站系统发电效率。</w:t>
      </w:r>
    </w:p>
    <w:p w14:paraId="31A03B11">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val="en-US" w:eastAsia="zh-CN" w:bidi="ar"/>
        </w:rPr>
        <w:t>综合考虑组件单体功率大小、本项目场地的实用性及实际商业应用的性能稳定可靠性，本期工程拟选用单体功率为</w:t>
      </w:r>
      <w:r>
        <w:rPr>
          <w:rFonts w:hint="eastAsia" w:ascii="宋体" w:hAnsi="宋体" w:eastAsia="宋体" w:cs="宋体"/>
          <w:b/>
          <w:bCs/>
          <w:snapToGrid w:val="0"/>
          <w:color w:val="000000"/>
          <w:spacing w:val="0"/>
          <w:w w:val="100"/>
          <w:kern w:val="2"/>
          <w:sz w:val="28"/>
          <w:szCs w:val="28"/>
          <w:lang w:val="en-US" w:eastAsia="zh-CN" w:bidi="ar"/>
        </w:rPr>
        <w:t>650Wp的双面双玻半片N型TOPCon组件</w:t>
      </w:r>
      <w:r>
        <w:rPr>
          <w:rFonts w:hint="eastAsia" w:ascii="宋体" w:hAnsi="宋体" w:eastAsia="宋体" w:cs="宋体"/>
          <w:snapToGrid w:val="0"/>
          <w:color w:val="000000"/>
          <w:spacing w:val="0"/>
          <w:w w:val="100"/>
          <w:kern w:val="2"/>
          <w:sz w:val="28"/>
          <w:szCs w:val="28"/>
          <w:lang w:val="en-US" w:eastAsia="zh-CN" w:bidi="ar"/>
        </w:rPr>
        <w:t>，该组件转换效率为23.3%，各项指标符合招标要求。该型号组件结合了多项高效与创新技术，包括单晶N型TOPCon电池技术及半片的组件封装技术，在提高可靠性的同时实现了组件功率密度的大幅提升。除高功率输出外，还实现了更高的转换率效率，更好可靠性，优异的弱光性能，超低的光致衰减和极低的温度系数，将隐裂及热斑的概率降到近乎为零。</w:t>
      </w:r>
    </w:p>
    <w:p w14:paraId="5C2C2312">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2" w:firstLineChars="200"/>
        <w:jc w:val="both"/>
        <w:textAlignment w:val="baseline"/>
        <w:rPr>
          <w:rFonts w:hint="eastAsia" w:ascii="宋体" w:hAnsi="宋体" w:eastAsia="宋体" w:cs="宋体"/>
          <w:b/>
          <w:bCs/>
          <w:spacing w:val="0"/>
          <w:w w:val="100"/>
          <w:kern w:val="2"/>
          <w:sz w:val="28"/>
          <w:szCs w:val="28"/>
        </w:rPr>
      </w:pPr>
      <w:r>
        <w:rPr>
          <w:rFonts w:hint="eastAsia" w:ascii="宋体" w:hAnsi="宋体" w:eastAsia="宋体" w:cs="宋体"/>
          <w:b/>
          <w:bCs/>
          <w:snapToGrid w:val="0"/>
          <w:color w:val="000000"/>
          <w:spacing w:val="0"/>
          <w:w w:val="100"/>
          <w:kern w:val="2"/>
          <w:sz w:val="28"/>
          <w:szCs w:val="28"/>
          <w:lang w:val="en-US" w:eastAsia="zh-CN" w:bidi="ar"/>
        </w:rPr>
        <w:t>组件技术特性:</w:t>
      </w:r>
    </w:p>
    <w:p w14:paraId="00490006">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val="en-US" w:eastAsia="zh-CN" w:bidi="ar"/>
        </w:rPr>
        <w:t>组件主流电性能参数见表，其主要参数见下表，组件转换效率为23.3%，组件效率方面完全符合招标满分要求。组件已通过CQC、TUV、IEC等第三方机构认证，品质优良。</w:t>
      </w:r>
    </w:p>
    <w:p w14:paraId="4837BFBB">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val="en-US" w:eastAsia="zh-CN" w:bidi="ar"/>
        </w:rPr>
        <w:t>双面双玻半片组件结合高效N型TOPCon双面电池技术和半片结构，不仅能从组件正面吸收能量，而且能从组件背面吸收反射光、散射光，双面率可达80%以上，具有更加出色的发电水平，更低的温度系数，更小的遮挡损失，及更强的机械载荷承受水平。</w:t>
      </w:r>
    </w:p>
    <w:p w14:paraId="258E0410">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val="en-US" w:eastAsia="zh-CN" w:bidi="ar"/>
        </w:rPr>
        <w:t>组件首年衰减≤2%，以后逐年衰减≤0.5%，即第10年组件衰减至94.50%，第25年组件衰减至87.00%，第30年组件衰减至84.50%。</w:t>
      </w:r>
    </w:p>
    <w:p w14:paraId="16FCB15B">
      <w:pPr>
        <w:keepNext w:val="0"/>
        <w:keepLines w:val="0"/>
        <w:widowControl/>
        <w:suppressLineNumbers w:val="0"/>
        <w:kinsoku w:val="0"/>
        <w:autoSpaceDE w:val="0"/>
        <w:autoSpaceDN w:val="0"/>
        <w:adjustRightInd w:val="0"/>
        <w:snapToGrid w:val="0"/>
        <w:spacing w:before="0" w:beforeLines="50" w:beforeAutospacing="0" w:after="0" w:afterLines="50" w:afterAutospacing="0" w:line="360" w:lineRule="auto"/>
        <w:ind w:left="0" w:leftChars="0" w:right="0" w:rightChars="0" w:firstLine="562" w:firstLineChars="200"/>
        <w:jc w:val="center"/>
        <w:textAlignment w:val="baseline"/>
        <w:rPr>
          <w:rFonts w:hint="eastAsia" w:ascii="宋体" w:hAnsi="宋体" w:eastAsia="宋体" w:cs="宋体"/>
          <w:b/>
          <w:bCs/>
          <w:color w:val="000000"/>
          <w:spacing w:val="0"/>
          <w:sz w:val="28"/>
          <w:szCs w:val="28"/>
          <w:vertAlign w:val="baseline"/>
        </w:rPr>
      </w:pPr>
      <w:r>
        <w:rPr>
          <w:rFonts w:hint="eastAsia" w:ascii="宋体" w:hAnsi="宋体" w:eastAsia="宋体" w:cs="宋体"/>
          <w:b/>
          <w:bCs/>
          <w:snapToGrid w:val="0"/>
          <w:color w:val="000000"/>
          <w:spacing w:val="0"/>
          <w:kern w:val="0"/>
          <w:sz w:val="28"/>
          <w:szCs w:val="28"/>
          <w:vertAlign w:val="baseline"/>
          <w:lang w:val="en-US" w:eastAsia="zh-CN" w:bidi="ar"/>
        </w:rPr>
        <w:t>650Wp光伏组件主要参数参考表</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40"/>
        <w:gridCol w:w="4650"/>
      </w:tblGrid>
      <w:tr w14:paraId="03B3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413EEEB6">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8" w:rightChars="0" w:firstLine="0" w:firstLineChars="0"/>
              <w:jc w:val="center"/>
              <w:textAlignment w:val="baseline"/>
              <w:rPr>
                <w:rFonts w:hint="eastAsia" w:ascii="宋体" w:hAnsi="宋体" w:eastAsia="宋体" w:cs="宋体"/>
                <w:b/>
                <w:bCs/>
                <w:color w:val="000000"/>
                <w:spacing w:val="0"/>
                <w:sz w:val="28"/>
                <w:szCs w:val="28"/>
                <w:vertAlign w:val="baseline"/>
              </w:rPr>
            </w:pPr>
            <w:r>
              <w:rPr>
                <w:rFonts w:hint="eastAsia" w:ascii="宋体" w:hAnsi="宋体" w:eastAsia="宋体" w:cs="宋体"/>
                <w:b/>
                <w:bCs/>
                <w:i w:val="0"/>
                <w:snapToGrid w:val="0"/>
                <w:color w:val="000000"/>
                <w:spacing w:val="0"/>
                <w:kern w:val="0"/>
                <w:sz w:val="21"/>
                <w:szCs w:val="21"/>
                <w:vertAlign w:val="baseline"/>
                <w:lang w:val="en-US" w:eastAsia="zh-CN" w:bidi="ar"/>
              </w:rPr>
              <w:t>光伏组件产品型号/性能指标</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center"/>
          </w:tcPr>
          <w:p w14:paraId="418E9D00">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1717" w:leftChars="0" w:right="1717" w:rightChars="0" w:firstLine="0" w:firstLineChars="0"/>
              <w:jc w:val="center"/>
              <w:textAlignment w:val="baseline"/>
              <w:rPr>
                <w:rFonts w:hint="eastAsia" w:ascii="宋体" w:hAnsi="宋体" w:eastAsia="宋体" w:cs="宋体"/>
                <w:b/>
                <w:bCs/>
                <w:color w:val="000000"/>
                <w:spacing w:val="0"/>
                <w:sz w:val="28"/>
                <w:szCs w:val="28"/>
                <w:vertAlign w:val="baseline"/>
              </w:rPr>
            </w:pPr>
            <w:r>
              <w:rPr>
                <w:rFonts w:hint="eastAsia" w:ascii="宋体" w:hAnsi="宋体" w:eastAsia="宋体" w:cs="宋体"/>
                <w:b/>
                <w:bCs/>
                <w:i w:val="0"/>
                <w:snapToGrid w:val="0"/>
                <w:color w:val="000000"/>
                <w:spacing w:val="0"/>
                <w:kern w:val="0"/>
                <w:sz w:val="21"/>
                <w:szCs w:val="21"/>
                <w:vertAlign w:val="baseline"/>
                <w:lang w:val="en-US" w:eastAsia="zh-CN" w:bidi="ar"/>
              </w:rPr>
              <w:t>技术参数</w:t>
            </w:r>
          </w:p>
        </w:tc>
      </w:tr>
      <w:tr w14:paraId="47AA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5EFEF3B5">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4"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电池片数量</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7C526343">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132（半片，2×11×6）</w:t>
            </w:r>
          </w:p>
        </w:tc>
      </w:tr>
      <w:tr w14:paraId="3064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4D93D0B5">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4"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峰值功率（Wp）</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0B5D5168">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650</w:t>
            </w:r>
          </w:p>
        </w:tc>
      </w:tr>
      <w:tr w14:paraId="6890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25D9A642">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输出功率公差（W）</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34C02551">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0～+5</w:t>
            </w:r>
          </w:p>
        </w:tc>
      </w:tr>
      <w:tr w14:paraId="348D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141CF7A2">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4"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最大功率工作电压(V)</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41922770">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37.7</w:t>
            </w:r>
          </w:p>
        </w:tc>
      </w:tr>
      <w:tr w14:paraId="26A2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7ECB5C03">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4"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最大功率工作电流(A)</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5DA587BD">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17.23</w:t>
            </w:r>
          </w:p>
        </w:tc>
      </w:tr>
      <w:tr w14:paraId="0A3B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1C17352B">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2"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开路电压(V)(标准测试条件)</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3C871310">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45.5</w:t>
            </w:r>
          </w:p>
        </w:tc>
      </w:tr>
      <w:tr w14:paraId="7912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64778476">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2"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短路电流(A)(标准测试条件)</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47554A45">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18.35</w:t>
            </w:r>
          </w:p>
        </w:tc>
      </w:tr>
      <w:tr w14:paraId="14B8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5A4EE8D5">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2"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组件效率(%)(标准测试条件)</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35CB6424">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23.3</w:t>
            </w:r>
          </w:p>
        </w:tc>
      </w:tr>
      <w:tr w14:paraId="5266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6E2890EF">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2"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最大系统电压(V)</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2291DAD1">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1500</w:t>
            </w:r>
          </w:p>
        </w:tc>
      </w:tr>
      <w:tr w14:paraId="460E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0EF98C36">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4"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组件工作温度范围(℃)</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4C5C4F8D">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-40～85</w:t>
            </w:r>
          </w:p>
        </w:tc>
      </w:tr>
      <w:tr w14:paraId="2FA5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040F655F">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4"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额定电池工作温度(℃)</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454128C3">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45±2</w:t>
            </w:r>
          </w:p>
        </w:tc>
      </w:tr>
      <w:tr w14:paraId="7F60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2E966DEA">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4"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峰值功率温度系数(%/℃)</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3C2AC356">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-0.29</w:t>
            </w:r>
          </w:p>
        </w:tc>
      </w:tr>
      <w:tr w14:paraId="1A66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13D8D1ED">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4"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开路电压温度系数(%/℃)</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216727FB">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-0.25</w:t>
            </w:r>
          </w:p>
        </w:tc>
      </w:tr>
      <w:tr w14:paraId="791C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6F492EBC">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4"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短路电流温度系数(%/℃)</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7B7A7B4D">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0.045</w:t>
            </w:r>
          </w:p>
        </w:tc>
      </w:tr>
      <w:tr w14:paraId="1C49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036461E1">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2"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最大静载荷(雪压/风压)(Pa)</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573036BE">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5400/2400</w:t>
            </w:r>
          </w:p>
        </w:tc>
      </w:tr>
      <w:tr w14:paraId="4F98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31A45FCF">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4"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组件尺寸(MM)</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53B6351B">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2382×1134×30</w:t>
            </w:r>
          </w:p>
        </w:tc>
      </w:tr>
      <w:tr w14:paraId="381D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40" w:type="dxa"/>
            <w:tcBorders>
              <w:top w:val="single" w:color="000000" w:sz="12" w:space="0"/>
              <w:left w:val="single" w:color="000000" w:sz="12" w:space="0"/>
              <w:bottom w:val="single" w:color="000000" w:sz="12" w:space="0"/>
              <w:right w:val="single" w:color="000000" w:sz="12" w:space="0"/>
            </w:tcBorders>
            <w:shd w:val="clear" w:color="auto" w:fill="auto"/>
            <w:tcMar>
              <w:left w:w="0" w:type="dxa"/>
              <w:right w:w="0" w:type="dxa"/>
            </w:tcMar>
            <w:vAlign w:val="center"/>
          </w:tcPr>
          <w:p w14:paraId="7DE51352">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8" w:rightChars="0" w:firstLine="0" w:firstLineChars="0"/>
              <w:jc w:val="center"/>
              <w:textAlignment w:val="baseline"/>
              <w:rPr>
                <w:rFonts w:hint="eastAsia" w:ascii="宋体" w:hAnsi="宋体" w:eastAsia="宋体" w:cs="宋体"/>
                <w:color w:val="000000"/>
                <w:spacing w:val="0"/>
                <w:sz w:val="28"/>
                <w:szCs w:val="28"/>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重量(kg)</w:t>
            </w:r>
          </w:p>
        </w:tc>
        <w:tc>
          <w:tcPr>
            <w:tcW w:w="4650" w:type="dxa"/>
            <w:tcBorders>
              <w:top w:val="single" w:color="000000" w:sz="12" w:space="0"/>
              <w:left w:val="nil"/>
              <w:bottom w:val="single" w:color="000000" w:sz="12" w:space="0"/>
              <w:right w:val="single" w:color="000000" w:sz="12" w:space="0"/>
            </w:tcBorders>
            <w:shd w:val="clear" w:color="auto" w:fill="auto"/>
            <w:tcMar>
              <w:left w:w="0" w:type="dxa"/>
              <w:right w:w="0" w:type="dxa"/>
            </w:tcMar>
            <w:vAlign w:val="top"/>
          </w:tcPr>
          <w:p w14:paraId="605885A2">
            <w:pPr>
              <w:keepNext w:val="0"/>
              <w:keepLines w:val="0"/>
              <w:widowControl w:val="0"/>
              <w:suppressLineNumbers w:val="0"/>
              <w:kinsoku w:val="0"/>
              <w:topLinePunct/>
              <w:autoSpaceDE w:val="0"/>
              <w:autoSpaceDN/>
              <w:adjustRightInd w:val="0"/>
              <w:snapToGrid w:val="0"/>
              <w:spacing w:before="30" w:beforeLines="50" w:beforeAutospacing="0" w:after="0" w:afterLines="50" w:afterAutospacing="0"/>
              <w:ind w:left="458" w:leftChars="0" w:right="456" w:rightChars="0" w:firstLine="0" w:firstLineChars="0"/>
              <w:jc w:val="center"/>
              <w:textAlignment w:val="baseline"/>
              <w:rPr>
                <w:rFonts w:hint="eastAsia" w:ascii="宋体" w:hAnsi="宋体" w:eastAsia="宋体" w:cs="宋体"/>
                <w:i w:val="0"/>
                <w:color w:val="000000"/>
                <w:spacing w:val="0"/>
                <w:sz w:val="21"/>
                <w:szCs w:val="21"/>
                <w:vertAlign w:val="baseline"/>
              </w:rPr>
            </w:pPr>
            <w:r>
              <w:rPr>
                <w:rFonts w:hint="eastAsia" w:ascii="宋体" w:hAnsi="宋体" w:eastAsia="宋体" w:cs="宋体"/>
                <w:i w:val="0"/>
                <w:snapToGrid w:val="0"/>
                <w:color w:val="000000"/>
                <w:spacing w:val="0"/>
                <w:kern w:val="0"/>
                <w:sz w:val="21"/>
                <w:szCs w:val="21"/>
                <w:vertAlign w:val="baseline"/>
                <w:lang w:val="en-US" w:eastAsia="zh-CN" w:bidi="ar"/>
              </w:rPr>
              <w:t>32.8</w:t>
            </w:r>
          </w:p>
        </w:tc>
      </w:tr>
    </w:tbl>
    <w:p w14:paraId="50CCFE05">
      <w:pPr>
        <w:keepNext w:val="0"/>
        <w:keepLines w:val="0"/>
        <w:widowControl/>
        <w:suppressLineNumbers w:val="0"/>
        <w:kinsoku w:val="0"/>
        <w:autoSpaceDE w:val="0"/>
        <w:autoSpaceDN w:val="0"/>
        <w:adjustRightInd w:val="0"/>
        <w:snapToGrid w:val="0"/>
        <w:spacing w:before="0" w:beforeLines="50" w:beforeAutospacing="0" w:after="0" w:afterLines="50" w:afterAutospacing="0" w:line="360" w:lineRule="auto"/>
        <w:ind w:left="0" w:leftChars="0" w:right="0" w:rightChars="0" w:firstLine="562" w:firstLineChars="200"/>
        <w:jc w:val="center"/>
        <w:textAlignment w:val="baseline"/>
        <w:rPr>
          <w:rFonts w:hint="eastAsia" w:ascii="宋体" w:hAnsi="宋体" w:eastAsia="宋体" w:cs="宋体"/>
          <w:b/>
          <w:bCs/>
          <w:color w:val="000000"/>
          <w:spacing w:val="0"/>
          <w:sz w:val="28"/>
          <w:szCs w:val="28"/>
          <w:vertAlign w:val="baseline"/>
        </w:rPr>
      </w:pPr>
      <w:r>
        <w:rPr>
          <w:rFonts w:hint="eastAsia" w:ascii="宋体" w:hAnsi="宋体" w:eastAsia="宋体" w:cs="宋体"/>
          <w:b/>
          <w:bCs/>
          <w:snapToGrid w:val="0"/>
          <w:color w:val="000000"/>
          <w:spacing w:val="0"/>
          <w:kern w:val="0"/>
          <w:sz w:val="28"/>
          <w:szCs w:val="28"/>
          <w:vertAlign w:val="baseline"/>
          <w:lang w:val="en-US" w:eastAsia="zh-CN" w:bidi="ar"/>
        </w:rPr>
        <w:t>光伏组件主要参考图</w:t>
      </w:r>
    </w:p>
    <w:p w14:paraId="27F21C22">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0" w:firstLineChars="0"/>
        <w:jc w:val="center"/>
        <w:textAlignment w:val="baseline"/>
        <w:rPr>
          <w:rFonts w:hint="eastAsia" w:ascii="宋体" w:hAnsi="宋体" w:eastAsia="宋体" w:cs="宋体"/>
          <w:spacing w:val="0"/>
          <w:w w:val="100"/>
          <w:kern w:val="2"/>
          <w:sz w:val="28"/>
          <w:szCs w:val="28"/>
        </w:rPr>
      </w:pPr>
      <w:r>
        <w:rPr>
          <w:rFonts w:hint="default" w:ascii="Arial" w:hAnsi="Arial" w:eastAsia="Arial" w:cs="Arial"/>
          <w:snapToGrid w:val="0"/>
          <w:color w:val="000000"/>
          <w:kern w:val="0"/>
          <w:sz w:val="21"/>
          <w:szCs w:val="21"/>
          <w:lang w:val="en-US" w:eastAsia="zh-CN" w:bidi="ar"/>
        </w:rPr>
        <w:drawing>
          <wp:inline distT="0" distB="0" distL="114300" distR="114300">
            <wp:extent cx="4831715" cy="6125210"/>
            <wp:effectExtent l="0" t="0" r="6985" b="889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4831715" cy="6125210"/>
                    </a:xfrm>
                    <a:prstGeom prst="rect">
                      <a:avLst/>
                    </a:prstGeom>
                    <a:noFill/>
                    <a:ln w="9525">
                      <a:noFill/>
                    </a:ln>
                  </pic:spPr>
                </pic:pic>
              </a:graphicData>
            </a:graphic>
          </wp:inline>
        </w:drawing>
      </w:r>
    </w:p>
    <w:p w14:paraId="0D61DA8A">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(2)光伏矩阵放置方式</w:t>
      </w:r>
    </w:p>
    <w:p w14:paraId="5E92122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本次光伏矩阵布置范围处于山地丘陵地区，地势上下有一定起伏，同时规划中还要考虑为下方芦竹腾出必要生长空间，采用传统全钢支架结构施工难度高、成本高，因而本项目光伏矩阵安装方式采用柔性光伏支架系统（以下简称柔性支架，柔性支架是一种大跨度多连跨结构，该结构采用两端固定点之间张拉预应力钢丝绳，两端固定点采用刚性结构及外侧斜拉钢绞线的形式提供支撑反力，可实现10~30m的大跨度，适应如山地起伏和植被增加等情况，只需在合适的位置设置基础并张紧预应力钢绞线或钢丝绳即可。</w:t>
      </w:r>
    </w:p>
    <w:p w14:paraId="111E1E6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w w:val="100"/>
          <w:position w:val="0"/>
          <w:sz w:val="28"/>
          <w:szCs w:val="28"/>
          <w:lang w:val="en-US" w:eastAsia="zh-CN"/>
          <w14:textFill>
            <w14:solidFill>
              <w14:schemeClr w14:val="tx1"/>
            </w14:solidFill>
          </w14:textFill>
        </w:rPr>
        <w:t>①</w:t>
      </w: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光伏支架设计</w:t>
      </w:r>
    </w:p>
    <w:p w14:paraId="0B4FC35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光伏支架采用柔性光伏支架，其中主要构件包括，钢立柱、横梁、拉索、锚索、斜支撑、紧固件等。根据具体情况可以加高立柱。在柔性光伏支架两端钢立柱下方设独立基础， 端部钢立柱外侧设斜拉钢绞线， 钢绞线下方为配重式独立基础。</w:t>
      </w:r>
    </w:p>
    <w:p w14:paraId="7C9B546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420" w:firstLineChars="200"/>
        <w:jc w:val="both"/>
        <w:textAlignment w:val="auto"/>
        <w:rPr>
          <w:rFonts w:hint="eastAsia" w:ascii="宋体" w:hAnsi="宋体" w:eastAsia="宋体" w:cs="宋体"/>
          <w:b w:val="0"/>
          <w:bCs w:val="0"/>
          <w:color w:val="0000FF"/>
          <w:spacing w:val="0"/>
          <w:w w:val="100"/>
          <w:position w:val="0"/>
          <w:sz w:val="28"/>
          <w:szCs w:val="28"/>
          <w:lang w:val="en-US" w:eastAsia="zh-CN"/>
        </w:rPr>
      </w:pPr>
      <w:r>
        <w:drawing>
          <wp:anchor distT="0" distB="0" distL="114300" distR="114300" simplePos="0" relativeHeight="251663360" behindDoc="0" locked="0" layoutInCell="1" allowOverlap="1">
            <wp:simplePos x="0" y="0"/>
            <wp:positionH relativeFrom="column">
              <wp:posOffset>50800</wp:posOffset>
            </wp:positionH>
            <wp:positionV relativeFrom="paragraph">
              <wp:posOffset>50800</wp:posOffset>
            </wp:positionV>
            <wp:extent cx="5265420" cy="2922270"/>
            <wp:effectExtent l="0" t="0" r="5080" b="1143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265420" cy="2922270"/>
                    </a:xfrm>
                    <a:prstGeom prst="rect">
                      <a:avLst/>
                    </a:prstGeom>
                    <a:noFill/>
                    <a:ln>
                      <a:noFill/>
                    </a:ln>
                  </pic:spPr>
                </pic:pic>
              </a:graphicData>
            </a:graphic>
          </wp:anchor>
        </w:drawing>
      </w:r>
    </w:p>
    <w:p w14:paraId="67FEE46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42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1489710</wp:posOffset>
            </wp:positionV>
            <wp:extent cx="4156710" cy="3648710"/>
            <wp:effectExtent l="0" t="0" r="8890" b="889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4156710" cy="3648710"/>
                    </a:xfrm>
                    <a:prstGeom prst="rect">
                      <a:avLst/>
                    </a:prstGeom>
                    <a:noFill/>
                    <a:ln>
                      <a:noFill/>
                    </a:ln>
                  </pic:spPr>
                </pic:pic>
              </a:graphicData>
            </a:graphic>
          </wp:anchor>
        </w:drawing>
      </w: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柔性支架上方的钢丝绳系统对端立柱柱顶产生向内的水平拉力， 而斜拉钢绞线在柱顶提供的水平拉力可平衡钢丝绳的水平拉力。斜拉钢绞线有竖直向下的拉力 ， 其在基础位置的竖直向上的拉力， 可通过配重式基础上方的土形成的压力来平衡。</w:t>
      </w:r>
    </w:p>
    <w:p w14:paraId="4F6B078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下面分别就支架部分进行介绍：</w:t>
      </w:r>
    </w:p>
    <w:p w14:paraId="6C8D7FF3">
      <w:pPr>
        <w:keepNext w:val="0"/>
        <w:keepLines w:val="0"/>
        <w:pageBreakBefore w:val="0"/>
        <w:widowControl w:val="0"/>
        <w:numPr>
          <w:ilvl w:val="0"/>
          <w:numId w:val="1"/>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钢支撑架构</w:t>
      </w:r>
    </w:p>
    <w:p w14:paraId="60A3C78A">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支撑系统主要包括立柱（端柱、支撑柱）、横梁（端梁、支撑梁）、锚索。立柱和横梁采用Q235B钢或Q345B钢制作，锚索采用钢丝绳。立柱与基础连接主要用于支撑横梁及导轨等部件；横梁用于安装拉索等部件。</w:t>
      </w:r>
    </w:p>
    <w:p w14:paraId="0FD4B29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锚索主要用于加强横梁及立柱的稳定性。本工程立柱的高度需要根据地势调整，依托地势走向布置，保证最大的采光面积，保证光伏板的倾角满足技术要求。</w:t>
      </w:r>
    </w:p>
    <w:p w14:paraId="3B974474">
      <w:pPr>
        <w:keepNext w:val="0"/>
        <w:keepLines w:val="0"/>
        <w:pageBreakBefore w:val="0"/>
        <w:widowControl w:val="0"/>
        <w:numPr>
          <w:ilvl w:val="0"/>
          <w:numId w:val="1"/>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拉索系统</w:t>
      </w:r>
    </w:p>
    <w:p w14:paraId="7FF3B2C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包括拉索及定制的连接件、固定件。拉索根据不同的风压、雪荷、板的自重及倾角等，通过计算采用不同的钢丝绳制作。</w:t>
      </w:r>
    </w:p>
    <w:p w14:paraId="5CD43EA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光伏板与拉索的固定形式分为横向和纵向两种，四点固定，特殊部位可适当加强。钢索的工艺规范、抗拉强度、年限、防腐、防锈、压套等要符合技术要求。</w:t>
      </w:r>
    </w:p>
    <w:p w14:paraId="03ED0418">
      <w:pPr>
        <w:keepNext w:val="0"/>
        <w:keepLines w:val="0"/>
        <w:pageBreakBefore w:val="0"/>
        <w:widowControl w:val="0"/>
        <w:numPr>
          <w:ilvl w:val="0"/>
          <w:numId w:val="1"/>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稳定系统</w:t>
      </w:r>
    </w:p>
    <w:p w14:paraId="4776F14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通过锚索、拉索以及支撑部分的连接形成空间的网架结构，互相依托保证结构平面内及平面外的稳定性。</w:t>
      </w:r>
    </w:p>
    <w:p w14:paraId="5E5E687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在集中受力点，采用压块、借助地势锚固等形式，增加网架架构的附着力，起到防风卸风的作用，增加稳定性。</w:t>
      </w:r>
    </w:p>
    <w:p w14:paraId="6E82A73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w w:val="100"/>
          <w:position w:val="0"/>
          <w:sz w:val="28"/>
          <w:szCs w:val="28"/>
          <w:lang w:val="en-US" w:eastAsia="zh-CN"/>
          <w14:textFill>
            <w14:solidFill>
              <w14:schemeClr w14:val="tx1"/>
            </w14:solidFill>
          </w14:textFill>
        </w:rPr>
        <w:t>②</w:t>
      </w: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支架铺设技术</w:t>
      </w:r>
    </w:p>
    <w:p w14:paraId="5FE97E7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根据不同的地理位置，地貌特征以及受的荷载情况进行设计，构件要结合实际的跨度、柱距通过计算设计结构方案和结构措施，保证构件的强度、刚度、稳定性。保证拉索以及横梁的挠度要求。根据不同的温、湿度环境以及特殊要求的地区采取特殊的防腐处理。</w:t>
      </w:r>
    </w:p>
    <w:p w14:paraId="4F45847B">
      <w:pPr>
        <w:keepNext w:val="0"/>
        <w:keepLines w:val="0"/>
        <w:pageBreakBefore w:val="0"/>
        <w:widowControl w:val="0"/>
        <w:numPr>
          <w:ilvl w:val="0"/>
          <w:numId w:val="2"/>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支架跨度：</w:t>
      </w:r>
    </w:p>
    <w:p w14:paraId="7F3D641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端柱的间距一般采用6米典型设计，可根据地势在3~9米中选择。跨度一般采用10~20米设计，具体尺寸根据地势进行选择。总跨度一般不超过</w:t>
      </w: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60</w:t>
      </w: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米。</w:t>
      </w: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本项目跨度采用30米。</w:t>
      </w:r>
    </w:p>
    <w:p w14:paraId="7666BCE4">
      <w:pPr>
        <w:keepNext w:val="0"/>
        <w:keepLines w:val="0"/>
        <w:pageBreakBefore w:val="0"/>
        <w:widowControl w:val="0"/>
        <w:numPr>
          <w:ilvl w:val="0"/>
          <w:numId w:val="3"/>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钢立柱高度：</w:t>
      </w:r>
    </w:p>
    <w:p w14:paraId="66C1669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柔性支架由于采用大跨距，中间立柱数量减少，此种结构的造价对高度敏感性大大降低，因此适于构造更高净空的光伏支架。根据系统设计及具体需要,柔性固定支架方案，组件下沿距地高度可在1 m~9 m内调整。由于本次光伏组件下需要种植较高作物的芦竹，因而组件铺设高度距离地面控制到7m。</w:t>
      </w:r>
    </w:p>
    <w:p w14:paraId="1FFBFAB2">
      <w:pPr>
        <w:keepNext w:val="0"/>
        <w:keepLines w:val="0"/>
        <w:pageBreakBefore w:val="0"/>
        <w:widowControl w:val="0"/>
        <w:numPr>
          <w:ilvl w:val="0"/>
          <w:numId w:val="3"/>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方阵倾角及间距控制</w:t>
      </w:r>
    </w:p>
    <w:p w14:paraId="5D430B7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光伏组件方阵的安装倾角对光伏发电系统的效率影响较大，对于固定式电池列阵最佳倾角即光伏发电系统全年发电量最大时的倾角。</w:t>
      </w:r>
    </w:p>
    <w:p w14:paraId="42F86F3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根据光伏软件PVSYST5_0光伏模拟组件在以20°倾角时其表面获取的太阳辐射量较大，且全年各月光伏组件表面获取的太阳辐射量比较均衡，各月的发电量也将会比较均衡。</w:t>
      </w:r>
    </w:p>
    <w:p w14:paraId="4E40964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42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-44450</wp:posOffset>
            </wp:positionH>
            <wp:positionV relativeFrom="paragraph">
              <wp:posOffset>33020</wp:posOffset>
            </wp:positionV>
            <wp:extent cx="5205730" cy="2265045"/>
            <wp:effectExtent l="0" t="0" r="1270" b="8255"/>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rcRect l="1276" t="2859"/>
                    <a:stretch>
                      <a:fillRect/>
                    </a:stretch>
                  </pic:blipFill>
                  <pic:spPr>
                    <a:xfrm>
                      <a:off x="0" y="0"/>
                      <a:ext cx="5205730" cy="2265045"/>
                    </a:xfrm>
                    <a:prstGeom prst="rect">
                      <a:avLst/>
                    </a:prstGeom>
                    <a:noFill/>
                    <a:ln>
                      <a:noFill/>
                    </a:ln>
                  </pic:spPr>
                </pic:pic>
              </a:graphicData>
            </a:graphic>
          </wp:anchor>
        </w:drawing>
      </w: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方阵倾角确定后，要注意南北向前后方阵间要留出合理的间距，以免前后出现阴影遮挡，前后间距为：冬至日（一年当中物体在太阳下阴影长度最长的一天）上午9：00到下午3：00，光伏组件之间南北方向无阴影遮挡。固定方阵安装好后倾角不再调整。</w:t>
      </w:r>
    </w:p>
    <w:p w14:paraId="2D4D16D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本项目固定倾角支架的光伏组件排布方式为：光伏组件横向单块放置，两块光伏组件之间留有200mm的间隙，故晶体硅固定支架单元倾斜面的宽为992mm。</w:t>
      </w:r>
    </w:p>
    <w:p w14:paraId="28C162D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计算当光伏方阵前后安装时的最小间距D，如下图所示：</w:t>
      </w:r>
    </w:p>
    <w:p w14:paraId="714A940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42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95250</wp:posOffset>
            </wp:positionH>
            <wp:positionV relativeFrom="paragraph">
              <wp:posOffset>81280</wp:posOffset>
            </wp:positionV>
            <wp:extent cx="5270500" cy="3568065"/>
            <wp:effectExtent l="0" t="0" r="0" b="635"/>
            <wp:wrapTopAndBottom/>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5270500" cy="3568065"/>
                    </a:xfrm>
                    <a:prstGeom prst="rect">
                      <a:avLst/>
                    </a:prstGeom>
                    <a:noFill/>
                    <a:ln>
                      <a:noFill/>
                    </a:ln>
                  </pic:spPr>
                </pic:pic>
              </a:graphicData>
            </a:graphic>
          </wp:anchor>
        </w:drawing>
      </w:r>
      <w:r>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通过计算得到：固定光伏方阵的前后排中心间距为1600mm时可以保证南、北两排方阵在上午9点到下午3点之间，前排不对后排造成遮挡。</w:t>
      </w:r>
    </w:p>
    <w:p w14:paraId="72177F6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firstLine="560" w:firstLineChars="200"/>
        <w:jc w:val="both"/>
        <w:textAlignment w:val="auto"/>
        <w:rPr>
          <w:rFonts w:hint="default"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8"/>
          <w:szCs w:val="28"/>
          <w:lang w:val="en-US" w:eastAsia="zh-CN"/>
          <w14:textFill>
            <w14:solidFill>
              <w14:schemeClr w14:val="tx1"/>
            </w14:solidFill>
          </w14:textFill>
        </w:rPr>
        <w:t>效果附图：</w:t>
      </w:r>
    </w:p>
    <w:p w14:paraId="4A0869B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right="0" w:rightChars="0"/>
        <w:jc w:val="both"/>
        <w:textAlignment w:val="auto"/>
        <w:rPr>
          <w:rFonts w:hint="default" w:ascii="宋体" w:hAnsi="宋体" w:eastAsia="宋体" w:cs="宋体"/>
          <w:b w:val="0"/>
          <w:bCs w:val="0"/>
          <w:color w:val="0000FF"/>
          <w:spacing w:val="0"/>
          <w:w w:val="100"/>
          <w:position w:val="0"/>
          <w:sz w:val="28"/>
          <w:szCs w:val="28"/>
          <w:lang w:val="en-US" w:eastAsia="zh-CN"/>
        </w:rPr>
      </w:pPr>
      <w:r>
        <w:drawing>
          <wp:anchor distT="0" distB="0" distL="114300" distR="114300" simplePos="0" relativeHeight="251666432" behindDoc="0" locked="0" layoutInCell="1" allowOverlap="1">
            <wp:simplePos x="0" y="0"/>
            <wp:positionH relativeFrom="column">
              <wp:posOffset>152400</wp:posOffset>
            </wp:positionH>
            <wp:positionV relativeFrom="paragraph">
              <wp:posOffset>175260</wp:posOffset>
            </wp:positionV>
            <wp:extent cx="5173345" cy="3961130"/>
            <wp:effectExtent l="0" t="0" r="8255" b="1270"/>
            <wp:wrapTopAndBottom/>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5173345" cy="3961130"/>
                    </a:xfrm>
                    <a:prstGeom prst="rect">
                      <a:avLst/>
                    </a:prstGeom>
                    <a:noFill/>
                    <a:ln>
                      <a:noFill/>
                    </a:ln>
                  </pic:spPr>
                </pic:pic>
              </a:graphicData>
            </a:graphic>
          </wp:anchor>
        </w:drawing>
      </w:r>
    </w:p>
    <w:p w14:paraId="08E2056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（3）系统接入方案与防雷接地方案</w:t>
      </w:r>
    </w:p>
    <w:p w14:paraId="790D19F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接入方案：由于项目光伏铺设规模较为分散，所以按分别采用1个10kv接入点进行考虑，逆变器经升压箱变升压至10kv后，就近接入10kv电网，最终以电力公司审定的接入系统报告为准。接入电缆拟采用地埋方式。对于电缆型集电线路采用直埋敷设，暂采用铝合金三芯铠装电缆，主要原则是沿着道路敷设，便于敷设检修维护。</w:t>
      </w:r>
    </w:p>
    <w:p w14:paraId="08C2D7E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防雷接地方案：</w:t>
      </w:r>
    </w:p>
    <w:p w14:paraId="0AFCD02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① 太阳能光伏组件与金属屋面及建筑物主体避雷系统做可靠连接，能够有效的将入侵雷电导入大地。</w:t>
      </w:r>
    </w:p>
    <w:p w14:paraId="638F401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② 所有布置的线槽金属外壳与建筑物主体接地系作可靠接地连接，起到有效防雷和削减雷电影响。</w:t>
      </w:r>
    </w:p>
    <w:p w14:paraId="1DCB159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③ 太阳能电池直流侧均采用防雷电涌保护器，起到防雷击保护作用。针对沿直流输入线侵入的感应雷在太阳电池方阵的汇线盒内进行一级防雷保护，安装防雷过电压浪涌保护器，起到保护光伏系统作用。</w:t>
      </w:r>
    </w:p>
    <w:p w14:paraId="49CDFD1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④ 逆变器交流输出侧逆变器有防雷、过压、欠压、漏电等各种保护功能，起到防雷击保护作用；同时逆变器交流输出与外部公共电网并接，外部公共电网的防雷系统起到有效地保护。</w:t>
      </w:r>
    </w:p>
    <w:p w14:paraId="225E684A">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val="en-US" w:eastAsia="zh-CN" w:bidi="ar"/>
        </w:rPr>
      </w:pPr>
      <w:r>
        <w:rPr>
          <w:rFonts w:hint="eastAsia" w:ascii="宋体" w:hAnsi="宋体" w:eastAsia="宋体" w:cs="宋体"/>
          <w:snapToGrid w:val="0"/>
          <w:color w:val="000000"/>
          <w:spacing w:val="0"/>
          <w:w w:val="100"/>
          <w:kern w:val="2"/>
          <w:sz w:val="28"/>
          <w:szCs w:val="28"/>
          <w:lang w:bidi="ar"/>
        </w:rPr>
        <w:t>（4）储能电池</w:t>
      </w:r>
      <w:r>
        <w:rPr>
          <w:rFonts w:hint="eastAsia" w:ascii="宋体" w:hAnsi="宋体" w:eastAsia="宋体" w:cs="宋体"/>
          <w:snapToGrid w:val="0"/>
          <w:color w:val="000000"/>
          <w:spacing w:val="0"/>
          <w:w w:val="100"/>
          <w:kern w:val="2"/>
          <w:sz w:val="28"/>
          <w:szCs w:val="28"/>
          <w:lang w:val="en-US" w:eastAsia="zh-CN" w:bidi="ar"/>
        </w:rPr>
        <w:t>方案</w:t>
      </w:r>
    </w:p>
    <w:p w14:paraId="78001A6D">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储能电池是存储电能以备将来使用的一种新型能源管理技术，同时也是目前新能源发电不可或缺的配套设施。储能电池可以平衡电力系统的供需不平衡，解决可再生能源波动性的问题。通过在低电需求时存储多余的能量，然后在高需求时释放，储能电池有助于提高电网的稳定性和可靠性。</w:t>
      </w:r>
    </w:p>
    <w:p w14:paraId="3A827246">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本项目电网侧储能系统总容量为</w:t>
      </w:r>
      <w:r>
        <w:rPr>
          <w:rFonts w:hint="eastAsia" w:ascii="宋体" w:hAnsi="宋体" w:eastAsia="宋体" w:cs="宋体"/>
          <w:snapToGrid w:val="0"/>
          <w:color w:val="000000"/>
          <w:spacing w:val="0"/>
          <w:w w:val="100"/>
          <w:kern w:val="2"/>
          <w:sz w:val="28"/>
          <w:szCs w:val="28"/>
          <w:lang w:eastAsia="zh-CN" w:bidi="ar"/>
        </w:rPr>
        <w:t>1MW/2MWh</w:t>
      </w:r>
      <w:r>
        <w:rPr>
          <w:rFonts w:hint="eastAsia" w:ascii="宋体" w:hAnsi="宋体" w:eastAsia="宋体" w:cs="宋体"/>
          <w:snapToGrid w:val="0"/>
          <w:color w:val="000000"/>
          <w:spacing w:val="0"/>
          <w:w w:val="100"/>
          <w:kern w:val="2"/>
          <w:sz w:val="28"/>
          <w:szCs w:val="28"/>
          <w:lang w:bidi="ar"/>
        </w:rPr>
        <w:t>，由</w:t>
      </w:r>
      <w:r>
        <w:rPr>
          <w:rFonts w:hint="eastAsia" w:ascii="宋体" w:hAnsi="宋体" w:eastAsia="宋体" w:cs="宋体"/>
          <w:snapToGrid w:val="0"/>
          <w:color w:val="000000"/>
          <w:spacing w:val="0"/>
          <w:w w:val="100"/>
          <w:kern w:val="2"/>
          <w:sz w:val="28"/>
          <w:szCs w:val="28"/>
          <w:lang w:eastAsia="zh-CN" w:bidi="ar"/>
        </w:rPr>
        <w:t>3套1MW/2MWh</w:t>
      </w:r>
      <w:r>
        <w:rPr>
          <w:rFonts w:hint="eastAsia" w:ascii="宋体" w:hAnsi="宋体" w:eastAsia="宋体" w:cs="宋体"/>
          <w:snapToGrid w:val="0"/>
          <w:color w:val="000000"/>
          <w:spacing w:val="0"/>
          <w:w w:val="100"/>
          <w:kern w:val="2"/>
          <w:sz w:val="28"/>
          <w:szCs w:val="28"/>
          <w:lang w:bidi="ar"/>
        </w:rPr>
        <w:t>储能预制舱组成。本工程选用磷酸铁锂（LFP）电芯，基于以下考量：安全性方面，磷酸铁锂热稳定性优于三元锂，热失控温度高达270度以上，更适用于电力储能场合；循环寿命达6000次以上（@80% DOD），满足8~10年使用寿命；产能充足，价格下降趋势明确；支持0.25C充放电倍率，响应速度快，转换效率高。</w:t>
      </w:r>
    </w:p>
    <w:p w14:paraId="247FA7A3">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①电芯参数</w:t>
      </w:r>
    </w:p>
    <w:p w14:paraId="3D72EA4D">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本工程选用314Ah大容量磷酸铁锂电芯，为目前国内5MWh液冷储能系统的行业主流选型。该电芯采用宁德时代、亿纬锂能等头部企业量产产品，具有高能量密度、长循环寿命、高安全性的特点。</w:t>
      </w:r>
    </w:p>
    <w:p w14:paraId="27A8A120">
      <w:pPr>
        <w:kinsoku/>
        <w:autoSpaceDE/>
        <w:autoSpaceDN/>
        <w:adjustRightInd/>
        <w:snapToGrid/>
        <w:spacing w:before="200" w:after="100" w:line="400" w:lineRule="exact"/>
        <w:ind w:firstLine="0"/>
        <w:jc w:val="center"/>
        <w:textAlignment w:val="auto"/>
        <w:rPr>
          <w:rFonts w:ascii="Times New Roman" w:hAnsi="Times New Roman" w:eastAsia="仿宋" w:cs="Times New Roman"/>
          <w:snapToGrid/>
          <w:kern w:val="0"/>
          <w:sz w:val="32"/>
          <w:szCs w:val="32"/>
        </w:rPr>
      </w:pPr>
      <w:r>
        <w:rPr>
          <w:rFonts w:ascii="Times New Roman" w:hAnsi="Times New Roman" w:eastAsia="黑体" w:cs="Times New Roman"/>
          <w:b/>
          <w:bCs/>
          <w:snapToGrid/>
          <w:kern w:val="0"/>
          <w:sz w:val="28"/>
          <w:szCs w:val="32"/>
        </w:rPr>
        <w:t>电芯参数表</w:t>
      </w:r>
    </w:p>
    <w:tbl>
      <w:tblPr>
        <w:tblStyle w:val="14"/>
        <w:tblW w:w="5000" w:type="pct"/>
        <w:jc w:val="center"/>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4095"/>
        <w:gridCol w:w="4231"/>
      </w:tblGrid>
      <w:tr w14:paraId="23B85741">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6E105F9B">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项目</w:t>
            </w:r>
          </w:p>
        </w:tc>
        <w:tc>
          <w:tcPr>
            <w:tcW w:w="5000" w:type="dxa"/>
            <w:vAlign w:val="center"/>
          </w:tcPr>
          <w:p w14:paraId="7693038F">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参数</w:t>
            </w:r>
          </w:p>
        </w:tc>
      </w:tr>
      <w:tr w14:paraId="6129F572">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5581C443">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电芯类型</w:t>
            </w:r>
          </w:p>
        </w:tc>
        <w:tc>
          <w:tcPr>
            <w:tcW w:w="5000" w:type="dxa"/>
            <w:vAlign w:val="center"/>
          </w:tcPr>
          <w:p w14:paraId="49ED52D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磷酸铁锂（LFP）</w:t>
            </w:r>
          </w:p>
        </w:tc>
      </w:tr>
      <w:tr w14:paraId="4366E46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6C0955D7">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额定容量</w:t>
            </w:r>
          </w:p>
        </w:tc>
        <w:tc>
          <w:tcPr>
            <w:tcW w:w="5000" w:type="dxa"/>
            <w:vAlign w:val="center"/>
          </w:tcPr>
          <w:p w14:paraId="3BB45932">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314Ah</w:t>
            </w:r>
          </w:p>
        </w:tc>
      </w:tr>
      <w:tr w14:paraId="1CB261D2">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718EC924">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额定电压</w:t>
            </w:r>
          </w:p>
        </w:tc>
        <w:tc>
          <w:tcPr>
            <w:tcW w:w="5000" w:type="dxa"/>
            <w:vAlign w:val="center"/>
          </w:tcPr>
          <w:p w14:paraId="04BF2FB3">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3.2V</w:t>
            </w:r>
          </w:p>
        </w:tc>
      </w:tr>
      <w:tr w14:paraId="1AC4B935">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7ED23A4C">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能量密度</w:t>
            </w:r>
          </w:p>
        </w:tc>
        <w:tc>
          <w:tcPr>
            <w:tcW w:w="5000" w:type="dxa"/>
            <w:vAlign w:val="center"/>
          </w:tcPr>
          <w:p w14:paraId="08C365CD">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约170Wh/kg</w:t>
            </w:r>
          </w:p>
        </w:tc>
      </w:tr>
      <w:tr w14:paraId="3B2BB0D2">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03EFD4E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循环寿命</w:t>
            </w:r>
          </w:p>
        </w:tc>
        <w:tc>
          <w:tcPr>
            <w:tcW w:w="5000" w:type="dxa"/>
            <w:vAlign w:val="center"/>
          </w:tcPr>
          <w:p w14:paraId="783ED778">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&gt;=6000次（80% DOD）</w:t>
            </w:r>
          </w:p>
        </w:tc>
      </w:tr>
      <w:tr w14:paraId="5A72693A">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9344172">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工作温度</w:t>
            </w:r>
          </w:p>
        </w:tc>
        <w:tc>
          <w:tcPr>
            <w:tcW w:w="5000" w:type="dxa"/>
            <w:vAlign w:val="center"/>
          </w:tcPr>
          <w:p w14:paraId="36A9804F">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充电：0~50度；放电：-20~55度</w:t>
            </w:r>
          </w:p>
        </w:tc>
      </w:tr>
      <w:tr w14:paraId="66EB23C0">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112B2C8">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尺寸(mm)</w:t>
            </w:r>
          </w:p>
        </w:tc>
        <w:tc>
          <w:tcPr>
            <w:tcW w:w="5000" w:type="dxa"/>
            <w:vAlign w:val="center"/>
          </w:tcPr>
          <w:p w14:paraId="4BC99AF9">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约174x204x72</w:t>
            </w:r>
          </w:p>
        </w:tc>
      </w:tr>
      <w:tr w14:paraId="419B2856">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3080D78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重量(kg)</w:t>
            </w:r>
          </w:p>
        </w:tc>
        <w:tc>
          <w:tcPr>
            <w:tcW w:w="5000" w:type="dxa"/>
            <w:vAlign w:val="center"/>
          </w:tcPr>
          <w:p w14:paraId="05CC4067">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约5.5</w:t>
            </w:r>
          </w:p>
        </w:tc>
      </w:tr>
    </w:tbl>
    <w:p w14:paraId="53EDC20C">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②电池模组（PACK）</w:t>
      </w:r>
    </w:p>
    <w:p w14:paraId="20C254CF">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电池模组采用1P52S成组架构，由4个1P13S子模组串联组成。每个PACK集成52通道BMU从控单元，用于电芯电压及温度状态采样。模组采用抽屉式设计，前端预留维修窗口，外侧配置通讯口、消防喷淋进水口和泄压防爆阀。</w:t>
      </w:r>
    </w:p>
    <w:p w14:paraId="742FFD83">
      <w:pPr>
        <w:kinsoku/>
        <w:autoSpaceDE/>
        <w:autoSpaceDN/>
        <w:adjustRightInd/>
        <w:snapToGrid/>
        <w:spacing w:before="200" w:after="100" w:line="400" w:lineRule="exact"/>
        <w:ind w:firstLine="0"/>
        <w:jc w:val="center"/>
        <w:textAlignment w:val="auto"/>
        <w:rPr>
          <w:rFonts w:ascii="Times New Roman" w:hAnsi="Times New Roman" w:eastAsia="仿宋" w:cs="Times New Roman"/>
          <w:snapToGrid/>
          <w:kern w:val="0"/>
          <w:sz w:val="32"/>
          <w:szCs w:val="32"/>
        </w:rPr>
      </w:pPr>
      <w:r>
        <w:rPr>
          <w:rFonts w:ascii="Times New Roman" w:hAnsi="Times New Roman" w:eastAsia="黑体" w:cs="Times New Roman"/>
          <w:b/>
          <w:bCs/>
          <w:snapToGrid/>
          <w:kern w:val="0"/>
          <w:sz w:val="28"/>
          <w:szCs w:val="32"/>
        </w:rPr>
        <w:t>电池模组（PACK）参数表</w:t>
      </w:r>
    </w:p>
    <w:tbl>
      <w:tblPr>
        <w:tblStyle w:val="14"/>
        <w:tblW w:w="5000" w:type="pct"/>
        <w:jc w:val="center"/>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3977"/>
        <w:gridCol w:w="4349"/>
      </w:tblGrid>
      <w:tr w14:paraId="2FE721AE">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06681E41">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项目</w:t>
            </w:r>
          </w:p>
        </w:tc>
        <w:tc>
          <w:tcPr>
            <w:tcW w:w="5000" w:type="dxa"/>
            <w:vAlign w:val="center"/>
          </w:tcPr>
          <w:p w14:paraId="16B8B147">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参数</w:t>
            </w:r>
          </w:p>
        </w:tc>
      </w:tr>
      <w:tr w14:paraId="4862BD36">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3959008F">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成组方式</w:t>
            </w:r>
          </w:p>
        </w:tc>
        <w:tc>
          <w:tcPr>
            <w:tcW w:w="5000" w:type="dxa"/>
            <w:vAlign w:val="center"/>
          </w:tcPr>
          <w:p w14:paraId="4B20B88F">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1P52S（4个1P13S子模组串联）</w:t>
            </w:r>
          </w:p>
        </w:tc>
      </w:tr>
      <w:tr w14:paraId="4A9168CC">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5E2E366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额定电压</w:t>
            </w:r>
          </w:p>
        </w:tc>
        <w:tc>
          <w:tcPr>
            <w:tcW w:w="5000" w:type="dxa"/>
            <w:vAlign w:val="center"/>
          </w:tcPr>
          <w:p w14:paraId="2C3F2FF6">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166.4V（52x3.2V）</w:t>
            </w:r>
          </w:p>
        </w:tc>
      </w:tr>
      <w:tr w14:paraId="2CDC835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33F49288">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工作电压范围</w:t>
            </w:r>
          </w:p>
        </w:tc>
        <w:tc>
          <w:tcPr>
            <w:tcW w:w="5000" w:type="dxa"/>
            <w:vAlign w:val="center"/>
          </w:tcPr>
          <w:p w14:paraId="11D9F9F6">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140.4V~189.8V</w:t>
            </w:r>
          </w:p>
        </w:tc>
      </w:tr>
      <w:tr w14:paraId="5B4DA98E">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070D095B">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额定容量</w:t>
            </w:r>
          </w:p>
        </w:tc>
        <w:tc>
          <w:tcPr>
            <w:tcW w:w="5000" w:type="dxa"/>
            <w:vAlign w:val="center"/>
          </w:tcPr>
          <w:p w14:paraId="50B5FC60">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52.25kWh（314Ahx166.4V）</w:t>
            </w:r>
          </w:p>
        </w:tc>
      </w:tr>
      <w:tr w14:paraId="7EB9D17C">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55B76599">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电芯配置</w:t>
            </w:r>
          </w:p>
        </w:tc>
        <w:tc>
          <w:tcPr>
            <w:tcW w:w="5000" w:type="dxa"/>
            <w:vAlign w:val="center"/>
          </w:tcPr>
          <w:p w14:paraId="5A0F241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52只314Ah LFP电芯</w:t>
            </w:r>
          </w:p>
        </w:tc>
      </w:tr>
      <w:tr w14:paraId="0A47BD6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4C5838CE">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冷却方式</w:t>
            </w:r>
          </w:p>
        </w:tc>
        <w:tc>
          <w:tcPr>
            <w:tcW w:w="5000" w:type="dxa"/>
            <w:vAlign w:val="center"/>
          </w:tcPr>
          <w:p w14:paraId="2D112444">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液冷板全贴合</w:t>
            </w:r>
          </w:p>
        </w:tc>
      </w:tr>
      <w:tr w14:paraId="7B22E601">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D017742">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防护等级</w:t>
            </w:r>
          </w:p>
        </w:tc>
        <w:tc>
          <w:tcPr>
            <w:tcW w:w="5000" w:type="dxa"/>
            <w:vAlign w:val="center"/>
          </w:tcPr>
          <w:p w14:paraId="3B970062">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IP67</w:t>
            </w:r>
          </w:p>
        </w:tc>
      </w:tr>
      <w:tr w14:paraId="07134EC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2D85AAFE">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消防</w:t>
            </w:r>
          </w:p>
        </w:tc>
        <w:tc>
          <w:tcPr>
            <w:tcW w:w="5000" w:type="dxa"/>
            <w:vAlign w:val="center"/>
          </w:tcPr>
          <w:p w14:paraId="43C2451B">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pack级探测+全氟己酮</w:t>
            </w:r>
          </w:p>
        </w:tc>
      </w:tr>
      <w:tr w14:paraId="70796B46">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52CE04E3">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绝缘要求</w:t>
            </w:r>
          </w:p>
        </w:tc>
        <w:tc>
          <w:tcPr>
            <w:tcW w:w="5000" w:type="dxa"/>
            <w:vAlign w:val="center"/>
          </w:tcPr>
          <w:p w14:paraId="2A3F2E50">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&gt;=10兆欧</w:t>
            </w:r>
          </w:p>
        </w:tc>
      </w:tr>
    </w:tbl>
    <w:p w14:paraId="48C3917D">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③电池簇（Battery Cluster）</w:t>
      </w:r>
    </w:p>
    <w:p w14:paraId="159AC99E">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电池簇采用1P416S成组架构，由8个电池模组（PACK）串联组成。每个电池簇配置独立的电控箱，集成簇级BMS主控单元（BCU），监测簇级绝缘、总压、电流、电控箱内电气件温度，控制继电器、隔离开关的开合与关断。8个PACK串联后形成1331.2V高压直流系统，可直接接入1500V储能变流器。</w:t>
      </w:r>
    </w:p>
    <w:p w14:paraId="1F399458">
      <w:pPr>
        <w:kinsoku/>
        <w:autoSpaceDE/>
        <w:autoSpaceDN/>
        <w:adjustRightInd/>
        <w:snapToGrid/>
        <w:spacing w:before="200" w:after="100" w:line="400" w:lineRule="exact"/>
        <w:ind w:firstLine="0"/>
        <w:jc w:val="center"/>
        <w:textAlignment w:val="auto"/>
        <w:rPr>
          <w:rFonts w:ascii="Times New Roman" w:hAnsi="Times New Roman" w:eastAsia="仿宋" w:cs="Times New Roman"/>
          <w:snapToGrid/>
          <w:kern w:val="0"/>
          <w:sz w:val="32"/>
          <w:szCs w:val="32"/>
        </w:rPr>
      </w:pPr>
      <w:r>
        <w:rPr>
          <w:rFonts w:ascii="Times New Roman" w:hAnsi="Times New Roman" w:eastAsia="黑体" w:cs="Times New Roman"/>
          <w:b/>
          <w:bCs/>
          <w:snapToGrid/>
          <w:kern w:val="0"/>
          <w:sz w:val="28"/>
          <w:szCs w:val="32"/>
        </w:rPr>
        <w:t>电池簇参数表</w:t>
      </w:r>
    </w:p>
    <w:tbl>
      <w:tblPr>
        <w:tblStyle w:val="14"/>
        <w:tblW w:w="5000" w:type="pct"/>
        <w:jc w:val="center"/>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3996"/>
        <w:gridCol w:w="4330"/>
      </w:tblGrid>
      <w:tr w14:paraId="1C7F6173">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5FD0F095">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项目</w:t>
            </w:r>
          </w:p>
        </w:tc>
        <w:tc>
          <w:tcPr>
            <w:tcW w:w="5000" w:type="dxa"/>
            <w:vAlign w:val="center"/>
          </w:tcPr>
          <w:p w14:paraId="3282BB95">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参数</w:t>
            </w:r>
          </w:p>
        </w:tc>
      </w:tr>
      <w:tr w14:paraId="3570A8CE">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706772BE">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成组方式</w:t>
            </w:r>
          </w:p>
        </w:tc>
        <w:tc>
          <w:tcPr>
            <w:tcW w:w="5000" w:type="dxa"/>
            <w:vAlign w:val="center"/>
          </w:tcPr>
          <w:p w14:paraId="0A992E28">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1P416S（8个1P52S PACK串联）</w:t>
            </w:r>
          </w:p>
        </w:tc>
      </w:tr>
      <w:tr w14:paraId="7E417685">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37319054">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额定电压</w:t>
            </w:r>
          </w:p>
        </w:tc>
        <w:tc>
          <w:tcPr>
            <w:tcW w:w="5000" w:type="dxa"/>
            <w:vAlign w:val="center"/>
          </w:tcPr>
          <w:p w14:paraId="6A2510D7">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1331.2V（416x3.2V）</w:t>
            </w:r>
          </w:p>
        </w:tc>
      </w:tr>
      <w:tr w14:paraId="7C4B55EE">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27B7E484">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工作电压范围</w:t>
            </w:r>
          </w:p>
        </w:tc>
        <w:tc>
          <w:tcPr>
            <w:tcW w:w="5000" w:type="dxa"/>
            <w:vAlign w:val="center"/>
          </w:tcPr>
          <w:p w14:paraId="4604121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1164.8V~1497.6V</w:t>
            </w:r>
          </w:p>
        </w:tc>
      </w:tr>
      <w:tr w14:paraId="6C9E9512">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623F5947">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额定能量</w:t>
            </w:r>
          </w:p>
        </w:tc>
        <w:tc>
          <w:tcPr>
            <w:tcW w:w="5000" w:type="dxa"/>
            <w:vAlign w:val="center"/>
          </w:tcPr>
          <w:p w14:paraId="76C93B92">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约418kWh（314Ahx1331.2V）</w:t>
            </w:r>
          </w:p>
        </w:tc>
      </w:tr>
      <w:tr w14:paraId="6059BD66">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7B4AEDF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PACK数量</w:t>
            </w:r>
          </w:p>
        </w:tc>
        <w:tc>
          <w:tcPr>
            <w:tcW w:w="5000" w:type="dxa"/>
            <w:vAlign w:val="center"/>
          </w:tcPr>
          <w:p w14:paraId="05990026">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8个</w:t>
            </w:r>
          </w:p>
        </w:tc>
      </w:tr>
      <w:tr w14:paraId="5C8F12D5">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C262F73">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电芯总数</w:t>
            </w:r>
          </w:p>
        </w:tc>
        <w:tc>
          <w:tcPr>
            <w:tcW w:w="5000" w:type="dxa"/>
            <w:vAlign w:val="center"/>
          </w:tcPr>
          <w:p w14:paraId="0540D9F3">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416只</w:t>
            </w:r>
          </w:p>
        </w:tc>
      </w:tr>
      <w:tr w14:paraId="46ADFE2D">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557003C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最大连续充放电功率</w:t>
            </w:r>
          </w:p>
        </w:tc>
        <w:tc>
          <w:tcPr>
            <w:tcW w:w="5000" w:type="dxa"/>
            <w:vAlign w:val="center"/>
          </w:tcPr>
          <w:p w14:paraId="00C7CCE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约209kW</w:t>
            </w:r>
          </w:p>
        </w:tc>
      </w:tr>
      <w:tr w14:paraId="7F1622FC">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73D5AD9C">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冷却方式</w:t>
            </w:r>
          </w:p>
        </w:tc>
        <w:tc>
          <w:tcPr>
            <w:tcW w:w="5000" w:type="dxa"/>
            <w:vAlign w:val="center"/>
          </w:tcPr>
          <w:p w14:paraId="3C3A6332">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智能液冷（温差&lt;=3度）</w:t>
            </w:r>
          </w:p>
        </w:tc>
      </w:tr>
      <w:tr w14:paraId="46AA4ED0">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49B386E9">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消防</w:t>
            </w:r>
          </w:p>
        </w:tc>
        <w:tc>
          <w:tcPr>
            <w:tcW w:w="5000" w:type="dxa"/>
            <w:vAlign w:val="center"/>
          </w:tcPr>
          <w:p w14:paraId="3B9EB218">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簇级消防管路+喷头</w:t>
            </w:r>
          </w:p>
        </w:tc>
      </w:tr>
    </w:tbl>
    <w:p w14:paraId="36B4C4E1">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④储能预制舱系统配置（</w:t>
      </w:r>
      <w:r>
        <w:rPr>
          <w:rFonts w:hint="eastAsia" w:ascii="宋体" w:hAnsi="宋体" w:eastAsia="宋体" w:cs="宋体"/>
          <w:snapToGrid w:val="0"/>
          <w:color w:val="000000"/>
          <w:spacing w:val="0"/>
          <w:w w:val="100"/>
          <w:kern w:val="2"/>
          <w:sz w:val="28"/>
          <w:szCs w:val="28"/>
          <w:lang w:eastAsia="zh-CN" w:bidi="ar"/>
        </w:rPr>
        <w:t>1MW/2MWh</w:t>
      </w:r>
      <w:r>
        <w:rPr>
          <w:rFonts w:hint="eastAsia" w:ascii="宋体" w:hAnsi="宋体" w:eastAsia="宋体" w:cs="宋体"/>
          <w:snapToGrid w:val="0"/>
          <w:color w:val="000000"/>
          <w:spacing w:val="0"/>
          <w:w w:val="100"/>
          <w:kern w:val="2"/>
          <w:sz w:val="28"/>
          <w:szCs w:val="28"/>
          <w:lang w:bidi="ar"/>
        </w:rPr>
        <w:t>）</w:t>
      </w:r>
    </w:p>
    <w:p w14:paraId="64D0005A">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储能预制舱采用20尺标准集装箱（6058mmx2438mmx2896mm），内部集成12个电池簇、配电汇流一体柜、液冷系统、消防系统、视频监控及环境控制系统。单舱标称电量5.016MWh，由12个电池簇并联组成（12x418kWh约等于5016kWh），配置1套1.25MW储能变流器（PCS），充放电倍率0.25C。预制舱为工厂预装、整体运输、现场快速部署的标准化产品，大幅缩短建设周期。</w:t>
      </w:r>
    </w:p>
    <w:p w14:paraId="54A6E2EB">
      <w:pPr>
        <w:kinsoku/>
        <w:autoSpaceDE/>
        <w:autoSpaceDN/>
        <w:adjustRightInd/>
        <w:snapToGrid/>
        <w:spacing w:before="200" w:after="100" w:line="400" w:lineRule="exact"/>
        <w:ind w:firstLine="0"/>
        <w:jc w:val="center"/>
        <w:textAlignment w:val="auto"/>
        <w:rPr>
          <w:rFonts w:ascii="Times New Roman" w:hAnsi="Times New Roman" w:eastAsia="仿宋" w:cs="Times New Roman"/>
          <w:snapToGrid/>
          <w:kern w:val="0"/>
          <w:sz w:val="32"/>
          <w:szCs w:val="32"/>
        </w:rPr>
      </w:pPr>
      <w:r>
        <w:rPr>
          <w:rFonts w:ascii="Times New Roman" w:hAnsi="Times New Roman" w:eastAsia="黑体" w:cs="Times New Roman"/>
          <w:b/>
          <w:bCs/>
          <w:snapToGrid/>
          <w:kern w:val="0"/>
          <w:sz w:val="28"/>
          <w:szCs w:val="32"/>
        </w:rPr>
        <w:t>储能预制舱系统参数表（</w:t>
      </w:r>
      <w:r>
        <w:rPr>
          <w:rFonts w:hint="eastAsia" w:ascii="Times New Roman" w:hAnsi="Times New Roman" w:eastAsia="黑体" w:cs="Times New Roman"/>
          <w:b/>
          <w:bCs/>
          <w:snapToGrid/>
          <w:kern w:val="0"/>
          <w:sz w:val="28"/>
          <w:szCs w:val="32"/>
          <w:lang w:eastAsia="zh-CN"/>
        </w:rPr>
        <w:t>1MW/2MWh</w:t>
      </w:r>
      <w:r>
        <w:rPr>
          <w:rFonts w:ascii="Times New Roman" w:hAnsi="Times New Roman" w:eastAsia="黑体" w:cs="Times New Roman"/>
          <w:b/>
          <w:bCs/>
          <w:snapToGrid/>
          <w:kern w:val="0"/>
          <w:sz w:val="28"/>
          <w:szCs w:val="32"/>
        </w:rPr>
        <w:t>）</w:t>
      </w:r>
    </w:p>
    <w:tbl>
      <w:tblPr>
        <w:tblStyle w:val="14"/>
        <w:tblW w:w="5000" w:type="pct"/>
        <w:jc w:val="center"/>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3929"/>
        <w:gridCol w:w="4397"/>
      </w:tblGrid>
      <w:tr w14:paraId="3199256C">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A3DC713">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项目</w:t>
            </w:r>
          </w:p>
        </w:tc>
        <w:tc>
          <w:tcPr>
            <w:tcW w:w="5000" w:type="dxa"/>
            <w:vAlign w:val="center"/>
          </w:tcPr>
          <w:p w14:paraId="0811493D">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参数</w:t>
            </w:r>
          </w:p>
        </w:tc>
      </w:tr>
      <w:tr w14:paraId="145784CB">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F252824">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系统标称电量</w:t>
            </w:r>
          </w:p>
        </w:tc>
        <w:tc>
          <w:tcPr>
            <w:tcW w:w="5000" w:type="dxa"/>
            <w:vAlign w:val="center"/>
          </w:tcPr>
          <w:p w14:paraId="67515A92">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5016kWh（约5MWh）</w:t>
            </w:r>
          </w:p>
        </w:tc>
      </w:tr>
      <w:tr w14:paraId="36A00D76">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3B4986F3">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系统额定功率</w:t>
            </w:r>
          </w:p>
        </w:tc>
        <w:tc>
          <w:tcPr>
            <w:tcW w:w="5000" w:type="dxa"/>
            <w:vAlign w:val="center"/>
          </w:tcPr>
          <w:p w14:paraId="636F82F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1250kW（1.25MW）</w:t>
            </w:r>
          </w:p>
        </w:tc>
      </w:tr>
      <w:tr w14:paraId="2A16B766">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652522D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充放电倍率</w:t>
            </w:r>
          </w:p>
        </w:tc>
        <w:tc>
          <w:tcPr>
            <w:tcW w:w="5000" w:type="dxa"/>
            <w:vAlign w:val="center"/>
          </w:tcPr>
          <w:p w14:paraId="74DBE6FC">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0.25C（长时储能）</w:t>
            </w:r>
          </w:p>
        </w:tc>
      </w:tr>
      <w:tr w14:paraId="282A816B">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3E5D124E">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电池簇数量</w:t>
            </w:r>
          </w:p>
        </w:tc>
        <w:tc>
          <w:tcPr>
            <w:tcW w:w="5000" w:type="dxa"/>
            <w:vAlign w:val="center"/>
          </w:tcPr>
          <w:p w14:paraId="48B4F6AF">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12簇</w:t>
            </w:r>
          </w:p>
        </w:tc>
      </w:tr>
      <w:tr w14:paraId="6B58DE19">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BD2D43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电芯总数</w:t>
            </w:r>
          </w:p>
        </w:tc>
        <w:tc>
          <w:tcPr>
            <w:tcW w:w="5000" w:type="dxa"/>
            <w:vAlign w:val="center"/>
          </w:tcPr>
          <w:p w14:paraId="75BF0222">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4992只（12x416）</w:t>
            </w:r>
          </w:p>
        </w:tc>
      </w:tr>
      <w:tr w14:paraId="55BCA17F">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2E5486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成组方式</w:t>
            </w:r>
          </w:p>
        </w:tc>
        <w:tc>
          <w:tcPr>
            <w:tcW w:w="5000" w:type="dxa"/>
            <w:vAlign w:val="center"/>
          </w:tcPr>
          <w:p w14:paraId="35C802F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12P416S</w:t>
            </w:r>
          </w:p>
        </w:tc>
      </w:tr>
      <w:tr w14:paraId="18C6AA5A">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23F09DD">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直流侧额定电压</w:t>
            </w:r>
          </w:p>
        </w:tc>
        <w:tc>
          <w:tcPr>
            <w:tcW w:w="5000" w:type="dxa"/>
            <w:vAlign w:val="center"/>
          </w:tcPr>
          <w:p w14:paraId="00DFF5D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1331.2V</w:t>
            </w:r>
          </w:p>
        </w:tc>
      </w:tr>
      <w:tr w14:paraId="751E0C8C">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09BCE1EB">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直流侧电压范围</w:t>
            </w:r>
          </w:p>
        </w:tc>
        <w:tc>
          <w:tcPr>
            <w:tcW w:w="5000" w:type="dxa"/>
            <w:vAlign w:val="center"/>
          </w:tcPr>
          <w:p w14:paraId="634EC16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1164.8V~1497.6V</w:t>
            </w:r>
          </w:p>
        </w:tc>
      </w:tr>
      <w:tr w14:paraId="79EE14D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0107A09B">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工作温度范围</w:t>
            </w:r>
          </w:p>
        </w:tc>
        <w:tc>
          <w:tcPr>
            <w:tcW w:w="5000" w:type="dxa"/>
            <w:vAlign w:val="center"/>
          </w:tcPr>
          <w:p w14:paraId="04848EF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-30~55度</w:t>
            </w:r>
          </w:p>
        </w:tc>
      </w:tr>
      <w:tr w14:paraId="71CF199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0AC44DED">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工作环境湿度</w:t>
            </w:r>
          </w:p>
        </w:tc>
        <w:tc>
          <w:tcPr>
            <w:tcW w:w="5000" w:type="dxa"/>
            <w:vAlign w:val="center"/>
          </w:tcPr>
          <w:p w14:paraId="3177235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0~95% RH（无冷凝）</w:t>
            </w:r>
          </w:p>
        </w:tc>
      </w:tr>
      <w:tr w14:paraId="0EAAFE4F">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416052F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工作海拔</w:t>
            </w:r>
          </w:p>
        </w:tc>
        <w:tc>
          <w:tcPr>
            <w:tcW w:w="5000" w:type="dxa"/>
            <w:vAlign w:val="center"/>
          </w:tcPr>
          <w:p w14:paraId="712C366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&lt;=2000m（&gt;2000m降额）</w:t>
            </w:r>
          </w:p>
        </w:tc>
      </w:tr>
      <w:tr w14:paraId="702819F6">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5B259B68">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系统防护等级</w:t>
            </w:r>
          </w:p>
        </w:tc>
        <w:tc>
          <w:tcPr>
            <w:tcW w:w="5000" w:type="dxa"/>
            <w:vAlign w:val="center"/>
          </w:tcPr>
          <w:p w14:paraId="6240D99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IP55（舱级）</w:t>
            </w:r>
          </w:p>
        </w:tc>
      </w:tr>
      <w:tr w14:paraId="4E5A758A">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4522C54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PACK防护等级</w:t>
            </w:r>
          </w:p>
        </w:tc>
        <w:tc>
          <w:tcPr>
            <w:tcW w:w="5000" w:type="dxa"/>
            <w:vAlign w:val="center"/>
          </w:tcPr>
          <w:p w14:paraId="3C0BA00C">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IP67</w:t>
            </w:r>
          </w:p>
        </w:tc>
      </w:tr>
      <w:tr w14:paraId="17EA57A1">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43A2FC4C">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热管理方式</w:t>
            </w:r>
          </w:p>
        </w:tc>
        <w:tc>
          <w:tcPr>
            <w:tcW w:w="5000" w:type="dxa"/>
            <w:vAlign w:val="center"/>
          </w:tcPr>
          <w:p w14:paraId="085A4AA8">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智能液冷（PACK级温差&lt;=3度）</w:t>
            </w:r>
          </w:p>
        </w:tc>
      </w:tr>
      <w:tr w14:paraId="0F9F984B">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2BFA5FD">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消防系统</w:t>
            </w:r>
          </w:p>
        </w:tc>
        <w:tc>
          <w:tcPr>
            <w:tcW w:w="5000" w:type="dxa"/>
            <w:vAlign w:val="center"/>
          </w:tcPr>
          <w:p w14:paraId="3A64932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PACK级探测+全氟己酮灭火+水喷淋预留</w:t>
            </w:r>
          </w:p>
        </w:tc>
      </w:tr>
      <w:tr w14:paraId="1A97CD17">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641E4AC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通讯方式</w:t>
            </w:r>
          </w:p>
        </w:tc>
        <w:tc>
          <w:tcPr>
            <w:tcW w:w="5000" w:type="dxa"/>
            <w:vAlign w:val="center"/>
          </w:tcPr>
          <w:p w14:paraId="1D7879D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CAN + RS485 + 以太网</w:t>
            </w:r>
          </w:p>
        </w:tc>
      </w:tr>
      <w:tr w14:paraId="300710A6">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4A83FEC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箱体规格</w:t>
            </w:r>
          </w:p>
        </w:tc>
        <w:tc>
          <w:tcPr>
            <w:tcW w:w="5000" w:type="dxa"/>
            <w:vAlign w:val="center"/>
          </w:tcPr>
          <w:p w14:paraId="3B1A640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20尺标准集装箱（6058x2438x2896mm）</w:t>
            </w:r>
          </w:p>
        </w:tc>
      </w:tr>
      <w:tr w14:paraId="5283A44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7ABC913D">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重量</w:t>
            </w:r>
          </w:p>
        </w:tc>
        <w:tc>
          <w:tcPr>
            <w:tcW w:w="5000" w:type="dxa"/>
            <w:vAlign w:val="center"/>
          </w:tcPr>
          <w:p w14:paraId="724703F6">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约42~45吨</w:t>
            </w:r>
          </w:p>
        </w:tc>
      </w:tr>
      <w:tr w14:paraId="1D4D5E30">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A54CD9B">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设计寿命</w:t>
            </w:r>
          </w:p>
        </w:tc>
        <w:tc>
          <w:tcPr>
            <w:tcW w:w="5000" w:type="dxa"/>
            <w:vAlign w:val="center"/>
          </w:tcPr>
          <w:p w14:paraId="434DDF60">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20年</w:t>
            </w:r>
          </w:p>
        </w:tc>
      </w:tr>
    </w:tbl>
    <w:p w14:paraId="7A1E6677">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⑤系统总体组成</w:t>
      </w:r>
    </w:p>
    <w:p w14:paraId="57506D1D">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bidi="ar"/>
        </w:rPr>
        <w:t>考虑到储能系统本身的消耗及效率因素，为保证本工程储能的额定输出容量达到</w:t>
      </w:r>
      <w:r>
        <w:rPr>
          <w:rFonts w:hint="eastAsia" w:ascii="宋体" w:hAnsi="宋体" w:eastAsia="宋体" w:cs="宋体"/>
          <w:snapToGrid w:val="0"/>
          <w:color w:val="000000"/>
          <w:spacing w:val="0"/>
          <w:w w:val="100"/>
          <w:kern w:val="2"/>
          <w:sz w:val="28"/>
          <w:szCs w:val="28"/>
          <w:lang w:eastAsia="zh-CN" w:bidi="ar"/>
        </w:rPr>
        <w:t>1MW/2MWh</w:t>
      </w:r>
      <w:r>
        <w:rPr>
          <w:rFonts w:hint="eastAsia" w:ascii="宋体" w:hAnsi="宋体" w:eastAsia="宋体" w:cs="宋体"/>
          <w:snapToGrid w:val="0"/>
          <w:color w:val="000000"/>
          <w:spacing w:val="0"/>
          <w:w w:val="100"/>
          <w:kern w:val="2"/>
          <w:sz w:val="28"/>
          <w:szCs w:val="28"/>
          <w:lang w:bidi="ar"/>
        </w:rPr>
        <w:t>，本项目共包含</w:t>
      </w:r>
      <w:r>
        <w:rPr>
          <w:rFonts w:hint="eastAsia" w:ascii="宋体" w:hAnsi="宋体" w:eastAsia="宋体" w:cs="宋体"/>
          <w:snapToGrid w:val="0"/>
          <w:color w:val="000000"/>
          <w:spacing w:val="0"/>
          <w:w w:val="100"/>
          <w:kern w:val="2"/>
          <w:sz w:val="28"/>
          <w:szCs w:val="28"/>
          <w:lang w:eastAsia="zh-CN" w:bidi="ar"/>
        </w:rPr>
        <w:t>3套1MW/2MWh</w:t>
      </w:r>
      <w:r>
        <w:rPr>
          <w:rFonts w:hint="eastAsia" w:ascii="宋体" w:hAnsi="宋体" w:eastAsia="宋体" w:cs="宋体"/>
          <w:snapToGrid w:val="0"/>
          <w:color w:val="000000"/>
          <w:spacing w:val="0"/>
          <w:w w:val="100"/>
          <w:kern w:val="2"/>
          <w:sz w:val="28"/>
          <w:szCs w:val="28"/>
          <w:lang w:bidi="ar"/>
        </w:rPr>
        <w:t>电池储能预制舱，总计</w:t>
      </w:r>
      <w:r>
        <w:rPr>
          <w:rFonts w:hint="eastAsia" w:ascii="宋体" w:hAnsi="宋体" w:eastAsia="宋体" w:cs="宋体"/>
          <w:snapToGrid w:val="0"/>
          <w:color w:val="000000"/>
          <w:spacing w:val="0"/>
          <w:w w:val="100"/>
          <w:kern w:val="2"/>
          <w:sz w:val="28"/>
          <w:szCs w:val="28"/>
          <w:lang w:eastAsia="zh-CN" w:bidi="ar"/>
        </w:rPr>
        <w:t>1MW/2MWh</w:t>
      </w:r>
      <w:r>
        <w:rPr>
          <w:rFonts w:hint="eastAsia" w:ascii="宋体" w:hAnsi="宋体" w:eastAsia="宋体" w:cs="宋体"/>
          <w:snapToGrid w:val="0"/>
          <w:color w:val="000000"/>
          <w:spacing w:val="0"/>
          <w:w w:val="100"/>
          <w:kern w:val="2"/>
          <w:sz w:val="28"/>
          <w:szCs w:val="28"/>
          <w:lang w:bidi="ar"/>
        </w:rPr>
        <w:t>。每套储能预制舱配置1套1.25MW PCS变流器，</w:t>
      </w:r>
      <w:r>
        <w:rPr>
          <w:rFonts w:hint="eastAsia" w:ascii="宋体" w:hAnsi="宋体" w:eastAsia="宋体" w:cs="宋体"/>
          <w:snapToGrid w:val="0"/>
          <w:color w:val="000000"/>
          <w:spacing w:val="0"/>
          <w:w w:val="100"/>
          <w:kern w:val="2"/>
          <w:sz w:val="28"/>
          <w:szCs w:val="28"/>
          <w:lang w:eastAsia="zh-CN" w:bidi="ar"/>
        </w:rPr>
        <w:t>3套</w:t>
      </w:r>
      <w:r>
        <w:rPr>
          <w:rFonts w:hint="eastAsia" w:ascii="宋体" w:hAnsi="宋体" w:eastAsia="宋体" w:cs="宋体"/>
          <w:snapToGrid w:val="0"/>
          <w:color w:val="000000"/>
          <w:spacing w:val="0"/>
          <w:w w:val="100"/>
          <w:kern w:val="2"/>
          <w:sz w:val="28"/>
          <w:szCs w:val="28"/>
          <w:lang w:bidi="ar"/>
        </w:rPr>
        <w:t>PCS通过升压变压器统一升压至</w:t>
      </w:r>
      <w:r>
        <w:rPr>
          <w:rFonts w:hint="eastAsia" w:ascii="宋体" w:hAnsi="宋体" w:eastAsia="宋体" w:cs="宋体"/>
          <w:snapToGrid w:val="0"/>
          <w:color w:val="000000"/>
          <w:spacing w:val="0"/>
          <w:w w:val="100"/>
          <w:kern w:val="2"/>
          <w:sz w:val="28"/>
          <w:szCs w:val="28"/>
          <w:lang w:eastAsia="zh-CN" w:bidi="ar"/>
        </w:rPr>
        <w:t>10kv</w:t>
      </w:r>
      <w:r>
        <w:rPr>
          <w:rFonts w:hint="eastAsia" w:ascii="宋体" w:hAnsi="宋体" w:eastAsia="宋体" w:cs="宋体"/>
          <w:snapToGrid w:val="0"/>
          <w:color w:val="000000"/>
          <w:spacing w:val="0"/>
          <w:w w:val="100"/>
          <w:kern w:val="2"/>
          <w:sz w:val="28"/>
          <w:szCs w:val="28"/>
          <w:lang w:bidi="ar"/>
        </w:rPr>
        <w:t>后接入项目配电系统。最终的系统配置以电池及PCS厂家的实际应用数据为准。</w:t>
      </w:r>
      <w:r>
        <w:rPr>
          <w:rFonts w:hint="default" w:ascii="Arial" w:hAnsi="Arial" w:eastAsia="Arial" w:cs="Arial"/>
          <w:snapToGrid w:val="0"/>
          <w:color w:val="000000"/>
          <w:kern w:val="0"/>
          <w:sz w:val="21"/>
          <w:szCs w:val="21"/>
          <w:lang w:val="en-US" w:eastAsia="zh-CN" w:bidi="ar"/>
        </w:rPr>
        <w:drawing>
          <wp:inline distT="0" distB="0" distL="114300" distR="114300">
            <wp:extent cx="5271770" cy="3758565"/>
            <wp:effectExtent l="0" t="0" r="11430" b="63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8"/>
                    <a:stretch>
                      <a:fillRect/>
                    </a:stretch>
                  </pic:blipFill>
                  <pic:spPr>
                    <a:xfrm>
                      <a:off x="0" y="0"/>
                      <a:ext cx="5271770" cy="3758565"/>
                    </a:xfrm>
                    <a:prstGeom prst="rect">
                      <a:avLst/>
                    </a:prstGeom>
                    <a:noFill/>
                    <a:ln w="9525">
                      <a:noFill/>
                    </a:ln>
                  </pic:spPr>
                </pic:pic>
              </a:graphicData>
            </a:graphic>
          </wp:inline>
        </w:drawing>
      </w:r>
      <w:r>
        <w:rPr>
          <w:rFonts w:hint="eastAsia" w:ascii="宋体" w:hAnsi="宋体" w:eastAsia="宋体" w:cs="宋体"/>
          <w:snapToGrid w:val="0"/>
          <w:color w:val="000000"/>
          <w:spacing w:val="0"/>
          <w:w w:val="100"/>
          <w:kern w:val="2"/>
          <w:sz w:val="28"/>
          <w:szCs w:val="28"/>
          <w:lang w:val="en-US" w:eastAsia="zh-CN" w:bidi="ar"/>
        </w:rPr>
        <w:t xml:space="preserve"> </w:t>
      </w:r>
    </w:p>
    <w:p w14:paraId="35FA2577">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2" w:firstLineChars="200"/>
        <w:jc w:val="center"/>
        <w:textAlignment w:val="baseline"/>
        <w:rPr>
          <w:rFonts w:hint="eastAsia" w:ascii="宋体" w:hAnsi="宋体" w:eastAsia="宋体" w:cs="宋体"/>
          <w:b/>
          <w:bCs/>
          <w:spacing w:val="0"/>
          <w:w w:val="100"/>
          <w:kern w:val="2"/>
          <w:sz w:val="28"/>
          <w:szCs w:val="28"/>
        </w:rPr>
      </w:pPr>
      <w:r>
        <w:rPr>
          <w:rFonts w:hint="eastAsia" w:ascii="宋体" w:hAnsi="宋体" w:eastAsia="宋体" w:cs="宋体"/>
          <w:b/>
          <w:bCs/>
          <w:snapToGrid w:val="0"/>
          <w:color w:val="000000"/>
          <w:spacing w:val="0"/>
          <w:w w:val="100"/>
          <w:kern w:val="2"/>
          <w:sz w:val="28"/>
          <w:szCs w:val="28"/>
          <w:lang w:val="en-US" w:eastAsia="zh-CN" w:bidi="ar"/>
        </w:rPr>
        <w:t>1MW/2MWh储能集装箱布置示意图(仅为示意)</w:t>
      </w:r>
    </w:p>
    <w:p w14:paraId="2E67C68B">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每套</w:t>
      </w:r>
      <w:r>
        <w:rPr>
          <w:rFonts w:hint="eastAsia" w:ascii="宋体" w:hAnsi="宋体" w:eastAsia="宋体" w:cs="宋体"/>
          <w:snapToGrid w:val="0"/>
          <w:color w:val="000000"/>
          <w:spacing w:val="0"/>
          <w:w w:val="100"/>
          <w:kern w:val="2"/>
          <w:sz w:val="28"/>
          <w:szCs w:val="28"/>
          <w:lang w:eastAsia="zh-CN" w:bidi="ar"/>
        </w:rPr>
        <w:t>1MW/2MWh</w:t>
      </w:r>
      <w:r>
        <w:rPr>
          <w:rFonts w:hint="eastAsia" w:ascii="宋体" w:hAnsi="宋体" w:eastAsia="宋体" w:cs="宋体"/>
          <w:snapToGrid w:val="0"/>
          <w:color w:val="000000"/>
          <w:spacing w:val="0"/>
          <w:w w:val="100"/>
          <w:kern w:val="2"/>
          <w:sz w:val="28"/>
          <w:szCs w:val="28"/>
          <w:lang w:bidi="ar"/>
        </w:rPr>
        <w:t>储能预制舱内部由12个电池簇、1个配电汇流一体柜（集成BMS总控单元）、1套液冷温控系统、1套消防系统及环境监控设备组成，所有设备有机集成于一个标准的20尺预制舱中。12个电池簇并联接入汇流柜，汇流后通过直流母线与PCS直流侧连接。BMS总控位于汇流柜内，与电控箱内主控通过CAN通讯，对外预留与PCS的CAN/RS485通讯接口，与EMS预留两路以太网通讯接口。</w:t>
      </w:r>
    </w:p>
    <w:p w14:paraId="4D899669">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bidi="ar"/>
        </w:rPr>
      </w:pPr>
      <w:r>
        <w:rPr>
          <w:rFonts w:hint="eastAsia" w:ascii="宋体" w:hAnsi="宋体" w:eastAsia="宋体" w:cs="宋体"/>
          <w:snapToGrid w:val="0"/>
          <w:color w:val="000000"/>
          <w:spacing w:val="0"/>
          <w:w w:val="100"/>
          <w:kern w:val="2"/>
          <w:sz w:val="28"/>
          <w:szCs w:val="28"/>
          <w:lang w:bidi="ar"/>
        </w:rPr>
        <w:t>预制舱拥有自己独立的温度控制系统（智能液冷+环境空调）、隔热系统、阻燃系统、火灾报警系统（PACK级探测+全氟己酮/七氟丙烷灭火+水喷淋预留）、安全逃生系统、应急系统、视频监控系统等自动控制和安全保障系统。舱体采用Q355B高强度钢材，防腐等级C4，具备良好的抗风、抗震性能。</w:t>
      </w:r>
    </w:p>
    <w:p w14:paraId="3186903F">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2" w:firstLineChars="200"/>
        <w:jc w:val="both"/>
        <w:textAlignment w:val="baseline"/>
        <w:rPr>
          <w:rFonts w:hint="eastAsia" w:ascii="宋体" w:hAnsi="宋体" w:eastAsia="宋体" w:cs="宋体"/>
          <w:b/>
          <w:bCs/>
          <w:spacing w:val="0"/>
          <w:w w:val="100"/>
          <w:kern w:val="2"/>
          <w:sz w:val="28"/>
          <w:szCs w:val="28"/>
        </w:rPr>
      </w:pPr>
      <w:r>
        <w:rPr>
          <w:rFonts w:hint="eastAsia" w:ascii="宋体" w:hAnsi="宋体" w:eastAsia="宋体" w:cs="宋体"/>
          <w:b/>
          <w:bCs/>
          <w:snapToGrid w:val="0"/>
          <w:color w:val="000000"/>
          <w:spacing w:val="0"/>
          <w:w w:val="100"/>
          <w:kern w:val="2"/>
          <w:sz w:val="28"/>
          <w:szCs w:val="28"/>
          <w:lang w:val="en-US" w:eastAsia="zh-CN" w:bidi="ar"/>
        </w:rPr>
        <w:t>（5）储能变流器PCS</w:t>
      </w:r>
    </w:p>
    <w:p w14:paraId="68593C78">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val="en-US" w:eastAsia="zh-CN" w:bidi="ar"/>
        </w:rPr>
      </w:pPr>
      <w:r>
        <w:rPr>
          <w:rFonts w:hint="eastAsia" w:ascii="宋体" w:hAnsi="宋体" w:eastAsia="宋体" w:cs="宋体"/>
          <w:snapToGrid w:val="0"/>
          <w:color w:val="000000"/>
          <w:spacing w:val="0"/>
          <w:w w:val="100"/>
          <w:kern w:val="2"/>
          <w:sz w:val="28"/>
          <w:szCs w:val="28"/>
          <w:lang w:val="en-US" w:eastAsia="zh-CN" w:bidi="ar"/>
        </w:rPr>
        <w:t>储能变流器，也称为储能电力转换系统（PCS）。其主要作用是实现储能系统中电能的双向转换，将电池储存的直流电能转化为交流电能以供电网使用，或将来自电网的交流电能转化为直流电能以充电电池。储能系统配置1100kW储能变流器，模块式架构，支持并离网两种模式，采用户外安装形式，配套有户外外壳。</w:t>
      </w:r>
    </w:p>
    <w:p w14:paraId="1B3E104B">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napToGrid w:val="0"/>
          <w:color w:val="000000"/>
          <w:spacing w:val="0"/>
          <w:w w:val="100"/>
          <w:kern w:val="2"/>
          <w:sz w:val="28"/>
          <w:szCs w:val="28"/>
          <w:lang w:val="en-US" w:eastAsia="zh-CN" w:bidi="ar"/>
        </w:rPr>
      </w:pP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00"/>
        <w:gridCol w:w="3600"/>
      </w:tblGrid>
      <w:tr w14:paraId="318A8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B74E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b/>
                <w:bCs/>
                <w:i w:val="0"/>
                <w:iCs w:val="0"/>
                <w:color w:val="000000"/>
                <w:sz w:val="21"/>
                <w:szCs w:val="21"/>
              </w:rPr>
            </w:pPr>
            <w:r>
              <w:rPr>
                <w:rFonts w:hint="eastAsia" w:ascii="宋体" w:hAnsi="宋体" w:eastAsia="宋体" w:cs="宋体"/>
                <w:b/>
                <w:bCs/>
                <w:i w:val="0"/>
                <w:iCs w:val="0"/>
                <w:snapToGrid w:val="0"/>
                <w:color w:val="000000"/>
                <w:kern w:val="0"/>
                <w:sz w:val="21"/>
                <w:szCs w:val="21"/>
                <w:lang w:val="en-US" w:eastAsia="zh-CN" w:bidi="ar"/>
              </w:rPr>
              <w:t>项目</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7F7154F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b/>
                <w:bCs/>
                <w:i w:val="0"/>
                <w:iCs w:val="0"/>
                <w:color w:val="000000"/>
                <w:sz w:val="21"/>
                <w:szCs w:val="21"/>
              </w:rPr>
            </w:pPr>
            <w:r>
              <w:rPr>
                <w:rFonts w:hint="eastAsia" w:ascii="宋体" w:hAnsi="宋体" w:eastAsia="宋体" w:cs="宋体"/>
                <w:b/>
                <w:bCs/>
                <w:i w:val="0"/>
                <w:iCs w:val="0"/>
                <w:snapToGrid w:val="0"/>
                <w:color w:val="000000"/>
                <w:kern w:val="0"/>
                <w:sz w:val="21"/>
                <w:szCs w:val="21"/>
                <w:lang w:val="en-US" w:eastAsia="zh-CN" w:bidi="ar"/>
              </w:rPr>
              <w:t>参数</w:t>
            </w:r>
          </w:p>
        </w:tc>
      </w:tr>
      <w:tr w14:paraId="10A87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EFB5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型号</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3C7CE7D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户外型集中式储能变流器（1000kW 级）</w:t>
            </w:r>
          </w:p>
        </w:tc>
      </w:tr>
      <w:tr w14:paraId="60C99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60D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额定交流功率</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7E8E818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1000kW</w:t>
            </w:r>
          </w:p>
        </w:tc>
      </w:tr>
      <w:tr w14:paraId="6D993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53DC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最大交流功率</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56D67A0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1100kW（过载 10%）</w:t>
            </w:r>
          </w:p>
        </w:tc>
      </w:tr>
      <w:tr w14:paraId="79010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2A11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接线方式</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3A4722F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三相三线/三相四线</w:t>
            </w:r>
          </w:p>
        </w:tc>
      </w:tr>
      <w:tr w14:paraId="49B1B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CA7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交流过载能力</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726AC46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110% 长期运行</w:t>
            </w:r>
          </w:p>
        </w:tc>
      </w:tr>
      <w:tr w14:paraId="44D22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7556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额定电网电压</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5EF731A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400Vac / 690Vac</w:t>
            </w:r>
          </w:p>
        </w:tc>
      </w:tr>
      <w:tr w14:paraId="78A71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AD1B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允许电网电压范围</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79E7B44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-15%~+10%</w:t>
            </w:r>
          </w:p>
        </w:tc>
      </w:tr>
      <w:tr w14:paraId="783B9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3D5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允许电网频率</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152E053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50Hz/60Hz（±2.5Hz）</w:t>
            </w:r>
          </w:p>
        </w:tc>
      </w:tr>
      <w:tr w14:paraId="6F12F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3EE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总电流谐波畸变率（THDi）</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251C5DE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≤3%</w:t>
            </w:r>
          </w:p>
        </w:tc>
      </w:tr>
      <w:tr w14:paraId="7DEFF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0F8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功率因数</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50789FE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0.99（可调范围 -1~+1）</w:t>
            </w:r>
          </w:p>
        </w:tc>
      </w:tr>
      <w:tr w14:paraId="78066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4E66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最大直流功率</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64599E5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1100kW</w:t>
            </w:r>
          </w:p>
        </w:tc>
      </w:tr>
      <w:tr w14:paraId="53E0F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30D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电池电压范围</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685CC95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1000Vdc~1500Vdc（匹配 1P416S 电池簇）</w:t>
            </w:r>
          </w:p>
        </w:tc>
      </w:tr>
      <w:tr w14:paraId="1FD7A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E420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电池额定电压</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4056E2B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1331.2Vdc</w:t>
            </w:r>
          </w:p>
        </w:tc>
      </w:tr>
      <w:tr w14:paraId="412CF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AF8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最大直流电流</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76A2BA1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1100A</w:t>
            </w:r>
          </w:p>
        </w:tc>
      </w:tr>
      <w:tr w14:paraId="2CE40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EAB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稳压精度</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6BD4842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w:t>
            </w:r>
          </w:p>
        </w:tc>
      </w:tr>
      <w:tr w14:paraId="31124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0F5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稳流精度</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22BED05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w:t>
            </w:r>
          </w:p>
        </w:tc>
      </w:tr>
      <w:tr w14:paraId="6D8C4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02E9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最大转换效率</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534AF44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≥98.5%</w:t>
            </w:r>
          </w:p>
        </w:tc>
      </w:tr>
      <w:tr w14:paraId="2669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69D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并离网切换时间</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5D2542B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≤10ms</w:t>
            </w:r>
          </w:p>
        </w:tc>
      </w:tr>
      <w:tr w14:paraId="3EE73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6213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尺寸（宽×高×深）</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23141C0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2200×2200×800mm（户外柜）</w:t>
            </w:r>
          </w:p>
        </w:tc>
      </w:tr>
      <w:tr w14:paraId="6628F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A86B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重量</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0F09B5B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约 2500kg</w:t>
            </w:r>
          </w:p>
        </w:tc>
      </w:tr>
      <w:tr w14:paraId="640CA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B28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噪声</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30B15F2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≤75dB</w:t>
            </w:r>
          </w:p>
        </w:tc>
      </w:tr>
      <w:tr w14:paraId="48A29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03EF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防护等级</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47FE692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IP65（户外直接安装）</w:t>
            </w:r>
          </w:p>
        </w:tc>
      </w:tr>
      <w:tr w14:paraId="6C950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25A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允许环境温度</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4F25550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-30~60℃（&gt;50℃ 降额）</w:t>
            </w:r>
          </w:p>
        </w:tc>
      </w:tr>
      <w:tr w14:paraId="531E8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3B34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冷却方式</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6A256DB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智能风冷/液冷</w:t>
            </w:r>
          </w:p>
        </w:tc>
      </w:tr>
      <w:tr w14:paraId="5AA11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67B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允许相对湿度</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2349275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0~95%（无凝露）</w:t>
            </w:r>
          </w:p>
        </w:tc>
      </w:tr>
      <w:tr w14:paraId="69993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383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允许海拔高度</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213472F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3000m（&gt;2000m 降额）</w:t>
            </w:r>
          </w:p>
        </w:tc>
      </w:tr>
      <w:tr w14:paraId="55318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F6D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显示和通讯</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47F824B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7 寸触摸屏；RS485/Ethernet/CAN</w:t>
            </w:r>
          </w:p>
        </w:tc>
      </w:tr>
      <w:tr w14:paraId="2E9B8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F60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通讯协议</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010809A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Modbus TCP/RTU、IEC104、IEC61850</w:t>
            </w:r>
          </w:p>
        </w:tc>
      </w:tr>
      <w:tr w14:paraId="7F576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230D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BMS 接入</w:t>
            </w:r>
          </w:p>
        </w:tc>
        <w:tc>
          <w:tcPr>
            <w:tcW w:w="3600" w:type="dxa"/>
            <w:tcBorders>
              <w:top w:val="single" w:color="000000" w:sz="4" w:space="0"/>
              <w:left w:val="nil"/>
              <w:bottom w:val="single" w:color="000000" w:sz="4" w:space="0"/>
              <w:right w:val="single" w:color="000000" w:sz="4" w:space="0"/>
            </w:tcBorders>
            <w:shd w:val="clear" w:color="auto" w:fill="auto"/>
            <w:noWrap/>
            <w:vAlign w:val="center"/>
          </w:tcPr>
          <w:p w14:paraId="69A22B9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top"/>
              <w:rPr>
                <w:rFonts w:hint="eastAsia" w:ascii="宋体" w:hAnsi="宋体" w:eastAsia="宋体" w:cs="宋体"/>
                <w:i w:val="0"/>
                <w:iCs w:val="0"/>
                <w:color w:val="000000"/>
                <w:sz w:val="21"/>
                <w:szCs w:val="21"/>
              </w:rPr>
            </w:pPr>
            <w:r>
              <w:rPr>
                <w:rFonts w:hint="eastAsia" w:ascii="宋体" w:hAnsi="宋体" w:eastAsia="宋体" w:cs="宋体"/>
                <w:i w:val="0"/>
                <w:iCs w:val="0"/>
                <w:snapToGrid w:val="0"/>
                <w:color w:val="000000"/>
                <w:kern w:val="0"/>
                <w:sz w:val="21"/>
                <w:szCs w:val="21"/>
                <w:lang w:val="en-US" w:eastAsia="zh-CN" w:bidi="ar"/>
              </w:rPr>
              <w:t>支持</w:t>
            </w:r>
          </w:p>
        </w:tc>
      </w:tr>
    </w:tbl>
    <w:p w14:paraId="713DB96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p>
    <w:p w14:paraId="75326334">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val="en-US" w:eastAsia="zh-CN" w:bidi="ar"/>
        </w:rPr>
        <w:t>（6）能量管理系统EMS</w:t>
      </w:r>
    </w:p>
    <w:p w14:paraId="36A04125">
      <w:pPr>
        <w:keepNext w:val="0"/>
        <w:keepLines w:val="0"/>
        <w:widowControl w:val="0"/>
        <w:suppressLineNumbers w:val="0"/>
        <w:kinsoku w:val="0"/>
        <w:topLinePunct/>
        <w:autoSpaceDE w:val="0"/>
        <w:autoSpaceDN/>
        <w:adjustRightInd w:val="0"/>
        <w:snapToGrid w:val="0"/>
        <w:spacing w:before="157" w:beforeLines="50" w:beforeAutospacing="0" w:after="157" w:afterLines="50" w:afterAutospacing="0" w:line="360" w:lineRule="auto"/>
        <w:ind w:left="0" w:leftChars="0" w:right="0" w:rightChars="0" w:firstLine="560" w:firstLineChars="200"/>
        <w:jc w:val="both"/>
        <w:textAlignment w:val="baseline"/>
        <w:rPr>
          <w:rFonts w:hint="eastAsia" w:ascii="宋体" w:hAnsi="宋体" w:eastAsia="宋体" w:cs="宋体"/>
          <w:spacing w:val="0"/>
          <w:w w:val="100"/>
          <w:kern w:val="2"/>
          <w:sz w:val="28"/>
          <w:szCs w:val="28"/>
        </w:rPr>
      </w:pPr>
      <w:r>
        <w:rPr>
          <w:rFonts w:hint="eastAsia" w:ascii="宋体" w:hAnsi="宋体" w:eastAsia="宋体" w:cs="宋体"/>
          <w:snapToGrid w:val="0"/>
          <w:color w:val="000000"/>
          <w:spacing w:val="0"/>
          <w:w w:val="100"/>
          <w:kern w:val="2"/>
          <w:sz w:val="28"/>
          <w:szCs w:val="28"/>
          <w:lang w:val="en-US" w:eastAsia="zh-CN" w:bidi="ar"/>
        </w:rPr>
        <w:t>与储能系统相配套的能量管理系统（EMS）通过实时监控、分析和优化能源的生产、转换、储存和消耗，以最大化系统的效率和可靠性。EMS的核心作用之一是实现对电力系统的实时监控和控制。通过采集大量的实时数据，EMS能够对能源系统的各个组件进行监测，包括发电、输电、储能和终端用电等。这使得能源系统的运行状态能够得到及时的了解，有助于防范潜在问题，提高系统的可靠性。EMS通过智能化的能源分配和优化，实现对电力流向的精确控制。这有助于在电网高峰期和低谷期之间灵活调度能源，提高系统的经济性。EMS还能够优化可再生能源的利用，降低对传统能源的依赖，推动能源系统向更可持续的方向发展。EMS在应对能源系统的突发事件和故障方面也发挥着关键作用。通过实时响应和智能调度，EMS可以降低因突发情况引起的损失，确保电力系统的可靠运行。</w:t>
      </w:r>
    </w:p>
    <w:p w14:paraId="28EC3336">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pPr>
      <w:r>
        <w:rPr>
          <w:rFonts w:hint="default" w:ascii="Arial" w:hAnsi="Arial" w:eastAsia="Arial" w:cs="Arial"/>
          <w:snapToGrid w:val="0"/>
          <w:color w:val="000000"/>
          <w:kern w:val="0"/>
          <w:sz w:val="21"/>
          <w:szCs w:val="21"/>
          <w:lang w:val="en-US" w:eastAsia="zh-CN" w:bidi="ar"/>
        </w:rPr>
        <w:drawing>
          <wp:inline distT="0" distB="0" distL="114300" distR="114300">
            <wp:extent cx="5271770" cy="3853815"/>
            <wp:effectExtent l="0" t="0" r="11430" b="6985"/>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19"/>
                    <a:stretch>
                      <a:fillRect/>
                    </a:stretch>
                  </pic:blipFill>
                  <pic:spPr>
                    <a:xfrm>
                      <a:off x="0" y="0"/>
                      <a:ext cx="5271770" cy="3853815"/>
                    </a:xfrm>
                    <a:prstGeom prst="rect">
                      <a:avLst/>
                    </a:prstGeom>
                    <a:noFill/>
                    <a:ln w="9525">
                      <a:noFill/>
                    </a:ln>
                  </pic:spPr>
                </pic:pic>
              </a:graphicData>
            </a:graphic>
          </wp:inline>
        </w:drawing>
      </w:r>
    </w:p>
    <w:p w14:paraId="00206CD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p>
    <w:p w14:paraId="1D97863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（7）电池管理系统组成BMS</w:t>
      </w:r>
    </w:p>
    <w:p w14:paraId="16D06FE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电池管理系统（BMS）是一种关键的技术，配套装备于储能系统中，用于监控、控制和优化电池系统的运行。其主要作用在于确保电池组的安全性、性能和寿命，提高整个储能系统的效率。BMS的核心功能之一是实现对电池状态的实时监测和管理。通过监测电池的电压、电流、温度等参数，BMS能够及时识别电池组内部的问题，如过充、过放、温度异常等，并采取相应措施，防止电池发生损坏或安全事故。BMS通过智能的电池均衡功能，确保电池组内各个电池单体的充放电状态保持一致。这有助于提高电池组的整体性能，延长电池的使用寿命，并最大程度地利用每个电池单体的能量。BMS还能够实现对充电和放电过程的精确控制，以提高电池的充放电效率。通过优化充电和放电策略，BMS可以降低能量转换过程中的损耗，提高储能系统的整体能效。</w:t>
      </w:r>
    </w:p>
    <w:p w14:paraId="6A192A95">
      <w:pPr>
        <w:keepNext w:val="0"/>
        <w:keepLines w:val="0"/>
        <w:widowControl/>
        <w:suppressLineNumbers w:val="0"/>
        <w:jc w:val="left"/>
      </w:pPr>
      <w:r>
        <w:rPr>
          <w:rFonts w:ascii="宋体" w:hAnsi="宋体" w:eastAsia="宋体" w:cs="宋体"/>
          <w:snapToGrid w:val="0"/>
          <w:color w:val="000000"/>
          <w:kern w:val="0"/>
          <w:sz w:val="24"/>
          <w:szCs w:val="24"/>
          <w:lang w:val="en-US" w:eastAsia="zh-CN" w:bidi="ar"/>
        </w:rPr>
        <w:drawing>
          <wp:inline distT="0" distB="0" distL="114300" distR="114300">
            <wp:extent cx="5267325" cy="5267325"/>
            <wp:effectExtent l="0" t="0" r="3175" b="3175"/>
            <wp:docPr id="1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6"/>
                    <pic:cNvPicPr>
                      <a:picLocks noChangeAspect="1"/>
                    </pic:cNvPicPr>
                  </pic:nvPicPr>
                  <pic:blipFill>
                    <a:blip r:embed="rId20"/>
                    <a:stretch>
                      <a:fillRect/>
                    </a:stretch>
                  </pic:blipFill>
                  <pic:spPr>
                    <a:xfrm>
                      <a:off x="0" y="0"/>
                      <a:ext cx="5267325" cy="5267325"/>
                    </a:xfrm>
                    <a:prstGeom prst="rect">
                      <a:avLst/>
                    </a:prstGeom>
                    <a:noFill/>
                    <a:ln w="9525">
                      <a:noFill/>
                    </a:ln>
                  </pic:spPr>
                </pic:pic>
              </a:graphicData>
            </a:graphic>
          </wp:inline>
        </w:drawing>
      </w:r>
    </w:p>
    <w:p w14:paraId="20A3305C">
      <w:pPr>
        <w:pStyle w:val="3"/>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right="0" w:rightChars="0"/>
        <w:jc w:val="both"/>
        <w:textAlignment w:val="baseline"/>
        <w:rPr>
          <w:rFonts w:hint="eastAsia" w:ascii="宋体" w:hAnsi="宋体" w:eastAsia="宋体" w:cs="宋体"/>
          <w:b/>
          <w:i w:val="0"/>
          <w:strike w:val="0"/>
          <w:color w:val="000000"/>
          <w:spacing w:val="0"/>
          <w:sz w:val="28"/>
          <w:u w:val="none"/>
          <w:lang w:val="en-US" w:eastAsia="zh-CN"/>
        </w:rPr>
      </w:pPr>
      <w:bookmarkStart w:id="12" w:name="_Toc29633"/>
      <w:bookmarkStart w:id="13" w:name="_Toc7677"/>
      <w:bookmarkStart w:id="14" w:name="_Toc20065"/>
      <w:bookmarkStart w:id="15" w:name="_Toc7756"/>
      <w:r>
        <w:rPr>
          <w:rFonts w:hint="eastAsia" w:ascii="宋体" w:hAnsi="宋体" w:eastAsia="宋体" w:cs="宋体"/>
          <w:b/>
          <w:i w:val="0"/>
          <w:strike w:val="0"/>
          <w:color w:val="000000"/>
          <w:spacing w:val="0"/>
          <w:sz w:val="28"/>
          <w:u w:val="none"/>
          <w:lang w:val="en-US" w:eastAsia="zh-CN"/>
        </w:rPr>
        <w:t>4.3 工程方案</w:t>
      </w:r>
      <w:bookmarkEnd w:id="12"/>
      <w:bookmarkEnd w:id="13"/>
      <w:bookmarkEnd w:id="14"/>
      <w:bookmarkEnd w:id="15"/>
    </w:p>
    <w:p w14:paraId="7F87DB03">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r>
        <w:rPr>
          <w:rFonts w:hint="eastAsia" w:ascii="宋体" w:hAnsi="宋体" w:eastAsia="宋体" w:cs="宋体"/>
          <w:b/>
          <w:bCs/>
          <w:spacing w:val="0"/>
          <w:w w:val="100"/>
          <w:position w:val="0"/>
          <w:sz w:val="28"/>
          <w:szCs w:val="28"/>
          <w:lang w:val="en-US" w:eastAsia="zh-CN"/>
        </w:rPr>
        <w:t>4.3.1 设计依据</w:t>
      </w:r>
    </w:p>
    <w:p w14:paraId="75C15348">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（一）建筑结构专业</w:t>
      </w:r>
    </w:p>
    <w:p w14:paraId="421B2652">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1.《砌体结构设计规范》（GB50003-2011）</w:t>
      </w:r>
    </w:p>
    <w:p w14:paraId="13AD32E2">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2.《建筑地基基础设计规范》（GB50007-2011）</w:t>
      </w:r>
    </w:p>
    <w:p w14:paraId="5473D833">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3.《建筑结构荷载规范》（GB50009-2012）</w:t>
      </w:r>
    </w:p>
    <w:p w14:paraId="7FE2CB79">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4.《混凝土结构设计标准》（GB/T50010-2010）（2024年版）</w:t>
      </w:r>
    </w:p>
    <w:p w14:paraId="3DB27C70">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5.《建筑抗震设计标准》（GB/T50011-2010）（2024年版）</w:t>
      </w:r>
    </w:p>
    <w:p w14:paraId="5CF08586">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6.《钢结构设计标准》（GB50017-2017）</w:t>
      </w:r>
    </w:p>
    <w:p w14:paraId="51F0ACD4">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7.《建筑结构可靠性设计统一标准》（GB50068-2018）</w:t>
      </w:r>
    </w:p>
    <w:p w14:paraId="52019522">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8.《建筑与市政工程抗震通用规范》（GB55002-2021）</w:t>
      </w:r>
    </w:p>
    <w:p w14:paraId="016AC20C">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9.《钢结构通用规范》（GB55006-2021）</w:t>
      </w:r>
    </w:p>
    <w:p w14:paraId="5F36A885">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10.《混凝土结构通用规范》（GB55008-2021）</w:t>
      </w:r>
    </w:p>
    <w:p w14:paraId="5B976F84">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（二）电气工程专业</w:t>
      </w:r>
    </w:p>
    <w:p w14:paraId="19E517A3">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1.《供配电系统设计规范》（GB50052-2009）</w:t>
      </w:r>
    </w:p>
    <w:p w14:paraId="5C4296DD">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2.《20kV及以下变电所设计规范》（GB50053-2013）</w:t>
      </w:r>
    </w:p>
    <w:p w14:paraId="746D8D73">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3.《建筑物防雷设计规范》（GB50057-2010）</w:t>
      </w:r>
    </w:p>
    <w:p w14:paraId="257E9114">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4.《10kv~110kV变电站设计规范》（GB50059-2011）</w:t>
      </w:r>
    </w:p>
    <w:p w14:paraId="06A25B7E">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5.《3～110kV高压配电装置设计规范》（GB50060-2008）</w:t>
      </w:r>
    </w:p>
    <w:p w14:paraId="160B76F6">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6.《电力装置的继电保护和自动装置设计规范》（GB/T50062-2008）</w:t>
      </w:r>
    </w:p>
    <w:p w14:paraId="5187F458">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7.《交流电气装置的接地设计规范》（GB/T50065-2011）</w:t>
      </w:r>
    </w:p>
    <w:p w14:paraId="657C7207">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8.《建筑电气与智能化通用规范》（GB55024-2022）</w:t>
      </w:r>
    </w:p>
    <w:p w14:paraId="7C03DF75">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（三）消防安全专业</w:t>
      </w:r>
    </w:p>
    <w:p w14:paraId="5A025FDE">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1.《建筑设计防火规范》（GB50016-2014）（2018年版）</w:t>
      </w:r>
    </w:p>
    <w:p w14:paraId="5CD42099">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2.《火灾自动报警系统设计规范》（GB50116-2013）</w:t>
      </w:r>
    </w:p>
    <w:p w14:paraId="41D11F75">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3.《建筑灭火器配置设计规范》（GB50140-2005）</w:t>
      </w:r>
    </w:p>
    <w:p w14:paraId="262EC517">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4.《消防设施通用规范》（GB55036-2022）</w:t>
      </w:r>
    </w:p>
    <w:p w14:paraId="41D1FB80">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5.《建筑防火通用规范》（GB55037-2022）</w:t>
      </w:r>
    </w:p>
    <w:p w14:paraId="21AED772">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6.《消防给水及消火栓系统技术规范》（GB 50974-2014）</w:t>
      </w:r>
    </w:p>
    <w:p w14:paraId="0F0FF62B">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（四）环境保护专业</w:t>
      </w:r>
    </w:p>
    <w:p w14:paraId="39FDD0B7">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1.《环境空气质量标准》（GB 3095-2012）</w:t>
      </w:r>
    </w:p>
    <w:p w14:paraId="5F173C4F">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2.《地表水环境质量标准》（GB 3838-2002）</w:t>
      </w:r>
    </w:p>
    <w:p w14:paraId="00315D36">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3.《污水综合排放标准》（GB 8978-1996）</w:t>
      </w:r>
    </w:p>
    <w:p w14:paraId="14E26BA0">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4.《声环境质量标准》（GB 3096-2008）</w:t>
      </w:r>
    </w:p>
    <w:p w14:paraId="1D3B1AE1">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5.《工业企业厂界环境噪声排放标准》（GB 12348-2008）</w:t>
      </w:r>
    </w:p>
    <w:p w14:paraId="68D7949A">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6.《土壤环境质量 农用地土壤污染风险管控标准（试行）》（GB 15618-2018）</w:t>
      </w:r>
    </w:p>
    <w:p w14:paraId="493E963E">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（五）新能源（光伏、储能）专业</w:t>
      </w:r>
    </w:p>
    <w:p w14:paraId="11FA47BF">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1.《光伏发电站设计标准》（GB50797-2012）（2024年版）</w:t>
      </w:r>
    </w:p>
    <w:p w14:paraId="0DCFE92E">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2.《电化学储能电站设计规范》（GB51048-2014）</w:t>
      </w:r>
    </w:p>
    <w:p w14:paraId="6C3DB643">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3.《锂离子电池工厂设计标准》（GB51377-2019）</w:t>
      </w:r>
    </w:p>
    <w:p w14:paraId="457261D7">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4.《风光储联合发电站调试及验收标准》（GB/T51311-2018）</w:t>
      </w:r>
    </w:p>
    <w:p w14:paraId="3C0F8D8E">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（六）农业种植专业</w:t>
      </w:r>
    </w:p>
    <w:p w14:paraId="1C94455A">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1.《高标准农田建设通则》（GB/T 30600-2022）</w:t>
      </w:r>
    </w:p>
    <w:p w14:paraId="77129BFA">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2.《农田灌溉水质标准》（GB 5084-2021）</w:t>
      </w:r>
    </w:p>
    <w:p w14:paraId="7DA9E1B1">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3.《节水灌溉工程技术标准》（GB/T 50363-2018）</w:t>
      </w:r>
    </w:p>
    <w:p w14:paraId="250606F1">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（七）节能与可研专业</w:t>
      </w:r>
    </w:p>
    <w:p w14:paraId="3D29B7CA">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1.《建筑节能与可再生能源利用通用规范》（GB55015-2021）</w:t>
      </w:r>
    </w:p>
    <w:p w14:paraId="344E40B0">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2.《节能评估技术导则》（GB/T 31341-2014）</w:t>
      </w:r>
    </w:p>
    <w:p w14:paraId="11DF438A">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3.《节能技术评价导则》（GB/T 40064-2024）</w:t>
      </w:r>
    </w:p>
    <w:p w14:paraId="62876B5D">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beforeAutospacing="0" w:after="157" w:afterLines="50" w:afterAutospacing="0" w:line="360" w:lineRule="auto"/>
        <w:ind w:leftChars="0" w:right="0" w:rightChars="0"/>
        <w:jc w:val="both"/>
        <w:textAlignment w:val="auto"/>
        <w:outlineLvl w:val="9"/>
        <w:rPr>
          <w:rFonts w:hint="default" w:ascii="宋体" w:hAnsi="宋体" w:eastAsia="宋体" w:cs="宋体"/>
          <w:b/>
          <w:bCs/>
          <w:spacing w:val="0"/>
          <w:w w:val="100"/>
          <w:position w:val="0"/>
          <w:sz w:val="28"/>
          <w:szCs w:val="28"/>
          <w:lang w:val="en-US" w:eastAsia="zh-CN"/>
        </w:rPr>
      </w:pPr>
      <w:r>
        <w:rPr>
          <w:rFonts w:hint="eastAsia" w:ascii="宋体" w:hAnsi="宋体" w:eastAsia="宋体" w:cs="宋体"/>
          <w:b/>
          <w:bCs/>
          <w:spacing w:val="0"/>
          <w:w w:val="100"/>
          <w:position w:val="0"/>
          <w:sz w:val="28"/>
          <w:szCs w:val="28"/>
          <w:lang w:val="en-US" w:eastAsia="zh-CN"/>
        </w:rPr>
        <w:t>4.3.2 工程建设方案</w:t>
      </w:r>
    </w:p>
    <w:p w14:paraId="25D7606C">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r>
        <w:rPr>
          <w:rFonts w:hint="eastAsia" w:ascii="宋体" w:hAnsi="宋体" w:eastAsia="宋体" w:cs="宋体"/>
          <w:b/>
          <w:bCs/>
          <w:spacing w:val="0"/>
          <w:w w:val="100"/>
          <w:position w:val="0"/>
          <w:sz w:val="28"/>
          <w:szCs w:val="28"/>
          <w:lang w:val="en-US" w:eastAsia="zh-CN"/>
        </w:rPr>
        <w:t>4.3.2.1 项目总体设计原则与建设目标</w:t>
      </w:r>
    </w:p>
    <w:p w14:paraId="7F8BE82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（一）项目总体设计原则</w:t>
      </w:r>
    </w:p>
    <w:p w14:paraId="054A08F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汝阳县金堆城矿山修复与微电网一体化项目的总体设计遵循安全可靠、经济高效、绿色低碳、智能友好、标准规范五大原则，确保项目在技术先进性、运行稳定性、投资合理性及环境友好性方面达到最优平衡。</w:t>
      </w:r>
    </w:p>
    <w:p w14:paraId="0ED842E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 安全可靠原则：所有光伏、储能设备及土建、电气、消防系统均须依据国家现行强制性规范及推荐标准进行设计与施工，确保全生命周期内结构安全、电气安全、消防安全和运维安全。</w:t>
      </w:r>
    </w:p>
    <w:p w14:paraId="02BFCB6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 经济高效原则：通过优化光伏组件倾角、储能充放电策略，最大化提升系统综合效率。26MW光伏系统效率均不低于82%，1MW/2MWh储能系统充放电策略需结合分时电价及负荷曲线进行动态优化。</w:t>
      </w:r>
    </w:p>
    <w:p w14:paraId="2CB6D5C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 绿色低碳原则：项目充分利用矿山治理后的闲置土地资源，建设林光互补光伏发电系统。所发清洁电力优先就地消纳，通过光伏板下种植超级芦竹，实现生态修复与清洁能源开发的有机融合，矿山区域植被覆盖率提升至80%以上，年固碳量约2000吨。</w:t>
      </w:r>
    </w:p>
    <w:p w14:paraId="3A830FD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 智能友好原则：构建微电网与虚拟电厂一体化管控平台，实现光伏、储能、负荷的实时监测、预测、调度及交易。</w:t>
      </w:r>
    </w:p>
    <w:p w14:paraId="36071F1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 标准规范原则：项目全流程设计、施工、验收及运维均严格遵循国家及行业现行标准。</w:t>
      </w:r>
    </w:p>
    <w:p w14:paraId="1B05547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（二）项目功能定位与建设目标</w:t>
      </w:r>
    </w:p>
    <w:p w14:paraId="47B2256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 功能定位</w:t>
      </w:r>
    </w:p>
    <w:p w14:paraId="7804DE5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本项目定位为汝阳县新能源综合开发利用的示范工程，围绕林光互补+源网荷储一体化模式，实现以下核心功能：分布式电源集成：将26MW林光互补光伏发电系统、1MW/2MWh储能系统及周边工业负荷聚合为可控单元，形成源网荷储一体化微电网系统。虚拟电厂运营：通过聚合本项目光伏、储能及周边可调资源，参与电力辅助服务市场，提升区域电网柔性。源网荷储协同：利用EMS平台对光伏出力、储能充放电、负荷进行实时优化调度。林光互补示范：通过光伏板下种植超级芦竹，形成板上发电、板下种植的双重收益模式，年产生物质燃料约1500吨。碳减排示范：项目全生命周期内减少碳排放，助力汝阳县双碳目标。</w:t>
      </w:r>
    </w:p>
    <w:p w14:paraId="071505D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 建设目标</w:t>
      </w:r>
    </w:p>
    <w:p w14:paraId="51E5119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项目建设目标如下表所示：</w:t>
      </w:r>
    </w:p>
    <w:p w14:paraId="58C600B1">
      <w:pPr>
        <w:kinsoku/>
        <w:autoSpaceDE/>
        <w:autoSpaceDN/>
        <w:adjustRightInd/>
        <w:snapToGrid/>
        <w:spacing w:before="200" w:after="100" w:line="400" w:lineRule="exact"/>
        <w:ind w:firstLine="0"/>
        <w:jc w:val="center"/>
        <w:textAlignment w:val="auto"/>
        <w:rPr>
          <w:rFonts w:ascii="Times New Roman" w:hAnsi="Times New Roman" w:eastAsia="仿宋" w:cs="Times New Roman"/>
          <w:snapToGrid/>
          <w:kern w:val="0"/>
          <w:sz w:val="32"/>
          <w:szCs w:val="32"/>
        </w:rPr>
      </w:pPr>
      <w:r>
        <w:rPr>
          <w:rFonts w:ascii="Times New Roman" w:hAnsi="Times New Roman" w:eastAsia="黑体" w:cs="Times New Roman"/>
          <w:b/>
          <w:bCs/>
          <w:snapToGrid/>
          <w:kern w:val="0"/>
          <w:sz w:val="28"/>
          <w:szCs w:val="32"/>
        </w:rPr>
        <w:t>项目建设目标一览表</w:t>
      </w:r>
    </w:p>
    <w:tbl>
      <w:tblPr>
        <w:tblStyle w:val="14"/>
        <w:tblW w:w="5000" w:type="pct"/>
        <w:jc w:val="center"/>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2376"/>
        <w:gridCol w:w="2958"/>
        <w:gridCol w:w="2992"/>
      </w:tblGrid>
      <w:tr w14:paraId="29A6B6A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3000" w:type="dxa"/>
            <w:vAlign w:val="center"/>
          </w:tcPr>
          <w:p w14:paraId="6683B209">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指标类别</w:t>
            </w:r>
          </w:p>
        </w:tc>
        <w:tc>
          <w:tcPr>
            <w:tcW w:w="3500" w:type="dxa"/>
            <w:vAlign w:val="center"/>
          </w:tcPr>
          <w:p w14:paraId="10C81213">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目标值</w:t>
            </w:r>
          </w:p>
        </w:tc>
        <w:tc>
          <w:tcPr>
            <w:tcW w:w="3500" w:type="dxa"/>
            <w:vAlign w:val="center"/>
          </w:tcPr>
          <w:p w14:paraId="54969691">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备注</w:t>
            </w:r>
          </w:p>
        </w:tc>
      </w:tr>
      <w:tr w14:paraId="0F3F928E">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3000" w:type="dxa"/>
            <w:vAlign w:val="center"/>
          </w:tcPr>
          <w:p w14:paraId="7638ADA7">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光伏装机容量</w:t>
            </w:r>
          </w:p>
        </w:tc>
        <w:tc>
          <w:tcPr>
            <w:tcW w:w="3500" w:type="dxa"/>
            <w:vAlign w:val="center"/>
          </w:tcPr>
          <w:p w14:paraId="7F8E2AFE">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eastAsia" w:ascii="Times New Roman" w:hAnsi="Times New Roman" w:eastAsia="仿宋" w:cs="Times New Roman"/>
                <w:snapToGrid/>
                <w:kern w:val="0"/>
                <w:sz w:val="24"/>
                <w:szCs w:val="32"/>
                <w:lang w:val="en-US" w:eastAsia="zh-CN"/>
              </w:rPr>
              <w:t>26</w:t>
            </w:r>
            <w:r>
              <w:rPr>
                <w:rFonts w:hint="default" w:ascii="Times New Roman" w:hAnsi="Times New Roman" w:eastAsia="仿宋" w:cs="Times New Roman"/>
                <w:snapToGrid/>
                <w:kern w:val="0"/>
                <w:sz w:val="24"/>
                <w:szCs w:val="32"/>
              </w:rPr>
              <w:t>MW</w:t>
            </w:r>
          </w:p>
        </w:tc>
        <w:tc>
          <w:tcPr>
            <w:tcW w:w="3500" w:type="dxa"/>
            <w:vAlign w:val="center"/>
          </w:tcPr>
          <w:p w14:paraId="2759A78B">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林光互补模式布置</w:t>
            </w:r>
          </w:p>
        </w:tc>
      </w:tr>
      <w:tr w14:paraId="6A781673">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3000" w:type="dxa"/>
            <w:vAlign w:val="center"/>
          </w:tcPr>
          <w:p w14:paraId="5B6AB13E">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储能容量</w:t>
            </w:r>
          </w:p>
        </w:tc>
        <w:tc>
          <w:tcPr>
            <w:tcW w:w="3500" w:type="dxa"/>
            <w:vAlign w:val="center"/>
          </w:tcPr>
          <w:p w14:paraId="4F3EC9C4">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eastAsia" w:ascii="Times New Roman" w:hAnsi="Times New Roman" w:eastAsia="仿宋" w:cs="Times New Roman"/>
                <w:snapToGrid/>
                <w:kern w:val="0"/>
                <w:sz w:val="24"/>
                <w:szCs w:val="32"/>
                <w:lang w:val="en-US" w:eastAsia="zh-CN"/>
              </w:rPr>
              <w:t>1</w:t>
            </w:r>
            <w:r>
              <w:rPr>
                <w:rFonts w:hint="default" w:ascii="Times New Roman" w:hAnsi="Times New Roman" w:eastAsia="仿宋" w:cs="Times New Roman"/>
                <w:snapToGrid/>
                <w:kern w:val="0"/>
                <w:sz w:val="24"/>
                <w:szCs w:val="32"/>
              </w:rPr>
              <w:t>MW /</w:t>
            </w:r>
            <w:r>
              <w:rPr>
                <w:rFonts w:hint="eastAsia" w:ascii="Times New Roman" w:hAnsi="Times New Roman" w:eastAsia="仿宋" w:cs="Times New Roman"/>
                <w:snapToGrid/>
                <w:kern w:val="0"/>
                <w:sz w:val="24"/>
                <w:szCs w:val="32"/>
                <w:lang w:val="en-US" w:eastAsia="zh-CN"/>
              </w:rPr>
              <w:t>2</w:t>
            </w:r>
            <w:r>
              <w:rPr>
                <w:rFonts w:hint="default" w:ascii="Times New Roman" w:hAnsi="Times New Roman" w:eastAsia="仿宋" w:cs="Times New Roman"/>
                <w:snapToGrid/>
                <w:kern w:val="0"/>
                <w:sz w:val="24"/>
                <w:szCs w:val="32"/>
              </w:rPr>
              <w:t>MWh</w:t>
            </w:r>
          </w:p>
        </w:tc>
        <w:tc>
          <w:tcPr>
            <w:tcW w:w="3500" w:type="dxa"/>
            <w:vAlign w:val="center"/>
          </w:tcPr>
          <w:p w14:paraId="1453981F">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电网侧磷酸铁锂储能，</w:t>
            </w:r>
            <w:r>
              <w:rPr>
                <w:rFonts w:hint="eastAsia" w:ascii="Times New Roman" w:hAnsi="Times New Roman" w:eastAsia="仿宋" w:cs="Times New Roman"/>
                <w:snapToGrid/>
                <w:kern w:val="0"/>
                <w:sz w:val="24"/>
                <w:szCs w:val="32"/>
                <w:lang w:val="en-US" w:eastAsia="zh-CN"/>
              </w:rPr>
              <w:t>3</w:t>
            </w:r>
            <w:r>
              <w:rPr>
                <w:rFonts w:hint="default" w:ascii="Times New Roman" w:hAnsi="Times New Roman" w:eastAsia="仿宋" w:cs="Times New Roman"/>
                <w:snapToGrid/>
                <w:kern w:val="0"/>
                <w:sz w:val="24"/>
                <w:szCs w:val="32"/>
              </w:rPr>
              <w:t>套</w:t>
            </w:r>
            <w:r>
              <w:rPr>
                <w:rFonts w:hint="eastAsia" w:ascii="Times New Roman" w:hAnsi="Times New Roman" w:eastAsia="仿宋" w:cs="Times New Roman"/>
                <w:snapToGrid/>
                <w:kern w:val="0"/>
                <w:sz w:val="24"/>
                <w:szCs w:val="32"/>
                <w:lang w:val="en-US" w:eastAsia="zh-CN"/>
              </w:rPr>
              <w:t>1</w:t>
            </w:r>
            <w:r>
              <w:rPr>
                <w:rFonts w:hint="default" w:ascii="Times New Roman" w:hAnsi="Times New Roman" w:eastAsia="仿宋" w:cs="Times New Roman"/>
                <w:snapToGrid/>
                <w:kern w:val="0"/>
                <w:sz w:val="24"/>
                <w:szCs w:val="32"/>
              </w:rPr>
              <w:t>MW/</w:t>
            </w:r>
            <w:r>
              <w:rPr>
                <w:rFonts w:hint="eastAsia" w:ascii="Times New Roman" w:hAnsi="Times New Roman" w:eastAsia="仿宋" w:cs="Times New Roman"/>
                <w:snapToGrid/>
                <w:kern w:val="0"/>
                <w:sz w:val="24"/>
                <w:szCs w:val="32"/>
                <w:lang w:val="en-US" w:eastAsia="zh-CN"/>
              </w:rPr>
              <w:t>2</w:t>
            </w:r>
            <w:r>
              <w:rPr>
                <w:rFonts w:hint="default" w:ascii="Times New Roman" w:hAnsi="Times New Roman" w:eastAsia="仿宋" w:cs="Times New Roman"/>
                <w:snapToGrid/>
                <w:kern w:val="0"/>
                <w:sz w:val="24"/>
                <w:szCs w:val="32"/>
              </w:rPr>
              <w:t>MWh预制舱</w:t>
            </w:r>
          </w:p>
        </w:tc>
      </w:tr>
      <w:tr w14:paraId="53495084">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3000" w:type="dxa"/>
            <w:vAlign w:val="center"/>
          </w:tcPr>
          <w:p w14:paraId="3AF305C3">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超级芦竹种植面积</w:t>
            </w:r>
          </w:p>
        </w:tc>
        <w:tc>
          <w:tcPr>
            <w:tcW w:w="3500" w:type="dxa"/>
            <w:vAlign w:val="center"/>
          </w:tcPr>
          <w:p w14:paraId="1A8DA85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300亩</w:t>
            </w:r>
          </w:p>
        </w:tc>
        <w:tc>
          <w:tcPr>
            <w:tcW w:w="3500" w:type="dxa"/>
            <w:vAlign w:val="center"/>
          </w:tcPr>
          <w:p w14:paraId="005C8C3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光伏板下种植</w:t>
            </w:r>
          </w:p>
        </w:tc>
      </w:tr>
      <w:tr w14:paraId="1806EE31">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3000" w:type="dxa"/>
            <w:vAlign w:val="center"/>
          </w:tcPr>
          <w:p w14:paraId="645F6DA0">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年发电量（估算）</w:t>
            </w:r>
          </w:p>
        </w:tc>
        <w:tc>
          <w:tcPr>
            <w:tcW w:w="3500" w:type="dxa"/>
            <w:vAlign w:val="center"/>
          </w:tcPr>
          <w:p w14:paraId="36DDCD5E">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&gt;=3</w:t>
            </w:r>
            <w:r>
              <w:rPr>
                <w:rFonts w:hint="eastAsia" w:ascii="Times New Roman" w:hAnsi="Times New Roman" w:eastAsia="仿宋" w:cs="Times New Roman"/>
                <w:snapToGrid/>
                <w:kern w:val="0"/>
                <w:sz w:val="24"/>
                <w:szCs w:val="32"/>
                <w:lang w:val="en-US" w:eastAsia="zh-CN"/>
              </w:rPr>
              <w:t>0</w:t>
            </w:r>
            <w:r>
              <w:rPr>
                <w:rFonts w:hint="default" w:ascii="Times New Roman" w:hAnsi="Times New Roman" w:eastAsia="仿宋" w:cs="Times New Roman"/>
                <w:snapToGrid/>
                <w:kern w:val="0"/>
                <w:sz w:val="24"/>
                <w:szCs w:val="32"/>
              </w:rPr>
              <w:t>00万kWh</w:t>
            </w:r>
          </w:p>
        </w:tc>
        <w:tc>
          <w:tcPr>
            <w:tcW w:w="3500" w:type="dxa"/>
            <w:vAlign w:val="center"/>
          </w:tcPr>
          <w:p w14:paraId="7ED318B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按年等效利用小时1</w:t>
            </w:r>
            <w:r>
              <w:rPr>
                <w:rFonts w:hint="eastAsia" w:ascii="Times New Roman" w:hAnsi="Times New Roman" w:eastAsia="仿宋" w:cs="Times New Roman"/>
                <w:snapToGrid/>
                <w:kern w:val="0"/>
                <w:sz w:val="24"/>
                <w:szCs w:val="32"/>
                <w:lang w:val="en-US" w:eastAsia="zh-CN"/>
              </w:rPr>
              <w:t>2</w:t>
            </w:r>
            <w:r>
              <w:rPr>
                <w:rFonts w:hint="default" w:ascii="Times New Roman" w:hAnsi="Times New Roman" w:eastAsia="仿宋" w:cs="Times New Roman"/>
                <w:snapToGrid/>
                <w:kern w:val="0"/>
                <w:sz w:val="24"/>
                <w:szCs w:val="32"/>
              </w:rPr>
              <w:t>00h计</w:t>
            </w:r>
          </w:p>
        </w:tc>
      </w:tr>
      <w:tr w14:paraId="6DFD54E9">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3000" w:type="dxa"/>
            <w:vAlign w:val="center"/>
          </w:tcPr>
          <w:p w14:paraId="397B9DB7">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储能年充放电量</w:t>
            </w:r>
          </w:p>
        </w:tc>
        <w:tc>
          <w:tcPr>
            <w:tcW w:w="3500" w:type="dxa"/>
            <w:vAlign w:val="center"/>
          </w:tcPr>
          <w:p w14:paraId="4D768F33">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&gt;=</w:t>
            </w:r>
            <w:r>
              <w:rPr>
                <w:rFonts w:hint="eastAsia" w:ascii="Times New Roman" w:hAnsi="Times New Roman" w:eastAsia="仿宋" w:cs="Times New Roman"/>
                <w:snapToGrid/>
                <w:kern w:val="0"/>
                <w:sz w:val="24"/>
                <w:szCs w:val="32"/>
                <w:lang w:val="en-US" w:eastAsia="zh-CN"/>
              </w:rPr>
              <w:t>5400</w:t>
            </w:r>
            <w:r>
              <w:rPr>
                <w:rFonts w:hint="default" w:ascii="Times New Roman" w:hAnsi="Times New Roman" w:eastAsia="仿宋" w:cs="Times New Roman"/>
                <w:snapToGrid/>
                <w:kern w:val="0"/>
                <w:sz w:val="24"/>
                <w:szCs w:val="32"/>
              </w:rPr>
              <w:t>MWh</w:t>
            </w:r>
          </w:p>
        </w:tc>
        <w:tc>
          <w:tcPr>
            <w:tcW w:w="3500" w:type="dxa"/>
            <w:vAlign w:val="center"/>
          </w:tcPr>
          <w:p w14:paraId="577FD1C9">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按每日一充一放计</w:t>
            </w:r>
          </w:p>
        </w:tc>
      </w:tr>
      <w:tr w14:paraId="528ACC1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3000" w:type="dxa"/>
            <w:vAlign w:val="center"/>
          </w:tcPr>
          <w:p w14:paraId="5ED65B2C">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芦竹年产量</w:t>
            </w:r>
          </w:p>
        </w:tc>
        <w:tc>
          <w:tcPr>
            <w:tcW w:w="3500" w:type="dxa"/>
            <w:vAlign w:val="center"/>
          </w:tcPr>
          <w:p w14:paraId="33FE8CB0">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&gt;=1500吨</w:t>
            </w:r>
          </w:p>
        </w:tc>
        <w:tc>
          <w:tcPr>
            <w:tcW w:w="3500" w:type="dxa"/>
            <w:vAlign w:val="center"/>
          </w:tcPr>
          <w:p w14:paraId="122A37F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可作为生物质燃料</w:t>
            </w:r>
          </w:p>
        </w:tc>
      </w:tr>
      <w:tr w14:paraId="719E451B">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3000" w:type="dxa"/>
            <w:vAlign w:val="center"/>
          </w:tcPr>
          <w:p w14:paraId="19E61A27">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年减少CO2排放</w:t>
            </w:r>
          </w:p>
        </w:tc>
        <w:tc>
          <w:tcPr>
            <w:tcW w:w="3500" w:type="dxa"/>
            <w:vAlign w:val="center"/>
          </w:tcPr>
          <w:p w14:paraId="389EC7DD">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约2.64万吨</w:t>
            </w:r>
          </w:p>
        </w:tc>
        <w:tc>
          <w:tcPr>
            <w:tcW w:w="3500" w:type="dxa"/>
            <w:vAlign w:val="center"/>
          </w:tcPr>
          <w:p w14:paraId="0A0312F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按全国电网平均排放因子0.8tCO2/MWh计算</w:t>
            </w:r>
          </w:p>
        </w:tc>
      </w:tr>
    </w:tbl>
    <w:p w14:paraId="2432E438">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r>
        <w:rPr>
          <w:rFonts w:hint="eastAsia" w:ascii="宋体" w:hAnsi="宋体" w:eastAsia="宋体" w:cs="宋体"/>
          <w:b/>
          <w:bCs/>
          <w:spacing w:val="0"/>
          <w:w w:val="100"/>
          <w:position w:val="0"/>
          <w:sz w:val="28"/>
          <w:szCs w:val="28"/>
          <w:lang w:val="en-US" w:eastAsia="zh-CN"/>
        </w:rPr>
        <w:t>4.3.2.2 光伏发电系统建设方案</w:t>
      </w:r>
    </w:p>
    <w:p w14:paraId="22C6246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（一）26MW林光互补分布式光伏发电系统建设方案</w:t>
      </w:r>
    </w:p>
    <w:p w14:paraId="1A8068C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本项目拟利用金堆城钼业尾矿治理覆土区域约300亩矿山建设用地，建设装机容量26MW的林光互补分布式光伏发电系统。该区域为历史矿山开采区，虽已完成综合治理工作，但土地质量较低，长期处于闲置状态。通过林光互补模式，在光伏阵列下方种植超级芦竹，实现光伏发电与生态修复的有机融合。</w:t>
      </w:r>
    </w:p>
    <w:p w14:paraId="495FD01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系统采用自发自用、余电上网模式，所发绿色电力通过10kv源网荷储系统优先供给汝阳县周边工业企业。光伏组件拟选用单晶硅双面双玻半片组件，额定功率为650Wp，总装机容量26.0MW。逆变器采用组串式智能逆变器，单台额定功率110kW。系统设计运行寿命25年，配套建设1MW/2MWh磷酸铁锂储能系统。</w:t>
      </w:r>
    </w:p>
    <w:p w14:paraId="4221440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光伏组件安装方式：采用柔性支架与固定支架相结合的方式。固定支架区域采用热镀锌钢支架配混凝土基础安装，支架倾角统一设置为30度（面向正南），组件离地高度2.5-4米。柔性支架区域采用钢立柱、横梁、拉索系统，依托地势走向布置，立柱高度2.5-4米，保证板下具备充足的种植空间与通风采光条件。直流侧电压为1500V，组串长度24块组件，每串功率13.2kW。</w:t>
      </w:r>
    </w:p>
    <w:p w14:paraId="4D26C7F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林光互补设计：光伏阵列下方种植超级芦竹300亩，采用水肥一体化智能灌溉系统。超级芦竹具有生长快、产量高、热值高（约4200大卡）的特点，可作为生物质燃料和化工原料使用，兼具固碳释氧、改良土壤、修复生态的多重功能。</w:t>
      </w:r>
    </w:p>
    <w:p w14:paraId="5284E72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（二）安装工程要求</w:t>
      </w:r>
    </w:p>
    <w:p w14:paraId="6259780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光伏组件安装应严格执行《光伏发电站设计标准》（GB50797-2012）（2024年版）及相关安全规范。逆变器选型采用组串式智能逆变器，额定功率110kW，最大效率&gt;=99%，MPPT效率&gt;=99.5%，防护等级IP66。所有电气设备防雷接地按《建筑物防雷设计规范》（GB50057-2010）三级防雷设计。</w:t>
      </w:r>
    </w:p>
    <w:p w14:paraId="7F658DB4">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r>
        <w:rPr>
          <w:rFonts w:hint="eastAsia" w:ascii="宋体" w:hAnsi="宋体" w:eastAsia="宋体" w:cs="宋体"/>
          <w:b/>
          <w:bCs/>
          <w:spacing w:val="0"/>
          <w:w w:val="100"/>
          <w:position w:val="0"/>
          <w:sz w:val="28"/>
          <w:szCs w:val="28"/>
          <w:lang w:val="en-US" w:eastAsia="zh-CN"/>
        </w:rPr>
        <w:t>4.3.2.3 储能系统建设方案</w:t>
      </w:r>
    </w:p>
    <w:p w14:paraId="3A393B9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（一）</w:t>
      </w:r>
      <w:r>
        <w:rPr>
          <w:rFonts w:hint="eastAsia" w:ascii="宋体" w:hAnsi="宋体" w:eastAsia="宋体" w:cs="宋体"/>
          <w:b w:val="0"/>
          <w:bCs w:val="0"/>
          <w:color w:val="000000"/>
          <w:spacing w:val="0"/>
          <w:w w:val="100"/>
          <w:position w:val="0"/>
          <w:sz w:val="28"/>
          <w:szCs w:val="28"/>
          <w:lang w:val="en-US" w:eastAsia="zh-CN"/>
        </w:rPr>
        <w:t>1MW/2MWh</w:t>
      </w:r>
      <w:r>
        <w:rPr>
          <w:rFonts w:hint="default" w:ascii="宋体" w:hAnsi="宋体" w:eastAsia="宋体" w:cs="宋体"/>
          <w:b w:val="0"/>
          <w:bCs w:val="0"/>
          <w:color w:val="000000"/>
          <w:spacing w:val="0"/>
          <w:w w:val="100"/>
          <w:position w:val="0"/>
          <w:sz w:val="28"/>
          <w:szCs w:val="28"/>
          <w:lang w:val="en-US" w:eastAsia="zh-CN"/>
        </w:rPr>
        <w:t>电网侧储能系统建设方案</w:t>
      </w:r>
    </w:p>
    <w:p w14:paraId="1B58752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该储能系统位于</w:t>
      </w:r>
      <w:r>
        <w:rPr>
          <w:rFonts w:hint="eastAsia" w:ascii="宋体" w:hAnsi="宋体" w:eastAsia="宋体" w:cs="宋体"/>
          <w:b w:val="0"/>
          <w:bCs w:val="0"/>
          <w:color w:val="000000"/>
          <w:spacing w:val="0"/>
          <w:w w:val="100"/>
          <w:position w:val="0"/>
          <w:sz w:val="28"/>
          <w:szCs w:val="28"/>
          <w:lang w:val="en-US" w:eastAsia="zh-CN"/>
        </w:rPr>
        <w:t>汝阳县</w:t>
      </w:r>
      <w:r>
        <w:rPr>
          <w:rFonts w:hint="default" w:ascii="宋体" w:hAnsi="宋体" w:eastAsia="宋体" w:cs="宋体"/>
          <w:b w:val="0"/>
          <w:bCs w:val="0"/>
          <w:color w:val="000000"/>
          <w:spacing w:val="0"/>
          <w:w w:val="100"/>
          <w:position w:val="0"/>
          <w:sz w:val="28"/>
          <w:szCs w:val="28"/>
          <w:lang w:val="en-US" w:eastAsia="zh-CN"/>
        </w:rPr>
        <w:t>凤凰山矿山公园（驼腰山）区域，配套</w:t>
      </w:r>
      <w:r>
        <w:rPr>
          <w:rFonts w:hint="eastAsia" w:ascii="宋体" w:hAnsi="宋体" w:eastAsia="宋体" w:cs="宋体"/>
          <w:b w:val="0"/>
          <w:bCs w:val="0"/>
          <w:color w:val="000000"/>
          <w:spacing w:val="0"/>
          <w:w w:val="100"/>
          <w:position w:val="0"/>
          <w:sz w:val="28"/>
          <w:szCs w:val="28"/>
          <w:lang w:val="en-US" w:eastAsia="zh-CN"/>
        </w:rPr>
        <w:t>26MW</w:t>
      </w:r>
      <w:r>
        <w:rPr>
          <w:rFonts w:hint="default" w:ascii="宋体" w:hAnsi="宋体" w:eastAsia="宋体" w:cs="宋体"/>
          <w:b w:val="0"/>
          <w:bCs w:val="0"/>
          <w:color w:val="000000"/>
          <w:spacing w:val="0"/>
          <w:w w:val="100"/>
          <w:position w:val="0"/>
          <w:sz w:val="28"/>
          <w:szCs w:val="28"/>
          <w:lang w:val="en-US" w:eastAsia="zh-CN"/>
        </w:rPr>
        <w:t>林光互补分布式光伏电站，额定功率</w:t>
      </w:r>
      <w:r>
        <w:rPr>
          <w:rFonts w:hint="eastAsia" w:ascii="宋体" w:hAnsi="宋体" w:eastAsia="宋体" w:cs="宋体"/>
          <w:b w:val="0"/>
          <w:bCs w:val="0"/>
          <w:color w:val="000000"/>
          <w:spacing w:val="0"/>
          <w:w w:val="100"/>
          <w:position w:val="0"/>
          <w:sz w:val="28"/>
          <w:szCs w:val="28"/>
          <w:lang w:val="en-US" w:eastAsia="zh-CN"/>
        </w:rPr>
        <w:t>1</w:t>
      </w:r>
      <w:r>
        <w:rPr>
          <w:rFonts w:hint="default" w:ascii="宋体" w:hAnsi="宋体" w:eastAsia="宋体" w:cs="宋体"/>
          <w:b w:val="0"/>
          <w:bCs w:val="0"/>
          <w:color w:val="000000"/>
          <w:spacing w:val="0"/>
          <w:w w:val="100"/>
          <w:position w:val="0"/>
          <w:sz w:val="28"/>
          <w:szCs w:val="28"/>
          <w:lang w:val="en-US" w:eastAsia="zh-CN"/>
        </w:rPr>
        <w:t>MW，额定容量</w:t>
      </w:r>
      <w:r>
        <w:rPr>
          <w:rFonts w:hint="eastAsia" w:ascii="宋体" w:hAnsi="宋体" w:eastAsia="宋体" w:cs="宋体"/>
          <w:b w:val="0"/>
          <w:bCs w:val="0"/>
          <w:color w:val="000000"/>
          <w:spacing w:val="0"/>
          <w:w w:val="100"/>
          <w:position w:val="0"/>
          <w:sz w:val="28"/>
          <w:szCs w:val="28"/>
          <w:lang w:val="en-US" w:eastAsia="zh-CN"/>
        </w:rPr>
        <w:t>2</w:t>
      </w:r>
      <w:r>
        <w:rPr>
          <w:rFonts w:hint="default" w:ascii="宋体" w:hAnsi="宋体" w:eastAsia="宋体" w:cs="宋体"/>
          <w:b w:val="0"/>
          <w:bCs w:val="0"/>
          <w:color w:val="000000"/>
          <w:spacing w:val="0"/>
          <w:w w:val="100"/>
          <w:position w:val="0"/>
          <w:sz w:val="28"/>
          <w:szCs w:val="28"/>
          <w:lang w:val="en-US" w:eastAsia="zh-CN"/>
        </w:rPr>
        <w:t>MWh，以</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电压等级接入项目配电系统，实现与</w:t>
      </w:r>
      <w:r>
        <w:rPr>
          <w:rFonts w:hint="eastAsia" w:ascii="宋体" w:hAnsi="宋体" w:eastAsia="宋体" w:cs="宋体"/>
          <w:b w:val="0"/>
          <w:bCs w:val="0"/>
          <w:color w:val="000000"/>
          <w:spacing w:val="0"/>
          <w:w w:val="100"/>
          <w:position w:val="0"/>
          <w:sz w:val="28"/>
          <w:szCs w:val="28"/>
          <w:lang w:val="en-US" w:eastAsia="zh-CN"/>
        </w:rPr>
        <w:t>26MW</w:t>
      </w:r>
      <w:r>
        <w:rPr>
          <w:rFonts w:hint="default" w:ascii="宋体" w:hAnsi="宋体" w:eastAsia="宋体" w:cs="宋体"/>
          <w:b w:val="0"/>
          <w:bCs w:val="0"/>
          <w:color w:val="000000"/>
          <w:spacing w:val="0"/>
          <w:w w:val="100"/>
          <w:position w:val="0"/>
          <w:sz w:val="28"/>
          <w:szCs w:val="28"/>
          <w:lang w:val="en-US" w:eastAsia="zh-CN"/>
        </w:rPr>
        <w:t>光伏及周边工业负荷的源网荷储一体化协同。系统采用</w:t>
      </w:r>
      <w:r>
        <w:rPr>
          <w:rFonts w:hint="eastAsia" w:ascii="宋体" w:hAnsi="宋体" w:eastAsia="宋体" w:cs="宋体"/>
          <w:b w:val="0"/>
          <w:bCs w:val="0"/>
          <w:color w:val="000000"/>
          <w:spacing w:val="0"/>
          <w:w w:val="100"/>
          <w:position w:val="0"/>
          <w:sz w:val="28"/>
          <w:szCs w:val="28"/>
          <w:lang w:val="en-US" w:eastAsia="zh-CN"/>
        </w:rPr>
        <w:t>3</w:t>
      </w:r>
      <w:r>
        <w:rPr>
          <w:rFonts w:hint="default" w:ascii="宋体" w:hAnsi="宋体" w:eastAsia="宋体" w:cs="宋体"/>
          <w:b w:val="0"/>
          <w:bCs w:val="0"/>
          <w:color w:val="000000"/>
          <w:spacing w:val="0"/>
          <w:w w:val="100"/>
          <w:position w:val="0"/>
          <w:sz w:val="28"/>
          <w:szCs w:val="28"/>
          <w:lang w:val="en-US" w:eastAsia="zh-CN"/>
        </w:rPr>
        <w:t>套</w:t>
      </w:r>
      <w:r>
        <w:rPr>
          <w:rFonts w:hint="eastAsia" w:ascii="宋体" w:hAnsi="宋体" w:eastAsia="宋体" w:cs="宋体"/>
          <w:b w:val="0"/>
          <w:bCs w:val="0"/>
          <w:color w:val="000000"/>
          <w:spacing w:val="0"/>
          <w:w w:val="100"/>
          <w:position w:val="0"/>
          <w:sz w:val="28"/>
          <w:szCs w:val="28"/>
          <w:lang w:val="en-US" w:eastAsia="zh-CN"/>
        </w:rPr>
        <w:t>1</w:t>
      </w:r>
      <w:r>
        <w:rPr>
          <w:rFonts w:hint="default" w:ascii="宋体" w:hAnsi="宋体" w:eastAsia="宋体" w:cs="宋体"/>
          <w:b w:val="0"/>
          <w:bCs w:val="0"/>
          <w:color w:val="000000"/>
          <w:spacing w:val="0"/>
          <w:w w:val="100"/>
          <w:position w:val="0"/>
          <w:sz w:val="28"/>
          <w:szCs w:val="28"/>
          <w:lang w:val="en-US" w:eastAsia="zh-CN"/>
        </w:rPr>
        <w:t>MW/</w:t>
      </w:r>
      <w:r>
        <w:rPr>
          <w:rFonts w:hint="eastAsia" w:ascii="宋体" w:hAnsi="宋体" w:eastAsia="宋体" w:cs="宋体"/>
          <w:b w:val="0"/>
          <w:bCs w:val="0"/>
          <w:color w:val="000000"/>
          <w:spacing w:val="0"/>
          <w:w w:val="100"/>
          <w:position w:val="0"/>
          <w:sz w:val="28"/>
          <w:szCs w:val="28"/>
          <w:lang w:val="en-US" w:eastAsia="zh-CN"/>
        </w:rPr>
        <w:t>2</w:t>
      </w:r>
      <w:r>
        <w:rPr>
          <w:rFonts w:hint="default" w:ascii="宋体" w:hAnsi="宋体" w:eastAsia="宋体" w:cs="宋体"/>
          <w:b w:val="0"/>
          <w:bCs w:val="0"/>
          <w:color w:val="000000"/>
          <w:spacing w:val="0"/>
          <w:w w:val="100"/>
          <w:position w:val="0"/>
          <w:sz w:val="28"/>
          <w:szCs w:val="28"/>
          <w:lang w:val="en-US" w:eastAsia="zh-CN"/>
        </w:rPr>
        <w:t>MWh预制舱式磷酸铁锂电池储能方案，每套预制舱配备1台1MW储能变流器（PCS）、电池管理系统（BMS）、能量管理系统（EMS）接口及升压变压器，并配置中压并网保护与电能质量治理设备，具备削峰填谷、平滑光伏出力、电网辅助服务等综合功能。</w:t>
      </w:r>
    </w:p>
    <w:p w14:paraId="3082E61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系统设计寿命不低于20年，循环寿命&gt;=6000次（80% DOD），响应时间&lt;=100ms。储能电站采用标准化20尺预制舱设计，共布置</w:t>
      </w:r>
      <w:r>
        <w:rPr>
          <w:rFonts w:hint="eastAsia" w:ascii="宋体" w:hAnsi="宋体" w:eastAsia="宋体" w:cs="宋体"/>
          <w:b w:val="0"/>
          <w:bCs w:val="0"/>
          <w:color w:val="000000"/>
          <w:spacing w:val="0"/>
          <w:w w:val="100"/>
          <w:position w:val="0"/>
          <w:sz w:val="28"/>
          <w:szCs w:val="28"/>
          <w:lang w:val="en-US" w:eastAsia="zh-CN"/>
        </w:rPr>
        <w:t>3套1MW/2MWh</w:t>
      </w:r>
      <w:r>
        <w:rPr>
          <w:rFonts w:hint="default" w:ascii="宋体" w:hAnsi="宋体" w:eastAsia="宋体" w:cs="宋体"/>
          <w:b w:val="0"/>
          <w:bCs w:val="0"/>
          <w:color w:val="000000"/>
          <w:spacing w:val="0"/>
          <w:w w:val="100"/>
          <w:position w:val="0"/>
          <w:sz w:val="28"/>
          <w:szCs w:val="28"/>
          <w:lang w:val="en-US" w:eastAsia="zh-CN"/>
        </w:rPr>
        <w:t>储能预制舱，单舱尺寸6058mmx2438mmx2896mm，总占地面积约1800平方米（含间距及消防通道）；冷却方式为智能液冷，环境温度范围-30度~55度时系统可正常运行。通信网络采用光纤环网，与光伏接入点、虚拟电厂控制中心建立数据直连。</w:t>
      </w:r>
    </w:p>
    <w:p w14:paraId="107F9A8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运行策略采用光伏消纳+削峰填谷+辅助服务模式：光伏大发时段（10:00-15:00）多余电量向储能充电；在负荷高峰时段（08:00-12:00、14:00-22:00）储能放电，实现峰谷套利并降低项目最大需量。同时预留20%容量用于电网一次调频（响应时间&lt;=1s），并作为备用电源为关键负荷提供应急供电（切换时间&lt;=1min）。储能系统参与电力现货市场交易和辅助服务市场，通过峰谷价差获取收益，提升项目整体经济性。</w:t>
      </w:r>
    </w:p>
    <w:p w14:paraId="7C299EC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储能系统布置在光伏场区西侧，靠近</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升压站位置，便于电缆敷设和运行维护。预制舱间距不小于5米，满足消防通道要求。储能区域设置围栏、视频监控、消防系统等安全防护设施。</w:t>
      </w:r>
    </w:p>
    <w:p w14:paraId="24B7E11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（二）储能系统安全设计</w:t>
      </w:r>
    </w:p>
    <w:p w14:paraId="70F8C42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储能系统安全设计遵循《电化学储能电站设计规范》（GB51048-2014）及相关标准。储能预制舱采用防火隔墙分隔，耐火极限不低于3小时，舱间距不小于5m。舱内配置PACK级可燃气体探测+温感+烟感+全氟己酮/七氟丙烷灭火+水喷淋预留，形成三级消防安全体系。电池管理系统（BMS）具备过充、过放、过温、短路、绝缘检测等多重保护功能，200ms内可实现接触器自动分断。</w:t>
      </w:r>
    </w:p>
    <w:p w14:paraId="048EC3E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储能系统接地电阻不大于1欧姆，舱体金属外壳、电缆桥架均可靠接地。舱体防护等级IP55，具备防水、防尘、防腐蚀功能（防腐等级C4）。冷却系统采用模块化智能液冷温控，PACK级温差&lt;=3度，确保电池工作温度在最佳范围内。</w:t>
      </w:r>
    </w:p>
    <w:p w14:paraId="3F281B1F">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default" w:ascii="宋体" w:hAnsi="宋体" w:eastAsia="宋体" w:cs="宋体"/>
          <w:b/>
          <w:bCs/>
          <w:spacing w:val="0"/>
          <w:w w:val="100"/>
          <w:position w:val="0"/>
          <w:sz w:val="28"/>
          <w:szCs w:val="28"/>
          <w:lang w:val="en-US" w:eastAsia="zh-CN"/>
        </w:rPr>
      </w:pPr>
      <w:r>
        <w:rPr>
          <w:rFonts w:hint="default" w:ascii="宋体" w:hAnsi="宋体" w:eastAsia="宋体" w:cs="宋体"/>
          <w:b/>
          <w:bCs/>
          <w:spacing w:val="0"/>
          <w:w w:val="100"/>
          <w:position w:val="0"/>
          <w:sz w:val="28"/>
          <w:szCs w:val="28"/>
          <w:lang w:val="en-US" w:eastAsia="zh-CN"/>
        </w:rPr>
        <w:t>4.3.2.4 超级芦竹种植方案</w:t>
      </w:r>
    </w:p>
    <w:p w14:paraId="72A3901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（一）超级芦竹种植区域规划</w:t>
      </w:r>
    </w:p>
    <w:p w14:paraId="564CC6F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本项目在光伏阵列下方及阵列间隙区域种植超级芦竹300亩。种植区域分为三个区：A区（光伏板下种植区）约200亩，位于光伏阵列正下方，利用板下遮阴保湿环境种植；B区（阵列间隙种植区）约60亩，利用阵列间空隙种植；C区（边坡及道路两侧种植区）约40亩，用于边坡防护和景观绿化。</w:t>
      </w:r>
    </w:p>
    <w:p w14:paraId="366D920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（二）芦竹种植工程建设方案</w:t>
      </w:r>
    </w:p>
    <w:p w14:paraId="6B5B214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1、土地平整与土壤改良工程</w:t>
      </w:r>
    </w:p>
    <w:p w14:paraId="7E13CEB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项目需对300亩矿山建设用地进行土地平整，清除危岩碎石，平整土地坡度至15度以下。土地平整工程费用15万元，平整面积300亩，综合单价500元/亩。平整后进行土壤改良，施用有机肥2吨/亩，调节土壤pH值至6.0-7.5，增加土壤有机质含量，改善土壤结构。土壤改良工程包括：深翻土地30cm以上，打破犁底层；施用腐熟农家肥或商品有机肥2吨/亩；根据土壤检测结果补充氮磷钾复合肥50kg/亩；对于酸性土壤施用石灰调节pH值。改良后土壤有机质含量不低于1.5%，pH值控制在6.0-7.5之间。</w:t>
      </w:r>
    </w:p>
    <w:p w14:paraId="7FFE884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2、种苗采购与定植工程</w:t>
      </w:r>
    </w:p>
    <w:p w14:paraId="19FC37E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种苗采购面积约300亩，。种苗采用中科院培育的超级芦竹改良品种，选用直径1.5-2.5cm、长15-20cm的健壮种茎，要求芽眼饱满、无病虫害。定植采用种茎扦插方式，行距1.5米，株距0.8米，每亩种植约550株。定植时间为每年3-4月，此时气温适宜，成活率高。定植前将种茎浸泡于生根粉溶液中促进生根，定植深度5-8cm，覆土压实后浇透水。预计成活率不低于90%，补植率在10%以内。</w:t>
      </w:r>
    </w:p>
    <w:p w14:paraId="0D0DBE7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3、灌溉系统建设工程</w:t>
      </w:r>
    </w:p>
    <w:p w14:paraId="0412AAD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灌溉系统由深井水源工程、主管网工程和滴灌系统三部分组成。（1）深井工程：在种植区域中心位置建设深井1口，井深不低于120米，出水量不低于50立方米/h，配套潜水泵、变频控制柜及配电设施。深井工程费用120万元。（2）主管网工程：建设灌溉主管网DN150 PE管约2000米、支管网DN90 PE管约5000米，管网埋深不低于0.8m，设阀门井、排气井等配套设施。（3）滴灌系统：采用水肥一体化智能滴灌系统，每行芦竹布置一条滴灌带，滴头间距0.3m，滴头流量2L/h，配套自动化控制系统，根据土壤湿度传感器数据自动控制灌溉量和频率。</w:t>
      </w:r>
    </w:p>
    <w:p w14:paraId="4A99445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4、防护工程</w:t>
      </w:r>
    </w:p>
    <w:p w14:paraId="1EA3685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1）防风固土：在种植区域周边及光伏阵列间隙种植防护林带，选用耐旱、速生乡土树种，带宽3-5米。（2）边坡防护：C区边坡及道路两侧种植区采用生物措施与工程措施相结合的方式进行防护，坡度较陡区域设置生态袋护坡。（3）围栏设施：种植区域周边设置铁丝网围栏，高度1.5m，防止牲畜进入破坏。</w:t>
      </w:r>
    </w:p>
    <w:p w14:paraId="29E7F34A">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5、农机设备配置</w:t>
      </w:r>
    </w:p>
    <w:p w14:paraId="4A6060F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项目配置超级芦竹种植及管护专用农机设备1套，费用100万元。主要设备包括：（1）芦竹专用收割机1台：割幅1.5m，留茬高度可调（10-15cm），收割效率5-8亩/小时。（2）拖拉机及配套农具1套：功率不低于80马力，配套旋耕机、播种机、施肥机等。（3）植保无人机1架：载药量不低于10L，用于病虫害防治和叶面追肥。（4）运输车辆1辆：载重不低于3吨。（5）其他辅助工具：包括割灌机、打捆机、土壤检测仪、气象监测站等。</w:t>
      </w:r>
    </w:p>
    <w:p w14:paraId="4DBCD86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（三）种植技术方案</w:t>
      </w:r>
    </w:p>
    <w:p w14:paraId="3E93D6D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超级芦竹采用中科院培育的改良品种。种植前进行土壤改良，采用水肥一体化智能灌溉系统，滴灌带布置于每行芦竹根部，根据土壤湿度传感器数据自动控制灌溉量和频率。灌溉水源为项目配套建设的深井，水质符合《农田灌溉水质标准》（GB 5084-2021）。生长期管理包括：追肥（每年追施复合肥2次，每次50kg/亩）、病虫害防治（采用生物防治为主，化学防治为辅）、杂草控制（机械化除草为主）。预计种植当年即可收割一次，此后每年可收割</w:t>
      </w:r>
      <w:r>
        <w:rPr>
          <w:rFonts w:hint="eastAsia" w:ascii="宋体" w:hAnsi="宋体" w:eastAsia="宋体" w:cs="宋体"/>
          <w:b w:val="0"/>
          <w:bCs w:val="0"/>
          <w:color w:val="000000"/>
          <w:spacing w:val="0"/>
          <w:w w:val="100"/>
          <w:position w:val="0"/>
          <w:sz w:val="28"/>
          <w:szCs w:val="28"/>
          <w:lang w:val="en-US" w:eastAsia="zh-CN"/>
        </w:rPr>
        <w:t>1</w:t>
      </w:r>
      <w:r>
        <w:rPr>
          <w:rFonts w:hint="default" w:ascii="宋体" w:hAnsi="宋体" w:eastAsia="宋体" w:cs="宋体"/>
          <w:b w:val="0"/>
          <w:bCs w:val="0"/>
          <w:color w:val="000000"/>
          <w:spacing w:val="0"/>
          <w:w w:val="100"/>
          <w:position w:val="0"/>
          <w:sz w:val="28"/>
          <w:szCs w:val="28"/>
        </w:rPr>
        <w:t>次，亩产鲜芦竹约5吨（干重约2.5吨）。</w:t>
      </w:r>
    </w:p>
    <w:p w14:paraId="2BC9A25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（四）收割与利用方案</w:t>
      </w:r>
    </w:p>
    <w:p w14:paraId="053FA55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rPr>
      </w:pPr>
      <w:r>
        <w:rPr>
          <w:rFonts w:hint="default" w:ascii="宋体" w:hAnsi="宋体" w:eastAsia="宋体" w:cs="宋体"/>
          <w:b w:val="0"/>
          <w:bCs w:val="0"/>
          <w:color w:val="000000"/>
          <w:spacing w:val="0"/>
          <w:w w:val="100"/>
          <w:position w:val="0"/>
          <w:sz w:val="28"/>
          <w:szCs w:val="28"/>
        </w:rPr>
        <w:t>超级芦竹每年收割</w:t>
      </w:r>
      <w:r>
        <w:rPr>
          <w:rFonts w:hint="eastAsia" w:ascii="宋体" w:hAnsi="宋体" w:eastAsia="宋体" w:cs="宋体"/>
          <w:b w:val="0"/>
          <w:bCs w:val="0"/>
          <w:color w:val="000000"/>
          <w:spacing w:val="0"/>
          <w:w w:val="100"/>
          <w:position w:val="0"/>
          <w:sz w:val="28"/>
          <w:szCs w:val="28"/>
          <w:lang w:val="en-US" w:eastAsia="zh-CN"/>
        </w:rPr>
        <w:t>1</w:t>
      </w:r>
      <w:r>
        <w:rPr>
          <w:rFonts w:hint="default" w:ascii="宋体" w:hAnsi="宋体" w:eastAsia="宋体" w:cs="宋体"/>
          <w:b w:val="0"/>
          <w:bCs w:val="0"/>
          <w:color w:val="000000"/>
          <w:spacing w:val="0"/>
          <w:w w:val="100"/>
          <w:position w:val="0"/>
          <w:sz w:val="28"/>
          <w:szCs w:val="28"/>
        </w:rPr>
        <w:t>次，在10-11月。收割采用专用割草机机械化作业，留茬高度10-15cm。鲜芦竹经晾晒或烘干处理后，含水率降至15%以下，打包储存。干芦竹热值约4200大卡，可作为生物质燃料直接燃烧发电或供热，也可作为化工原料生产纤维素乙醇、生物天然气等。项目年产干芦竹约1500吨，按市场价800元/吨计算，年收益约</w:t>
      </w:r>
      <w:r>
        <w:rPr>
          <w:rFonts w:hint="eastAsia" w:ascii="宋体" w:hAnsi="宋体" w:eastAsia="宋体" w:cs="宋体"/>
          <w:b w:val="0"/>
          <w:bCs w:val="0"/>
          <w:color w:val="000000"/>
          <w:spacing w:val="0"/>
          <w:w w:val="100"/>
          <w:position w:val="0"/>
          <w:sz w:val="28"/>
          <w:szCs w:val="28"/>
          <w:lang w:val="en-US" w:eastAsia="zh-CN"/>
        </w:rPr>
        <w:t>30</w:t>
      </w:r>
      <w:r>
        <w:rPr>
          <w:rFonts w:hint="default" w:ascii="宋体" w:hAnsi="宋体" w:eastAsia="宋体" w:cs="宋体"/>
          <w:b w:val="0"/>
          <w:bCs w:val="0"/>
          <w:color w:val="000000"/>
          <w:spacing w:val="0"/>
          <w:w w:val="100"/>
          <w:position w:val="0"/>
          <w:sz w:val="28"/>
          <w:szCs w:val="28"/>
        </w:rPr>
        <w:t>万元。</w:t>
      </w:r>
    </w:p>
    <w:p w14:paraId="4B3B491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rPr>
      </w:pPr>
      <w:r>
        <w:rPr>
          <w:rFonts w:hint="eastAsia" w:ascii="宋体" w:hAnsi="宋体" w:eastAsia="宋体" w:cs="宋体"/>
          <w:b w:val="0"/>
          <w:bCs w:val="0"/>
          <w:color w:val="000000"/>
          <w:spacing w:val="0"/>
          <w:w w:val="100"/>
          <w:position w:val="0"/>
          <w:sz w:val="28"/>
          <w:szCs w:val="28"/>
        </w:rPr>
        <w:t>（五）林光互补协同效应</w:t>
      </w:r>
    </w:p>
    <w:p w14:paraId="1113816A">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rPr>
      </w:pPr>
      <w:r>
        <w:rPr>
          <w:rFonts w:hint="eastAsia" w:ascii="宋体" w:hAnsi="宋体" w:eastAsia="宋体" w:cs="宋体"/>
          <w:b w:val="0"/>
          <w:bCs w:val="0"/>
          <w:color w:val="000000"/>
          <w:spacing w:val="0"/>
          <w:w w:val="100"/>
          <w:position w:val="0"/>
          <w:sz w:val="28"/>
          <w:szCs w:val="28"/>
        </w:rPr>
        <w:t>林光互补模式实现了光伏发电与芦竹种植的协同发展。光伏板为芦竹提供遮阴保湿环境，降低夏季高温和冬季低温对芦竹的不利影响；芦竹种植可有效抑制扬尘、减少水土流失，降低光伏组件清洗频率，延长组件使用寿命。此外，芦竹生长过程中吸收二氧化碳、释放氧气，具有良好的碳汇功能，项目年固碳量约2000吨。</w:t>
      </w:r>
    </w:p>
    <w:p w14:paraId="7F2EF84F">
      <w:pPr>
        <w:kinsoku/>
        <w:autoSpaceDE/>
        <w:autoSpaceDN/>
        <w:adjustRightInd/>
        <w:snapToGrid/>
        <w:spacing w:before="200" w:after="100" w:line="400" w:lineRule="exact"/>
        <w:ind w:firstLine="0"/>
        <w:jc w:val="center"/>
        <w:textAlignment w:val="auto"/>
        <w:rPr>
          <w:rFonts w:ascii="Times New Roman" w:hAnsi="Times New Roman" w:eastAsia="仿宋" w:cs="Times New Roman"/>
          <w:snapToGrid/>
          <w:kern w:val="0"/>
          <w:sz w:val="32"/>
          <w:szCs w:val="32"/>
        </w:rPr>
      </w:pPr>
      <w:r>
        <w:rPr>
          <w:rFonts w:ascii="Times New Roman" w:hAnsi="Times New Roman" w:eastAsia="黑体" w:cs="Times New Roman"/>
          <w:b/>
          <w:bCs/>
          <w:snapToGrid/>
          <w:kern w:val="0"/>
          <w:sz w:val="28"/>
          <w:szCs w:val="32"/>
        </w:rPr>
        <w:t>超级芦竹种植主要参数表</w:t>
      </w:r>
    </w:p>
    <w:tbl>
      <w:tblPr>
        <w:tblStyle w:val="14"/>
        <w:tblW w:w="5000" w:type="pct"/>
        <w:jc w:val="center"/>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4102"/>
        <w:gridCol w:w="4224"/>
      </w:tblGrid>
      <w:tr w14:paraId="338AF71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005D2FD5">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参数</w:t>
            </w:r>
          </w:p>
        </w:tc>
        <w:tc>
          <w:tcPr>
            <w:tcW w:w="5000" w:type="dxa"/>
            <w:vAlign w:val="center"/>
          </w:tcPr>
          <w:p w14:paraId="7EF392E8">
            <w:pPr>
              <w:keepNext w:val="0"/>
              <w:keepLines w:val="0"/>
              <w:widowControl/>
              <w:suppressLineNumbers w:val="0"/>
              <w:kinsoku/>
              <w:autoSpaceDE/>
              <w:autoSpaceDN/>
              <w:adjustRightInd/>
              <w:snapToGrid/>
              <w:spacing w:before="60" w:beforeAutospacing="0" w:after="60" w:afterAutospacing="0" w:line="32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b/>
                <w:bCs/>
                <w:snapToGrid/>
                <w:kern w:val="0"/>
                <w:sz w:val="24"/>
                <w:szCs w:val="32"/>
              </w:rPr>
              <w:t>数值</w:t>
            </w:r>
          </w:p>
        </w:tc>
      </w:tr>
      <w:tr w14:paraId="04BD8FB5">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3E89478D">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种植面积</w:t>
            </w:r>
          </w:p>
        </w:tc>
        <w:tc>
          <w:tcPr>
            <w:tcW w:w="5000" w:type="dxa"/>
            <w:vAlign w:val="center"/>
          </w:tcPr>
          <w:p w14:paraId="4F66201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300亩</w:t>
            </w:r>
          </w:p>
        </w:tc>
      </w:tr>
      <w:tr w14:paraId="0B8D834F">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0F905C57">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种植品种</w:t>
            </w:r>
          </w:p>
        </w:tc>
        <w:tc>
          <w:tcPr>
            <w:tcW w:w="5000" w:type="dxa"/>
            <w:vAlign w:val="center"/>
          </w:tcPr>
          <w:p w14:paraId="7D6F01C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超级芦竹（中科院改良品种）</w:t>
            </w:r>
          </w:p>
        </w:tc>
      </w:tr>
      <w:tr w14:paraId="2D2642C9">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4C52E38B">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种植密度</w:t>
            </w:r>
          </w:p>
        </w:tc>
        <w:tc>
          <w:tcPr>
            <w:tcW w:w="5000" w:type="dxa"/>
            <w:vAlign w:val="center"/>
          </w:tcPr>
          <w:p w14:paraId="1E840DFD">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550株/亩</w:t>
            </w:r>
          </w:p>
        </w:tc>
      </w:tr>
      <w:tr w14:paraId="0FD2F5A9">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1290070">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行距x株距</w:t>
            </w:r>
          </w:p>
        </w:tc>
        <w:tc>
          <w:tcPr>
            <w:tcW w:w="5000" w:type="dxa"/>
            <w:vAlign w:val="center"/>
          </w:tcPr>
          <w:p w14:paraId="44FCAA2F">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1.5mx0.8m</w:t>
            </w:r>
          </w:p>
        </w:tc>
      </w:tr>
      <w:tr w14:paraId="3593264B">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59A3AAEC">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种植方式</w:t>
            </w:r>
          </w:p>
        </w:tc>
        <w:tc>
          <w:tcPr>
            <w:tcW w:w="5000" w:type="dxa"/>
            <w:vAlign w:val="center"/>
          </w:tcPr>
          <w:p w14:paraId="7BE4ADFF">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种茎扦插</w:t>
            </w:r>
          </w:p>
        </w:tc>
      </w:tr>
      <w:tr w14:paraId="7A4BDC7C">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0486942C">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灌溉方式</w:t>
            </w:r>
          </w:p>
        </w:tc>
        <w:tc>
          <w:tcPr>
            <w:tcW w:w="5000" w:type="dxa"/>
            <w:vAlign w:val="center"/>
          </w:tcPr>
          <w:p w14:paraId="61F9F2B6">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水肥一体化滴灌</w:t>
            </w:r>
          </w:p>
        </w:tc>
      </w:tr>
      <w:tr w14:paraId="35DCDB40">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4D19CD26">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年收割次数</w:t>
            </w:r>
          </w:p>
        </w:tc>
        <w:tc>
          <w:tcPr>
            <w:tcW w:w="5000" w:type="dxa"/>
            <w:vAlign w:val="center"/>
          </w:tcPr>
          <w:p w14:paraId="5D56D92D">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eastAsia" w:ascii="Times New Roman" w:hAnsi="Times New Roman" w:eastAsia="仿宋" w:cs="Times New Roman"/>
                <w:snapToGrid/>
                <w:kern w:val="0"/>
                <w:sz w:val="24"/>
                <w:szCs w:val="32"/>
                <w:lang w:val="en-US" w:eastAsia="zh-CN"/>
              </w:rPr>
              <w:t>1</w:t>
            </w:r>
            <w:r>
              <w:rPr>
                <w:rFonts w:hint="default" w:ascii="Times New Roman" w:hAnsi="Times New Roman" w:eastAsia="仿宋" w:cs="Times New Roman"/>
                <w:snapToGrid/>
                <w:kern w:val="0"/>
                <w:sz w:val="24"/>
                <w:szCs w:val="32"/>
              </w:rPr>
              <w:t>次</w:t>
            </w:r>
          </w:p>
        </w:tc>
      </w:tr>
      <w:tr w14:paraId="41C1FF3C">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27962EA6">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亩产鲜芦竹</w:t>
            </w:r>
          </w:p>
        </w:tc>
        <w:tc>
          <w:tcPr>
            <w:tcW w:w="5000" w:type="dxa"/>
            <w:vAlign w:val="center"/>
          </w:tcPr>
          <w:p w14:paraId="30297FDF">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约5吨</w:t>
            </w:r>
          </w:p>
        </w:tc>
      </w:tr>
      <w:tr w14:paraId="6BB104B2">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76D4469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亩产干芦竹</w:t>
            </w:r>
          </w:p>
        </w:tc>
        <w:tc>
          <w:tcPr>
            <w:tcW w:w="5000" w:type="dxa"/>
            <w:vAlign w:val="center"/>
          </w:tcPr>
          <w:p w14:paraId="31924881">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约2.5吨</w:t>
            </w:r>
          </w:p>
        </w:tc>
      </w:tr>
      <w:tr w14:paraId="6AA6920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1B59970F">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干芦竹热值</w:t>
            </w:r>
          </w:p>
        </w:tc>
        <w:tc>
          <w:tcPr>
            <w:tcW w:w="5000" w:type="dxa"/>
            <w:vAlign w:val="center"/>
          </w:tcPr>
          <w:p w14:paraId="319117EF">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约4200大卡</w:t>
            </w:r>
          </w:p>
        </w:tc>
      </w:tr>
      <w:tr w14:paraId="1709DAB8">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712D233A">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年产量（干重）</w:t>
            </w:r>
          </w:p>
        </w:tc>
        <w:tc>
          <w:tcPr>
            <w:tcW w:w="5000" w:type="dxa"/>
            <w:vAlign w:val="center"/>
          </w:tcPr>
          <w:p w14:paraId="5A341AE7">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约1500吨</w:t>
            </w:r>
          </w:p>
        </w:tc>
      </w:tr>
      <w:tr w14:paraId="7A0D0007">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5000" w:type="dxa"/>
            <w:vAlign w:val="center"/>
          </w:tcPr>
          <w:p w14:paraId="231524D6">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年固碳量</w:t>
            </w:r>
          </w:p>
        </w:tc>
        <w:tc>
          <w:tcPr>
            <w:tcW w:w="5000" w:type="dxa"/>
            <w:vAlign w:val="center"/>
          </w:tcPr>
          <w:p w14:paraId="0AAB00D5">
            <w:pPr>
              <w:keepNext w:val="0"/>
              <w:keepLines w:val="0"/>
              <w:widowControl/>
              <w:suppressLineNumbers w:val="0"/>
              <w:kinsoku/>
              <w:autoSpaceDE/>
              <w:autoSpaceDN/>
              <w:adjustRightInd/>
              <w:snapToGrid/>
              <w:spacing w:before="40" w:beforeAutospacing="0" w:after="40" w:afterAutospacing="0" w:line="300" w:lineRule="exact"/>
              <w:ind w:left="0" w:right="0" w:firstLine="0"/>
              <w:jc w:val="center"/>
              <w:textAlignment w:val="auto"/>
              <w:rPr>
                <w:rFonts w:hint="default" w:ascii="Times New Roman" w:hAnsi="Times New Roman" w:eastAsia="仿宋" w:cs="Times New Roman"/>
                <w:snapToGrid/>
                <w:kern w:val="0"/>
                <w:sz w:val="32"/>
                <w:szCs w:val="32"/>
              </w:rPr>
            </w:pPr>
            <w:r>
              <w:rPr>
                <w:rFonts w:hint="default" w:ascii="Times New Roman" w:hAnsi="Times New Roman" w:eastAsia="仿宋" w:cs="Times New Roman"/>
                <w:snapToGrid/>
                <w:kern w:val="0"/>
                <w:sz w:val="24"/>
                <w:szCs w:val="32"/>
              </w:rPr>
              <w:t>约2000吨</w:t>
            </w:r>
          </w:p>
        </w:tc>
      </w:tr>
    </w:tbl>
    <w:p w14:paraId="3C9A727D">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default" w:ascii="宋体" w:hAnsi="宋体" w:eastAsia="宋体" w:cs="宋体"/>
          <w:b/>
          <w:bCs/>
          <w:spacing w:val="0"/>
          <w:w w:val="100"/>
          <w:position w:val="0"/>
          <w:sz w:val="28"/>
          <w:szCs w:val="28"/>
          <w:lang w:val="en-US" w:eastAsia="zh-CN"/>
        </w:rPr>
      </w:pPr>
      <w:r>
        <w:rPr>
          <w:rFonts w:hint="default" w:ascii="宋体" w:hAnsi="宋体" w:eastAsia="宋体" w:cs="宋体"/>
          <w:b/>
          <w:bCs/>
          <w:spacing w:val="0"/>
          <w:w w:val="100"/>
          <w:position w:val="0"/>
          <w:sz w:val="28"/>
          <w:szCs w:val="28"/>
          <w:lang w:val="en-US" w:eastAsia="zh-CN"/>
        </w:rPr>
        <w:t>4.3.2.5 微电网与虚拟电厂系统架构</w:t>
      </w:r>
    </w:p>
    <w:p w14:paraId="2239E50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（一）微电网组网方案与能量管理系统设计</w:t>
      </w:r>
    </w:p>
    <w:p w14:paraId="7F01ADE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本项目在</w:t>
      </w:r>
      <w:r>
        <w:rPr>
          <w:rFonts w:hint="eastAsia" w:ascii="宋体" w:hAnsi="宋体" w:eastAsia="宋体" w:cs="宋体"/>
          <w:b w:val="0"/>
          <w:bCs w:val="0"/>
          <w:color w:val="000000"/>
          <w:spacing w:val="0"/>
          <w:w w:val="100"/>
          <w:position w:val="0"/>
          <w:sz w:val="28"/>
          <w:szCs w:val="28"/>
          <w:lang w:val="en-US" w:eastAsia="zh-CN"/>
        </w:rPr>
        <w:t>汝阳县</w:t>
      </w:r>
      <w:r>
        <w:rPr>
          <w:rFonts w:hint="default" w:ascii="宋体" w:hAnsi="宋体" w:eastAsia="宋体" w:cs="宋体"/>
          <w:b w:val="0"/>
          <w:bCs w:val="0"/>
          <w:color w:val="000000"/>
          <w:spacing w:val="0"/>
          <w:w w:val="100"/>
          <w:position w:val="0"/>
          <w:sz w:val="28"/>
          <w:szCs w:val="28"/>
          <w:lang w:val="en-US" w:eastAsia="zh-CN"/>
        </w:rPr>
        <w:t>凤凰山矿山公园区域建设一个相对独立的微电网系统，并通过光纤专网及5G通信与区域电网构成统一管理的微电网群系统。微电网采用源-网-荷-储一体化组网模式，以</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电压等级接入配电网。微电网系统包含</w:t>
      </w:r>
      <w:r>
        <w:rPr>
          <w:rFonts w:hint="eastAsia" w:ascii="宋体" w:hAnsi="宋体" w:eastAsia="宋体" w:cs="宋体"/>
          <w:b w:val="0"/>
          <w:bCs w:val="0"/>
          <w:color w:val="000000"/>
          <w:spacing w:val="0"/>
          <w:w w:val="100"/>
          <w:position w:val="0"/>
          <w:sz w:val="28"/>
          <w:szCs w:val="28"/>
          <w:lang w:val="en-US" w:eastAsia="zh-CN"/>
        </w:rPr>
        <w:t>26MW</w:t>
      </w:r>
      <w:r>
        <w:rPr>
          <w:rFonts w:hint="default" w:ascii="宋体" w:hAnsi="宋体" w:eastAsia="宋体" w:cs="宋体"/>
          <w:b w:val="0"/>
          <w:bCs w:val="0"/>
          <w:color w:val="000000"/>
          <w:spacing w:val="0"/>
          <w:w w:val="100"/>
          <w:position w:val="0"/>
          <w:sz w:val="28"/>
          <w:szCs w:val="28"/>
          <w:lang w:val="en-US" w:eastAsia="zh-CN"/>
        </w:rPr>
        <w:t>林光互补光伏电站、</w:t>
      </w:r>
      <w:r>
        <w:rPr>
          <w:rFonts w:hint="eastAsia" w:ascii="宋体" w:hAnsi="宋体" w:eastAsia="宋体" w:cs="宋体"/>
          <w:b w:val="0"/>
          <w:bCs w:val="0"/>
          <w:color w:val="000000"/>
          <w:spacing w:val="0"/>
          <w:w w:val="100"/>
          <w:position w:val="0"/>
          <w:sz w:val="28"/>
          <w:szCs w:val="28"/>
          <w:lang w:val="en-US" w:eastAsia="zh-CN"/>
        </w:rPr>
        <w:t>1MW/2MWh</w:t>
      </w:r>
      <w:r>
        <w:rPr>
          <w:rFonts w:hint="default" w:ascii="宋体" w:hAnsi="宋体" w:eastAsia="宋体" w:cs="宋体"/>
          <w:b w:val="0"/>
          <w:bCs w:val="0"/>
          <w:color w:val="000000"/>
          <w:spacing w:val="0"/>
          <w:w w:val="100"/>
          <w:position w:val="0"/>
          <w:sz w:val="28"/>
          <w:szCs w:val="28"/>
          <w:lang w:val="en-US" w:eastAsia="zh-CN"/>
        </w:rPr>
        <w:t>电网侧储能系统（</w:t>
      </w:r>
      <w:r>
        <w:rPr>
          <w:rFonts w:hint="eastAsia" w:ascii="宋体" w:hAnsi="宋体" w:eastAsia="宋体" w:cs="宋体"/>
          <w:b w:val="0"/>
          <w:bCs w:val="0"/>
          <w:color w:val="000000"/>
          <w:spacing w:val="0"/>
          <w:w w:val="100"/>
          <w:position w:val="0"/>
          <w:sz w:val="28"/>
          <w:szCs w:val="28"/>
          <w:lang w:val="en-US" w:eastAsia="zh-CN"/>
        </w:rPr>
        <w:t>3套1MW/2MWh</w:t>
      </w:r>
      <w:r>
        <w:rPr>
          <w:rFonts w:hint="default" w:ascii="宋体" w:hAnsi="宋体" w:eastAsia="宋体" w:cs="宋体"/>
          <w:b w:val="0"/>
          <w:bCs w:val="0"/>
          <w:color w:val="000000"/>
          <w:spacing w:val="0"/>
          <w:w w:val="100"/>
          <w:position w:val="0"/>
          <w:sz w:val="28"/>
          <w:szCs w:val="28"/>
          <w:lang w:val="en-US" w:eastAsia="zh-CN"/>
        </w:rPr>
        <w:t>预制舱）及周边工业负荷。场内建设一座</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开关站，光伏逆变器经升压变压器接入</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母线，储能系统经双向变流器接入</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母线，周边工业负荷经专用线路接入。该微电网以自发自用模式运行，储能实现峰谷调节与需量控制。</w:t>
      </w:r>
    </w:p>
    <w:p w14:paraId="367D229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能量管理系统（EMS）采用分层分布式架构，分为站控层、间隔层和过程层。站控层设置微电网能量管理服务器，部署于综合能源管理中心，负责全局优化调度、数据采集与监视控制（SCADA）、功率预测、储能管理等功能。EMS核心功能模块包括：短期/超短期光伏功率预测模块、负荷预测模块、储能调度模块、经济运行优化模块（以综合能源成本最低为目标）、孤岛检测与切换模块。</w:t>
      </w:r>
    </w:p>
    <w:p w14:paraId="1771180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（二）虚拟电厂聚合平台架构与调控策略</w:t>
      </w:r>
    </w:p>
    <w:p w14:paraId="75AF276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虚拟电厂聚合平台部署于综合能源管理中心，采用云-管-边-端四层架构。云层为平台核心，包含资源聚合模块、市场交易模块、优化调度模块、运行监视模块、数据中台及用户服务门户。管层为数据通信网络，采用光纤专网为主、4G/5G无线公网为辅的混合组网方式。边层在微电网控制中心设置边缘计算网关，承担数据预处理、就地控制决策、协议转换、断网自愈等功能。</w:t>
      </w:r>
    </w:p>
    <w:p w14:paraId="1515807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聚合平台的核心功能模块包括：（1）资源聚合模块：将分布式光伏、储能及可调负荷等分散资源建模为虚拟发电单元（VPU）和虚拟储能单元（VSU）。（2）市场交易模块：对接河南省电力交易中心及需求侧响应平台，支持日前、日内、实时三个时间尺度的电能量市场交易及辅助服务市场报价。（3）优化调度模块：以运行成本最小或收益最大为目标，采用混合整数线性规划（MILP）算法生成日前调度计划，并在日内通过滚动优化（每15分钟滚动一次）修正偏差。（4）运行监视模块：提供全资源实时状态监视、故障告警及统计分析报表。</w:t>
      </w:r>
    </w:p>
    <w:p w14:paraId="5A7EA89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（三）多能源协调控制与并网接入方案</w:t>
      </w:r>
    </w:p>
    <w:p w14:paraId="6695637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多能源协调控制以虚拟电厂聚合平台为核心，实现光伏、储能及柔性负荷的协同运行。正常运行模式下，光伏发电优先自用，余量经储能充电或上网；当光伏出力不足时，储能放电补足缺额。储能系统同时承担平抑光伏波动、削峰填谷、提升新能源消纳率三项任务。</w:t>
      </w:r>
    </w:p>
    <w:p w14:paraId="5FA1CC2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并网接入方案：微电网通过</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开关站经1回</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线路接入就近公网变电站，接入容量按照光伏峰值功率加储能功率之和的1.2倍预留，并网点设置电能质量监测装置、防孤岛保护装置、智能断路器及电能表。储能系统并网采用四象限变流器，支持有功/无功解耦调节，具备低电压穿越（LVRT）能力。</w:t>
      </w:r>
    </w:p>
    <w:p w14:paraId="1BCB309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孤岛运行模式下，微电网与公共电网断开，EMS自动切换至孤岛运行策略，储能系统转为V/f控制模式提供电压和频率支撑。故障恢复模式采用准同期并网方式，经检同期装置确认电压、频率、相位满足并网条件后闭合并网开关。</w:t>
      </w:r>
    </w:p>
    <w:p w14:paraId="56616599">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default" w:ascii="宋体" w:hAnsi="宋体" w:eastAsia="宋体" w:cs="宋体"/>
          <w:b/>
          <w:bCs/>
          <w:spacing w:val="0"/>
          <w:w w:val="100"/>
          <w:position w:val="0"/>
          <w:sz w:val="28"/>
          <w:szCs w:val="28"/>
          <w:lang w:val="en-US" w:eastAsia="zh-CN"/>
        </w:rPr>
      </w:pPr>
      <w:r>
        <w:rPr>
          <w:rFonts w:hint="default" w:ascii="宋体" w:hAnsi="宋体" w:eastAsia="宋体" w:cs="宋体"/>
          <w:b/>
          <w:bCs/>
          <w:spacing w:val="0"/>
          <w:w w:val="100"/>
          <w:position w:val="0"/>
          <w:sz w:val="28"/>
          <w:szCs w:val="28"/>
          <w:lang w:val="en-US" w:eastAsia="zh-CN"/>
        </w:rPr>
        <w:t>4.3.2.6 配套辅助工程建设方案</w:t>
      </w:r>
    </w:p>
    <w:p w14:paraId="7CBCBA2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（一）电气系统与线缆敷设方案</w:t>
      </w:r>
    </w:p>
    <w:p w14:paraId="495C450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1. 电气系统设计</w:t>
      </w:r>
    </w:p>
    <w:p w14:paraId="5ED0C39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（1）供配电架构：电气系统采用自发自用、余电上网模式，通过</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并网接入点与公共电网连接。光伏组件所发直流电经逆变器转换为交流电，经升压变压器（0.4kV/</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）接入项目配电系统。储能系统采用</w:t>
      </w:r>
      <w:r>
        <w:rPr>
          <w:rFonts w:hint="eastAsia" w:ascii="宋体" w:hAnsi="宋体" w:eastAsia="宋体" w:cs="宋体"/>
          <w:b w:val="0"/>
          <w:bCs w:val="0"/>
          <w:color w:val="000000"/>
          <w:spacing w:val="0"/>
          <w:w w:val="100"/>
          <w:position w:val="0"/>
          <w:sz w:val="28"/>
          <w:szCs w:val="28"/>
          <w:lang w:val="en-US" w:eastAsia="zh-CN"/>
        </w:rPr>
        <w:t>3套</w:t>
      </w:r>
      <w:r>
        <w:rPr>
          <w:rFonts w:hint="default" w:ascii="宋体" w:hAnsi="宋体" w:eastAsia="宋体" w:cs="宋体"/>
          <w:b w:val="0"/>
          <w:bCs w:val="0"/>
          <w:color w:val="000000"/>
          <w:spacing w:val="0"/>
          <w:w w:val="100"/>
          <w:position w:val="0"/>
          <w:sz w:val="28"/>
          <w:szCs w:val="28"/>
          <w:lang w:val="en-US" w:eastAsia="zh-CN"/>
        </w:rPr>
        <w:t>模块化磷酸铁锂储能预制舱，每套经PCS（1.25MW）与交流母线连接，实现充放电双向控制。系统设计遵循《供配电系统设计规范》（GB50052-2009）、《电化学储能电站设计规范》（GB51048-2014）及《光伏发电站设计标准》（GB50797-2012）（2024年版）。</w:t>
      </w:r>
    </w:p>
    <w:p w14:paraId="70AF479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2）继电保护与自动装置：依据《电力装置的继电保护和自动装置设计规范》（GB/T50062-2008），设置过流、速断、零序、过压、欠压、频率异常、防孤岛、逆功率等保护。储能系统配置BMS与PCS协同保护，包括过充、过放、过温、短路、绝缘检测等。</w:t>
      </w:r>
    </w:p>
    <w:p w14:paraId="3F8459D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3）接地与防雷：按《交流电气装置的接地设计规范》（GB/T50065-2011）等标准设计。光伏组件金属边框、逆变器外壳、储能预制舱、电缆桥架均可靠接地。光伏阵列设置接闪带，接地电阻不大于1欧姆。储能区域设置均压环和接地网。</w:t>
      </w:r>
    </w:p>
    <w:p w14:paraId="7F77137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2. 线缆敷设方案：直流侧选用光伏专用PV1-F电缆，耐压DC 1.8kV。交流侧选用YJV-0.6/1kV电力电缆，</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并网线路选用YJV22-8.7/15kV铠装电缆。储能直流电缆采用NH-YJV-0.6/1kV阻燃耐火型。光伏阵列间电缆沿支架桥架敷设，储能设备间电缆采用沟槽敷设，</w:t>
      </w:r>
      <w:r>
        <w:rPr>
          <w:rFonts w:hint="eastAsia" w:ascii="宋体" w:hAnsi="宋体" w:eastAsia="宋体" w:cs="宋体"/>
          <w:b w:val="0"/>
          <w:bCs w:val="0"/>
          <w:color w:val="000000"/>
          <w:spacing w:val="0"/>
          <w:w w:val="100"/>
          <w:position w:val="0"/>
          <w:sz w:val="28"/>
          <w:szCs w:val="28"/>
          <w:lang w:val="en-US" w:eastAsia="zh-CN"/>
        </w:rPr>
        <w:t>10kv</w:t>
      </w:r>
      <w:r>
        <w:rPr>
          <w:rFonts w:hint="default" w:ascii="宋体" w:hAnsi="宋体" w:eastAsia="宋体" w:cs="宋体"/>
          <w:b w:val="0"/>
          <w:bCs w:val="0"/>
          <w:color w:val="000000"/>
          <w:spacing w:val="0"/>
          <w:w w:val="100"/>
          <w:position w:val="0"/>
          <w:sz w:val="28"/>
          <w:szCs w:val="28"/>
          <w:lang w:val="en-US" w:eastAsia="zh-CN"/>
        </w:rPr>
        <w:t>并网电缆采用排管敷设，管顶埋深不小于0.8m。</w:t>
      </w:r>
    </w:p>
    <w:p w14:paraId="6850D28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（二）监控系统与通信网络建设</w:t>
      </w:r>
    </w:p>
    <w:p w14:paraId="273A2E9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1. 监控系统：采用分层分布式结构，分为站控层、网络层、间隔层。站控层设置监控主机、数据服务器、操作员站；网络层采用冗余工业以太网，通信协议支持IEC 61850、Modbus TCP；间隔层包括光伏逆变器控制器、储能BMS/PCS控制器、智能电表、环境监测仪等。</w:t>
      </w:r>
    </w:p>
    <w:p w14:paraId="4E3D55E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2. 通信网络建设：内部局域网采用光纤环网拓扑，冗余切换时间小于20ms。各光伏逆变器、储能PCS通过RS485或以太网接口接入数据采集终端，再经光纤环网上传至监控主机。远程广域网采用5G专线接入虚拟电厂调度平台，带宽不小于100Mbps，备用链路采用4G LTE。</w:t>
      </w:r>
    </w:p>
    <w:p w14:paraId="4EE2EA2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3. 网络安全：按照《建筑电气与智能化通用规范》（GB55024-2022）设置防火墙、入侵检测系统（IDS）。控制网与管理网物理隔离，远程访问采用VPN加密。</w:t>
      </w:r>
    </w:p>
    <w:p w14:paraId="4E8BF48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（三）安全防护与运维辅助设施方案</w:t>
      </w:r>
    </w:p>
    <w:p w14:paraId="1A36824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1. 安全防护：（1）火灾自动报警与消防：光伏电站、储能区域设置感烟探测器和感温探测器，储能预制舱内配置PACK级可燃气体探测+温感+烟感+全氟己酮灭火+水喷淋预留。储能区域防火隔墙耐火极限不低于3小时，舱间距不小于5m。（2）电气安全：所有电气设备外壳接地，接地电阻不大于1欧姆。光伏阵列设置直流电弧故障检测（AFCI）功能。（3）防雷与过电压保护：按《建筑物防雷设计规范》（GB50057-2010）第三类防雷建筑设置。（4）安全监控：视频监控系统覆盖光伏场区、储能区域、控制室、出入口，存储时间不少于90天。</w:t>
      </w:r>
    </w:p>
    <w:p w14:paraId="42EE7B3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2. 运维辅助设施：（1）运维通道与照明：光伏组件之间设置检修通道，宽度不小于0.6m。储能区域铺设混凝土路面，宽度不小于3m，满足消防车通行。（2）清洗与排水：光伏组件每季度清洗一次。场地设置排水沟，坡度不小于2%。（3）检修与工具：设置运维工具间，存放常用检修工具、万用表、绝缘电阻测试仪、热成像仪等。（4）标识系统：在光伏场区、储能区域设置警示牌、操作提示牌、设备标牌。（5）环境保护措施：废旧电池回收按照《危险废物贮存污染控制标准》（GB18597-2023）执行。施工及运维期间噪声符合《工业企业厂界环境噪声排放标准》（GB12348-2008）。</w:t>
      </w:r>
    </w:p>
    <w:p w14:paraId="53D53AFF">
      <w:pPr>
        <w:pStyle w:val="3"/>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right="0" w:rightChars="0"/>
        <w:jc w:val="both"/>
        <w:textAlignment w:val="baseline"/>
        <w:rPr>
          <w:rFonts w:hint="default" w:ascii="宋体" w:hAnsi="宋体" w:eastAsia="宋体" w:cs="宋体"/>
          <w:b/>
          <w:i w:val="0"/>
          <w:strike w:val="0"/>
          <w:color w:val="000000"/>
          <w:spacing w:val="0"/>
          <w:sz w:val="28"/>
          <w:u w:val="none"/>
          <w:lang w:val="en-US" w:eastAsia="zh-CN"/>
        </w:rPr>
      </w:pPr>
      <w:r>
        <w:rPr>
          <w:rFonts w:hint="default" w:ascii="宋体" w:hAnsi="宋体" w:eastAsia="宋体" w:cs="宋体"/>
          <w:b/>
          <w:i w:val="0"/>
          <w:strike w:val="0"/>
          <w:color w:val="000000"/>
          <w:spacing w:val="0"/>
          <w:sz w:val="28"/>
          <w:u w:val="none"/>
          <w:lang w:val="en-US" w:eastAsia="zh-CN"/>
        </w:rPr>
        <w:t>4.4 用地用海征收补偿（安置）方案</w:t>
      </w:r>
    </w:p>
    <w:p w14:paraId="42251BF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本项目位于河南省新乡市</w:t>
      </w:r>
      <w:r>
        <w:rPr>
          <w:rFonts w:hint="eastAsia" w:ascii="宋体" w:hAnsi="宋体" w:eastAsia="宋体" w:cs="宋体"/>
          <w:b w:val="0"/>
          <w:bCs w:val="0"/>
          <w:color w:val="000000"/>
          <w:spacing w:val="0"/>
          <w:w w:val="100"/>
          <w:position w:val="0"/>
          <w:sz w:val="28"/>
          <w:szCs w:val="28"/>
          <w:lang w:val="en-US" w:eastAsia="zh-CN"/>
        </w:rPr>
        <w:t>汝阳县</w:t>
      </w:r>
      <w:r>
        <w:rPr>
          <w:rFonts w:hint="default" w:ascii="宋体" w:hAnsi="宋体" w:eastAsia="宋体" w:cs="宋体"/>
          <w:b w:val="0"/>
          <w:bCs w:val="0"/>
          <w:color w:val="000000"/>
          <w:spacing w:val="0"/>
          <w:w w:val="100"/>
          <w:position w:val="0"/>
          <w:sz w:val="28"/>
          <w:szCs w:val="28"/>
          <w:lang w:val="en-US" w:eastAsia="zh-CN"/>
        </w:rPr>
        <w:t>凤凰山矿山公园（驼腰山）区域，建设用地为矿山建设用地，土地属性为历史矿山开采区治理后的可用土地，总占地面积约300亩（约20万平方米）。项目所需土地通过与新乡市凤泉湖实业有限公司签订土地使用协议方式取得，不涉及新增建设用地审批。项目用地范围内无原有居民住宅或集体资产，不存在征收补偿争议。项目不涉及海域使用。根据《河南省实施〈中华人民共和国土地管理法〉办法》及相关规定，本项目属于新能源设施用地，符合产业用地政策。项目采用林光互补模式，在光伏板下种植超级芦竹，不改变原有土地属性，不涉及征地拆迁补偿（安置）方案。</w:t>
      </w:r>
    </w:p>
    <w:p w14:paraId="136E1820">
      <w:pPr>
        <w:pStyle w:val="3"/>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right="0" w:rightChars="0"/>
        <w:jc w:val="both"/>
        <w:textAlignment w:val="baseline"/>
        <w:rPr>
          <w:rFonts w:hint="default" w:ascii="宋体" w:hAnsi="宋体" w:eastAsia="宋体" w:cs="宋体"/>
          <w:b/>
          <w:i w:val="0"/>
          <w:strike w:val="0"/>
          <w:color w:val="000000"/>
          <w:spacing w:val="0"/>
          <w:sz w:val="28"/>
          <w:u w:val="none"/>
          <w:lang w:val="en-US" w:eastAsia="zh-CN"/>
        </w:rPr>
      </w:pPr>
      <w:r>
        <w:rPr>
          <w:rFonts w:hint="default" w:ascii="宋体" w:hAnsi="宋体" w:eastAsia="宋体" w:cs="宋体"/>
          <w:b/>
          <w:i w:val="0"/>
          <w:strike w:val="0"/>
          <w:color w:val="000000"/>
          <w:spacing w:val="0"/>
          <w:sz w:val="28"/>
          <w:u w:val="none"/>
          <w:lang w:val="en-US" w:eastAsia="zh-CN"/>
        </w:rPr>
        <w:t>4.5 数字化方案</w:t>
      </w:r>
    </w:p>
    <w:p w14:paraId="1BE4909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（一）数字化技术方案</w:t>
      </w:r>
    </w:p>
    <w:p w14:paraId="3B60F4F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本项目采用基于数字孪生的源网荷储一体化架构，构建统一的能量管理平台。平台集成光伏发电预测、储能充放电策略优化、负荷需求响应功能，通过边缘计算与云端协同实现源网荷储动态平衡。光伏组件配套智能组串式逆变器，支持实时功率跟踪与故障诊断；储能系统采用BMS与EMS联动控制，可自动响应电网调频调峰指令。所有设备通过物联网协议（如MQTT、Modbus TCP）接入平台，实现毫秒级数据采集与控制指令下发。</w:t>
      </w:r>
    </w:p>
    <w:p w14:paraId="3A32866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（二）数字化设备方案</w:t>
      </w:r>
    </w:p>
    <w:p w14:paraId="0E863A5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所有光伏组件、储能电池簇、并网柜均配置智能传感器与通信模块，实现设备运行状态、环境参数、电气参数的全量实时采集。逆变器、储能PCS支持远程固件升级和参数整定。储能系统配备独立电池簇管理单元，实时监测单体电芯电压、温度及一致性，异常时自动隔离并报警。设备层所有数据均通过加密信道上传至平台，形成完整的设备指纹与健康档案。</w:t>
      </w:r>
    </w:p>
    <w:p w14:paraId="06F0FFC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（三）数字化工程方案</w:t>
      </w:r>
    </w:p>
    <w:p w14:paraId="1F291B2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工程设计阶段采用BIM技术，对光伏支架、储能舱体、灌溉管网进行三维建模与碰撞检测。施工过程结合数字化移交系统，利用无人机倾斜摄影与RTK定位技术，实时比对现场安装位置与设计模型偏差。光伏组串接线后通过IV曲线测试仪自动生成组串性能报告，储能系统安装后通过充放电测试自动生成容量验证报告。</w:t>
      </w:r>
    </w:p>
    <w:p w14:paraId="788AB0A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（四）数字化建设管理方案</w:t>
      </w:r>
    </w:p>
    <w:p w14:paraId="2DCCD80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建立项目全流程数字化管理平台，集成进度、质量、安全、物资管理模块。施工人员通过移动终端扫码签到；物资到货采用RFID标签管理。质量验收节点设置电子签名与拍照留痕。安全巡检通过智能安全帽实时监控施工区域人员分布与违规行为。</w:t>
      </w:r>
    </w:p>
    <w:p w14:paraId="72738E3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（五）数字化运维方案</w:t>
      </w:r>
    </w:p>
    <w:p w14:paraId="07F5DFF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项目投产后的运维工作依托数字孪生平台开展。光伏系统利用组件级监控与气象站数据，自动识别组串阴影遮挡、热斑或逆变器效率衰减，生成清洗或维修工单。储能系统基于云端算法分析电池循环寿命与充放电策略，提前预警容量异常衰退。运维人员通过移动APP接收工单，现场操作时通过AR眼镜获取设备历史维修记录与操作指引。</w:t>
      </w:r>
    </w:p>
    <w:p w14:paraId="588F535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（六）网络与数据安全保障方案</w:t>
      </w:r>
    </w:p>
    <w:p w14:paraId="7B24D35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项目构建分层防护的安全体系：物联网感知层采用设备身份认证与加密通信（TLS 1.3）；网络传输层部署工业防火墙与纵向加密装置；平台应用层实施基于角色的访问控制（RBAC）与操作审计日志。数据安全方面，生产数据通过专网上传至本地边缘服务器，仅脱敏汇总后的运营指标可上传至云端。平台设置数据备份与容灾机制，满足等保2.0二级要求。</w:t>
      </w:r>
    </w:p>
    <w:p w14:paraId="5DC49BF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default" w:ascii="宋体" w:hAnsi="宋体" w:eastAsia="宋体" w:cs="宋体"/>
          <w:b w:val="0"/>
          <w:bCs w:val="0"/>
          <w:color w:val="000000"/>
          <w:spacing w:val="0"/>
          <w:w w:val="100"/>
          <w:position w:val="0"/>
          <w:sz w:val="28"/>
          <w:szCs w:val="28"/>
          <w:lang w:val="en-US" w:eastAsia="zh-CN"/>
        </w:rPr>
      </w:pPr>
      <w:r>
        <w:rPr>
          <w:rFonts w:hint="default" w:ascii="宋体" w:hAnsi="宋体" w:eastAsia="宋体" w:cs="宋体"/>
          <w:b w:val="0"/>
          <w:bCs w:val="0"/>
          <w:color w:val="000000"/>
          <w:spacing w:val="0"/>
          <w:w w:val="100"/>
          <w:position w:val="0"/>
          <w:sz w:val="28"/>
          <w:szCs w:val="28"/>
          <w:lang w:val="en-US" w:eastAsia="zh-CN"/>
        </w:rPr>
        <w:t>总结：本项目的数字化方案贯穿设计、施工、运维全生命周期，以数字化交付为核心目标，通过BIM模型、设备数字孪生、施工过程数字化管控、运维智能分析与安全防护体系的有机融合，实现了从物理资产到数字资产的完整映射与闭环管理。方案依托成熟可靠的物联网、云计算与边缘计算技术，能够支撑源网荷储一体化调度，确保系统长期稳定运行，具备高度的工程可实施性与运营可靠性。</w:t>
      </w:r>
    </w:p>
    <w:p w14:paraId="52A230E6">
      <w:pPr>
        <w:pStyle w:val="3"/>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right="0" w:rightChars="0"/>
        <w:jc w:val="both"/>
        <w:textAlignment w:val="baseline"/>
        <w:rPr>
          <w:rFonts w:hint="eastAsia" w:ascii="宋体" w:hAnsi="宋体" w:eastAsia="宋体" w:cs="宋体"/>
          <w:b/>
          <w:i w:val="0"/>
          <w:strike w:val="0"/>
          <w:color w:val="000000"/>
          <w:spacing w:val="0"/>
          <w:sz w:val="28"/>
          <w:u w:val="none"/>
          <w:lang w:val="en-US" w:eastAsia="zh-CN"/>
        </w:rPr>
      </w:pPr>
      <w:bookmarkStart w:id="16" w:name="_Toc7809"/>
      <w:bookmarkStart w:id="17" w:name="_Toc5613"/>
      <w:bookmarkStart w:id="18" w:name="_Toc14005"/>
      <w:bookmarkStart w:id="19" w:name="_Toc8323"/>
      <w:r>
        <w:rPr>
          <w:rFonts w:hint="eastAsia" w:ascii="宋体" w:hAnsi="宋体" w:eastAsia="宋体" w:cs="宋体"/>
          <w:b/>
          <w:i w:val="0"/>
          <w:strike w:val="0"/>
          <w:color w:val="000000"/>
          <w:spacing w:val="0"/>
          <w:sz w:val="28"/>
          <w:u w:val="none"/>
          <w:lang w:val="en-US" w:eastAsia="zh-CN"/>
        </w:rPr>
        <w:t>4.6 建设管理方案</w:t>
      </w:r>
      <w:bookmarkEnd w:id="16"/>
      <w:bookmarkEnd w:id="17"/>
      <w:bookmarkEnd w:id="18"/>
      <w:bookmarkEnd w:id="19"/>
    </w:p>
    <w:p w14:paraId="5CC262EA">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r>
        <w:rPr>
          <w:rFonts w:hint="eastAsia" w:ascii="宋体" w:hAnsi="宋体" w:eastAsia="宋体" w:cs="宋体"/>
          <w:b/>
          <w:bCs/>
          <w:spacing w:val="0"/>
          <w:w w:val="100"/>
          <w:position w:val="0"/>
          <w:sz w:val="28"/>
          <w:szCs w:val="28"/>
          <w:lang w:val="en-US" w:eastAsia="zh-CN"/>
        </w:rPr>
        <w:t>4.6.1 项目组织</w:t>
      </w:r>
    </w:p>
    <w:p w14:paraId="5A0C0DF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为确保项目的建设能够顺利的进行、顺利实施，尽快的投入运营，早日的发挥其重要的价值所在，务必切实加强领导，做好项目的前期准备工作，确保项目的工程质量与进度的完善。</w:t>
      </w:r>
    </w:p>
    <w:p w14:paraId="76E15A3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本项目在建设期间，由建设单位组建建设领导小组，有效的负责项目的组织、协调与管理，并负责控制项目建设的进度、质量和投资。项目指挥部下设办公室、工程管理部、物资供应部、计划财务部等职能部门。</w:t>
      </w:r>
    </w:p>
    <w:p w14:paraId="0BCE4A6B">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bookmarkStart w:id="20" w:name="_Toc1725"/>
      <w:r>
        <w:rPr>
          <w:rFonts w:hint="eastAsia" w:ascii="宋体" w:hAnsi="宋体" w:eastAsia="宋体" w:cs="宋体"/>
          <w:b/>
          <w:bCs/>
          <w:spacing w:val="0"/>
          <w:w w:val="100"/>
          <w:position w:val="0"/>
          <w:sz w:val="28"/>
          <w:szCs w:val="28"/>
          <w:lang w:val="en-US" w:eastAsia="zh-CN"/>
        </w:rPr>
        <w:t>4.6.2 项目管理</w:t>
      </w:r>
      <w:bookmarkEnd w:id="20"/>
    </w:p>
    <w:p w14:paraId="03E7557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1、建设期管理</w:t>
      </w:r>
    </w:p>
    <w:p w14:paraId="62D7AE8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为确保工程建设的顺利进行，由主管单位和建设单位成立本项目建设领导小组，切实加强对建设工程项目的领导，“领导小组”内各职能部门都能密切协调配合，做到目标、项目、资金、人员、责任、监督“六落实”并采取有力措施，层层签订责任状，确保项目的顺利实施，并收到预期效果。</w:t>
      </w:r>
    </w:p>
    <w:p w14:paraId="226529A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整个项目建设要严格执行项目法人制、招投标制、质量监督管理制和工程合同制。要牢固树立“质量第一”的思想，严格把住各个环节的质量关，对项目的资金要做到专款专用，专户储存，封闭使用，严禁资金的挪用，确保项目资金的及时足额到位。</w:t>
      </w:r>
    </w:p>
    <w:p w14:paraId="5531DD3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领导小组负责项目设计、施工和监理的招投标、协调计划落实和工程项目的监督管理、项目的监督检查、资金的落实，确保本项目按期顺利完成，其具体工作如下：</w:t>
      </w:r>
    </w:p>
    <w:p w14:paraId="0C1A312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（1）实行招标投标制</w:t>
      </w:r>
    </w:p>
    <w:p w14:paraId="53DED5E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对项目勘察设计、施工、监理以及与工程建设有关的设备、主要材料等的采购，面向社会进行公开招标，以达到提高工程质量，降低成本的目的。</w:t>
      </w:r>
    </w:p>
    <w:p w14:paraId="0998C65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（2）实行工程质量终身责任制</w:t>
      </w:r>
    </w:p>
    <w:p w14:paraId="5115FA2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对项目建设工程质量负主要责任的领导、对参建单位的领导人和直接责任人，实行工程质量终身负责制度。</w:t>
      </w:r>
    </w:p>
    <w:p w14:paraId="5A6A049A">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（3）实行工程监理制</w:t>
      </w:r>
    </w:p>
    <w:p w14:paraId="06A9508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项目建设过程中，聘请有资质的监理单位和人员，对项目建设进行监理，抓好工程进度，提高工程质量，降低成本。</w:t>
      </w:r>
    </w:p>
    <w:p w14:paraId="631B1F1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（4）严格按照基本建设程序办事</w:t>
      </w:r>
    </w:p>
    <w:p w14:paraId="7110D6F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项目建设过程中，同级审计部门会同纪检检察部门应对建设项目随时进行审计和监督，本项目也应该接受计划、审计等部门和社会舆论的监督，建成后按照有关规定进行严格的竣工验收。</w:t>
      </w:r>
    </w:p>
    <w:p w14:paraId="0C5AD16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（5）严格项目资金管理</w:t>
      </w:r>
    </w:p>
    <w:p w14:paraId="02C176D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要强化项目区建设专项资金的管理，实行封闭运行的财务管理机制，将建设项目分户建卡，实行专账管理、专款专用，根据项目所需的设备、材料和人工费用按验收凭证经检查、验收后进入预算或结算程序，严禁挪用和挤占。</w:t>
      </w:r>
    </w:p>
    <w:p w14:paraId="4CBCE0C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2、运营期管理</w:t>
      </w:r>
    </w:p>
    <w:p w14:paraId="76873AF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运营管理包括节能与节水管理、耗材管理、绿化管理、垃圾管理四方面内容：</w:t>
      </w:r>
    </w:p>
    <w:p w14:paraId="44116C4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（1）节能与节水管理</w:t>
      </w:r>
    </w:p>
    <w:p w14:paraId="71BEC3F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本项目需制定节能和节水管理模式，对厂区内所使用的资源如水、电等进行监控管理的措施，建立完善的节能和节水管理机制。</w:t>
      </w:r>
    </w:p>
    <w:p w14:paraId="6ECAC19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（2）耗材管理</w:t>
      </w:r>
    </w:p>
    <w:p w14:paraId="5347414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设备、管道的布置应方便维修、改造和更换；属公共使用功能的设备、管道应设置在公共部位，以便日常维护和更换。建立耗材管理制度，主要包括建立建筑、设备、系统的维护制度，减少因维修带来的材料消耗，使用各类绿色建筑材料。</w:t>
      </w:r>
    </w:p>
    <w:p w14:paraId="27E6D8E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（3）绿化管理</w:t>
      </w:r>
    </w:p>
    <w:p w14:paraId="52630DD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对绿化用水进行计量，建立完善节水型灌溉系统。</w:t>
      </w:r>
    </w:p>
    <w:p w14:paraId="010DC95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（4）垃圾管理</w:t>
      </w:r>
    </w:p>
    <w:p w14:paraId="0261C2C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在项目管理阶段制定一个垃圾管理制度，对生活垃圾进行分类收集，以便于相关垃圾处理单位改造利用。</w:t>
      </w:r>
    </w:p>
    <w:p w14:paraId="1C7DF462">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bookmarkStart w:id="21" w:name="_Toc27981"/>
      <w:r>
        <w:rPr>
          <w:rFonts w:hint="eastAsia" w:ascii="宋体" w:hAnsi="宋体" w:eastAsia="宋体" w:cs="宋体"/>
          <w:b/>
          <w:bCs/>
          <w:spacing w:val="0"/>
          <w:w w:val="100"/>
          <w:position w:val="0"/>
          <w:sz w:val="28"/>
          <w:szCs w:val="28"/>
          <w:lang w:val="en-US" w:eastAsia="zh-CN"/>
        </w:rPr>
        <w:t>4.6.3 实施进度</w:t>
      </w:r>
      <w:bookmarkEnd w:id="21"/>
    </w:p>
    <w:p w14:paraId="3EC420F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本项目可行性研究报告批准后，建设单位严格按照国家对建设工程的有关规定，积极开展工作。本项目实施主要包括以下五个部分：</w:t>
      </w:r>
    </w:p>
    <w:p w14:paraId="601D667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1、前期工作：可研报告编制及批复、准备设计资料、土地征用及补偿等。</w:t>
      </w:r>
    </w:p>
    <w:p w14:paraId="56F78E4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2、设计工作：建设场地勘察和工程设计等。</w:t>
      </w:r>
    </w:p>
    <w:p w14:paraId="367C332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3、施工准备：落实协作关系及场地平整。</w:t>
      </w:r>
    </w:p>
    <w:p w14:paraId="1693357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4、工程施工：进行总图及工程施工。</w:t>
      </w:r>
    </w:p>
    <w:p w14:paraId="502623D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5、竣工验收：交工验收。</w:t>
      </w:r>
    </w:p>
    <w:p w14:paraId="43BAAB0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为加快建设进度，缩短建设工期，各阶段工作应尽量提前进行，允许有一定程度交叉。依据项目确定的规划设计方案，项目的建设工期拟定为2年。</w:t>
      </w:r>
    </w:p>
    <w:p w14:paraId="46CA26B8">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r>
        <w:rPr>
          <w:rFonts w:hint="eastAsia" w:ascii="宋体" w:hAnsi="宋体" w:eastAsia="宋体" w:cs="宋体"/>
          <w:b/>
          <w:bCs/>
          <w:spacing w:val="0"/>
          <w:w w:val="100"/>
          <w:position w:val="0"/>
          <w:sz w:val="28"/>
          <w:szCs w:val="28"/>
          <w:lang w:val="en-US" w:eastAsia="zh-CN"/>
        </w:rPr>
        <w:t>4.6.4 项目招投标</w:t>
      </w:r>
    </w:p>
    <w:p w14:paraId="7ADDF7A7">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r>
        <w:rPr>
          <w:rFonts w:hint="eastAsia" w:ascii="宋体" w:hAnsi="宋体" w:eastAsia="宋体" w:cs="宋体"/>
          <w:b/>
          <w:bCs/>
          <w:spacing w:val="0"/>
          <w:w w:val="100"/>
          <w:position w:val="0"/>
          <w:sz w:val="28"/>
          <w:szCs w:val="28"/>
          <w:lang w:val="en-US" w:eastAsia="zh-CN"/>
        </w:rPr>
        <w:t>4.6.4.1 招标原则</w:t>
      </w:r>
    </w:p>
    <w:p w14:paraId="6C46F8F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1、公开原则</w:t>
      </w:r>
    </w:p>
    <w:p w14:paraId="2EAD200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公开原则，即要求招标投标活动必须保证充分的透明度，招标投标程序、投标人的资格条件、评标标准和方法、评标和中标结果等信息要公开，保证每个投标人能够获得相同信息，公平参与投标竞争并依法维护自身的合法权益。同时招标投标活动的公开透明，也为当事人、行政和社会监督提供了条件。公开是公平、公正的基础和前提。</w:t>
      </w:r>
    </w:p>
    <w:p w14:paraId="54DBB1BD">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2、公平原则</w:t>
      </w:r>
    </w:p>
    <w:p w14:paraId="5F7581A3">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公平原则，即要求招标人在招标投标各程序环节中一视同仁地给予潜在投标人或者投标人平等竞争的机会，并使其享有同等的权利和义务。例如，招标人不得在资格预审文件和招标文件中含有倾向性内容或者以不合理的条件限制和排斥潜在投标人；不得对潜在投标人或者投标人采取不同的资格审查或者评标标准，依法必须进行招标的项目不得以特定行政区域或者特定行业的业绩、奖项作为评标加分条件或者中标条件等。公平原则主要体现在两个方面:一方面，机会均等，即潜在投标人具有均等的投标竞争机会；另一方面，各方权利义务平等，即招标人和所有投标人之间权利义务均衡并合理承担民事责任。</w:t>
      </w:r>
    </w:p>
    <w:p w14:paraId="7E92453A">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3、公正原则</w:t>
      </w:r>
    </w:p>
    <w:p w14:paraId="0324B17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公正原则，即要求招标人必须依法设定科学、合理和统一的程序、方法和标准，并严格据此接受和客观评审投标文件，真正择优确定中标人，不倾向、不歧视、不排斥，保证各投标人的合法平等权益。为此，招标投标法及其配套规定对招标、投标、开标、评标、中标、签订合同等作了相关规定，以保证招标投标的程序、方法、标准、权益及其实体结果的公正。例如，评标委员会必须按照招标文件事先确定并公开的评标标准和方法客观评审投标文件和推荐中标候选人，并明确否决投标的法定情形等。</w:t>
      </w:r>
    </w:p>
    <w:p w14:paraId="647CF9D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4、诚实信用原则</w:t>
      </w:r>
    </w:p>
    <w:p w14:paraId="3128B7F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诚实信用原则，即要求招标投标各方当事人在招标投标活动和履行合同中应当以守法、诚实、守信、善意的意识和态度行使权利和履行义务，不得故意隐瞒真相或者弄虚作假，不得串标、围标和恶意竞争，不能言而无信甚至背信弃义，在追求自己合法利益的同时不得损害他人的合法利益和社会利益，依法维护双方利益以及与社会利益的平衡。诚实信用是市场经济的基石和民事活动的基本原则。</w:t>
      </w:r>
    </w:p>
    <w:p w14:paraId="2BE186A8">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bookmarkStart w:id="22" w:name="_Toc10896"/>
      <w:r>
        <w:rPr>
          <w:rFonts w:hint="eastAsia" w:ascii="宋体" w:hAnsi="宋体" w:eastAsia="宋体" w:cs="宋体"/>
          <w:b/>
          <w:bCs/>
          <w:spacing w:val="0"/>
          <w:w w:val="100"/>
          <w:position w:val="0"/>
          <w:sz w:val="28"/>
          <w:szCs w:val="28"/>
          <w:lang w:val="en-US" w:eastAsia="zh-CN"/>
        </w:rPr>
        <w:t>4.6.4.2 招标依据</w:t>
      </w:r>
      <w:bookmarkEnd w:id="22"/>
    </w:p>
    <w:p w14:paraId="6744F38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《中华人民共和国建筑法》；</w:t>
      </w:r>
    </w:p>
    <w:p w14:paraId="7875704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《中华人民共和国招标投标法》；</w:t>
      </w:r>
    </w:p>
    <w:p w14:paraId="73CA8E0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河南省招投标有关规定。</w:t>
      </w:r>
    </w:p>
    <w:p w14:paraId="5018375D">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bookmarkStart w:id="23" w:name="_Toc1889"/>
      <w:r>
        <w:rPr>
          <w:rFonts w:hint="eastAsia" w:ascii="宋体" w:hAnsi="宋体" w:eastAsia="宋体" w:cs="宋体"/>
          <w:b/>
          <w:bCs/>
          <w:spacing w:val="0"/>
          <w:w w:val="100"/>
          <w:position w:val="0"/>
          <w:sz w:val="28"/>
          <w:szCs w:val="28"/>
          <w:lang w:val="en-US" w:eastAsia="zh-CN"/>
        </w:rPr>
        <w:t>4.6.4.3 招标条件</w:t>
      </w:r>
      <w:bookmarkEnd w:id="23"/>
    </w:p>
    <w:p w14:paraId="01457F7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《工程建设项目施工招标投标办法》第八条中规定：依法必须招标的工程建设项目，应当具备下列条件才能进行施工招标：</w:t>
      </w:r>
    </w:p>
    <w:p w14:paraId="6F5D3CD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1、招标人已经依法成立。</w:t>
      </w:r>
    </w:p>
    <w:p w14:paraId="6F00DEB6">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2、初步设计及概算应当履行审批手续的，已经批准。</w:t>
      </w:r>
    </w:p>
    <w:p w14:paraId="3CBE80D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3、有相应资金或资金来源已经落实。</w:t>
      </w:r>
    </w:p>
    <w:p w14:paraId="245C056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4、有招标所需的设计图纸及技术资料。</w:t>
      </w:r>
    </w:p>
    <w:p w14:paraId="1161FD27">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bookmarkStart w:id="24" w:name="_Toc17854"/>
      <w:r>
        <w:rPr>
          <w:rFonts w:hint="eastAsia" w:ascii="宋体" w:hAnsi="宋体" w:eastAsia="宋体" w:cs="宋体"/>
          <w:b/>
          <w:bCs/>
          <w:spacing w:val="0"/>
          <w:w w:val="100"/>
          <w:position w:val="0"/>
          <w:sz w:val="28"/>
          <w:szCs w:val="28"/>
          <w:lang w:val="en-US" w:eastAsia="zh-CN"/>
        </w:rPr>
        <w:t>4.6.4.4 招标程序</w:t>
      </w:r>
      <w:bookmarkEnd w:id="24"/>
    </w:p>
    <w:p w14:paraId="5E314A9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1、项目招标</w:t>
      </w:r>
    </w:p>
    <w:p w14:paraId="1C4431E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本项目招标活动具体程序如下：</w:t>
      </w:r>
    </w:p>
    <w:p w14:paraId="0E9F5CE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（1）本项目按照国家有关规定先履行项目审批手续，取得批准后进行公开招标。</w:t>
      </w:r>
    </w:p>
    <w:p w14:paraId="2559754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（2）招标人在国家指定媒体发布招标公告。公告应当载明招标人名称和地址，招标项目的性质、数量、实施地点和时间以及获取招标文件的办法等事项。</w:t>
      </w:r>
    </w:p>
    <w:p w14:paraId="459642C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（3）本项目的招标文件应当包括招标项目的技术要求、对投标人资格审查的标准，投标报价要求和评标标准等所有实质性要求和条件以及拟签订合同的主要条款。</w:t>
      </w:r>
    </w:p>
    <w:p w14:paraId="04D643B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（4）组织潜在投标人踏勘项目现场。</w:t>
      </w:r>
    </w:p>
    <w:p w14:paraId="4D0F47DF">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（5）项目招标文件开始发出之日起至投标人提交投标文件截止之日，最短不得少于二十日。</w:t>
      </w:r>
    </w:p>
    <w:p w14:paraId="4F516102">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2、项目投标</w:t>
      </w:r>
    </w:p>
    <w:p w14:paraId="2EF28FF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（1）本项目投标人应当具备承担招标项目的能力，并应按照招标文件的要求编制投标文件。</w:t>
      </w:r>
    </w:p>
    <w:p w14:paraId="361AB9AC">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（2）投标文件的内容应当包括拟派出的项目负责人与主要技术人员的简历、业绩和拟用于完成招标项目的机械设备清单等。</w:t>
      </w:r>
    </w:p>
    <w:p w14:paraId="5441842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（3）投标人应当在招标文件要求提交投标文件的截止时间前，将投标文件送达投标地点。投标人少于三个的，招标人应当依照本办法重新招标。</w:t>
      </w:r>
    </w:p>
    <w:p w14:paraId="60D4D02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（4）投标人拟在中标后将中标项目的部分非主体、非关键性工作进行分包的，应当在投标文件中载明。</w:t>
      </w:r>
    </w:p>
    <w:p w14:paraId="2D1AE2F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（5）投标人不得相互串通投标报价，不得排挤其它投标人的公平竞争，不得损害招标人或其它投标人的合法权益。</w:t>
      </w:r>
    </w:p>
    <w:p w14:paraId="6DAE86CA">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（6）投标人不得以低于成本的报价投标，也不得以他人名义投标或者以其它方式弄虚作假、骗取中标。</w:t>
      </w:r>
    </w:p>
    <w:p w14:paraId="694988E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3、开标、评标和中标</w:t>
      </w:r>
    </w:p>
    <w:p w14:paraId="681DC8A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（1）开标由委托的招标代理机构主持，在招标文件确定的提交投标文件截止时间的同一时间及预先确定的地点，邀请所有投标人参加。</w:t>
      </w:r>
    </w:p>
    <w:p w14:paraId="55B5E63B">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评标由招标人依法组建的评标委员会负责。评标委员会由五人以上单数组成，其中技术、经济等方面的专家不得少于成员总数的三分之二。专家应当是从事相关领域工作满八年并具有高级职称或具有同等专业水平，对工程项目有较深入的研究，并且职业道德良好，与投标单位无任何利害关系。评标委员会成员应当客观、公正地履行职务，遵守职业道德，对提出的评审意见承担个人责任。</w:t>
      </w:r>
    </w:p>
    <w:p w14:paraId="00EC3BE5">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（3）中标人确定后，招标人向中标人发出中标通知书，该通知书具有法律效力，若中标人放弃中标项目，应当承担法律责任。</w:t>
      </w:r>
    </w:p>
    <w:p w14:paraId="3448982E">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自中标通知书发出30日之内，按照招标文件和中标人的投标文件，招标人和中标人签订书面合同。中标人应当按照合同履行义务，完成中标项目。中标人不得向他人转包中标项目，也不得将中标项目肢解后分别向他人转包。</w:t>
      </w:r>
    </w:p>
    <w:p w14:paraId="652196BC">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Chars="0" w:right="0" w:rightChars="0"/>
        <w:jc w:val="both"/>
        <w:textAlignment w:val="auto"/>
        <w:outlineLvl w:val="9"/>
        <w:rPr>
          <w:rFonts w:hint="eastAsia" w:ascii="宋体" w:hAnsi="宋体" w:eastAsia="宋体" w:cs="宋体"/>
          <w:b/>
          <w:bCs/>
          <w:spacing w:val="0"/>
          <w:w w:val="100"/>
          <w:position w:val="0"/>
          <w:sz w:val="28"/>
          <w:szCs w:val="28"/>
          <w:lang w:val="en-US" w:eastAsia="zh-CN"/>
        </w:rPr>
      </w:pPr>
      <w:bookmarkStart w:id="25" w:name="_Toc28201"/>
      <w:r>
        <w:rPr>
          <w:rFonts w:hint="eastAsia" w:ascii="宋体" w:hAnsi="宋体" w:eastAsia="宋体" w:cs="宋体"/>
          <w:b/>
          <w:bCs/>
          <w:spacing w:val="0"/>
          <w:w w:val="100"/>
          <w:position w:val="0"/>
          <w:sz w:val="28"/>
          <w:szCs w:val="28"/>
          <w:lang w:val="en-US" w:eastAsia="zh-CN"/>
        </w:rPr>
        <w:t>4.6.4.5 招标方案</w:t>
      </w:r>
      <w:bookmarkEnd w:id="25"/>
    </w:p>
    <w:p w14:paraId="6617BAD1">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本项目所涉及到的所有建设项目均按规定要求实施招标，委托有资质的招标单位组织实施，采用公开招标方式，实行合理低价中标的原则，杜绝一切漏洞，保证项目顺利进行，达到项目的最初预期和效益。</w:t>
      </w:r>
    </w:p>
    <w:p w14:paraId="462594D0">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1、招标范围</w:t>
      </w:r>
    </w:p>
    <w:p w14:paraId="23EA7F69">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本项目招标范围包括项目的勘察、设计、建安工程施工、设备采购、工程监理等。</w:t>
      </w:r>
    </w:p>
    <w:p w14:paraId="6D52D194">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2、招标组织形式</w:t>
      </w:r>
    </w:p>
    <w:p w14:paraId="2B5BB717">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根据法律、法规规定，本项目拟采取委托招标形式。</w:t>
      </w:r>
    </w:p>
    <w:p w14:paraId="2365BA08">
      <w:pPr>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360" w:lineRule="auto"/>
        <w:ind w:left="0" w:leftChars="0" w:right="0" w:rightChars="0" w:firstLine="560" w:firstLineChars="200"/>
        <w:jc w:val="both"/>
        <w:textAlignment w:val="auto"/>
        <w:rPr>
          <w:rFonts w:hint="eastAsia" w:ascii="宋体" w:hAnsi="宋体" w:eastAsia="宋体" w:cs="宋体"/>
          <w:b w:val="0"/>
          <w:bCs w:val="0"/>
          <w:color w:val="000000"/>
          <w:spacing w:val="0"/>
          <w:w w:val="100"/>
          <w:position w:val="0"/>
          <w:sz w:val="28"/>
          <w:szCs w:val="28"/>
          <w:lang w:val="en-US" w:eastAsia="zh-CN"/>
        </w:rPr>
      </w:pPr>
      <w:r>
        <w:rPr>
          <w:rFonts w:hint="eastAsia" w:ascii="宋体" w:hAnsi="宋体" w:eastAsia="宋体" w:cs="宋体"/>
          <w:b w:val="0"/>
          <w:bCs w:val="0"/>
          <w:color w:val="000000"/>
          <w:spacing w:val="0"/>
          <w:w w:val="100"/>
          <w:position w:val="0"/>
          <w:sz w:val="28"/>
          <w:szCs w:val="28"/>
          <w:lang w:val="en-US" w:eastAsia="zh-CN"/>
        </w:rPr>
        <w:t>3、招标方式本项目的勘察设计、工程监理、建筑施工及安装工程、设备的采购拟采用的招标方式进行公开，择优选择勘察设计单位、建筑安装公司、工程监理公司和设备供货商。具体招标方案如下所示：</w:t>
      </w:r>
    </w:p>
    <w:p w14:paraId="242D81B1">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right="0" w:rightChars="0"/>
        <w:jc w:val="center"/>
        <w:textAlignment w:val="auto"/>
        <w:rPr>
          <w:rFonts w:hint="eastAsia" w:ascii="宋体" w:hAnsi="宋体" w:eastAsia="宋体" w:cs="宋体"/>
          <w:b/>
          <w:bCs/>
          <w:color w:val="auto"/>
          <w:spacing w:val="0"/>
          <w:w w:val="100"/>
          <w:position w:val="0"/>
          <w:sz w:val="28"/>
          <w:szCs w:val="28"/>
          <w:lang w:val="en-US" w:eastAsia="zh-CN"/>
        </w:rPr>
      </w:pPr>
      <w:r>
        <w:rPr>
          <w:rFonts w:hint="eastAsia" w:ascii="宋体" w:hAnsi="宋体" w:eastAsia="宋体" w:cs="宋体"/>
          <w:b/>
          <w:bCs/>
          <w:color w:val="auto"/>
          <w:spacing w:val="0"/>
          <w:w w:val="100"/>
          <w:position w:val="0"/>
          <w:sz w:val="28"/>
          <w:szCs w:val="28"/>
          <w:lang w:val="en-US" w:eastAsia="zh-CN"/>
        </w:rPr>
        <w:t>表4-5项目招投标一览表</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900"/>
        <w:gridCol w:w="951"/>
        <w:gridCol w:w="886"/>
        <w:gridCol w:w="891"/>
        <w:gridCol w:w="889"/>
        <w:gridCol w:w="890"/>
        <w:gridCol w:w="1109"/>
        <w:gridCol w:w="886"/>
      </w:tblGrid>
      <w:tr w14:paraId="0C7B8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jc w:val="center"/>
        </w:trPr>
        <w:tc>
          <w:tcPr>
            <w:tcW w:w="1315" w:type="dxa"/>
            <w:vMerge w:val="restart"/>
            <w:vAlign w:val="center"/>
          </w:tcPr>
          <w:p w14:paraId="3BD2D965">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分项</w:t>
            </w:r>
          </w:p>
        </w:tc>
        <w:tc>
          <w:tcPr>
            <w:tcW w:w="1851" w:type="dxa"/>
            <w:gridSpan w:val="2"/>
            <w:vAlign w:val="center"/>
          </w:tcPr>
          <w:p w14:paraId="2A2082EC">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招标范围</w:t>
            </w:r>
          </w:p>
        </w:tc>
        <w:tc>
          <w:tcPr>
            <w:tcW w:w="1777" w:type="dxa"/>
            <w:gridSpan w:val="2"/>
            <w:vAlign w:val="center"/>
          </w:tcPr>
          <w:p w14:paraId="244FC747">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招标组织形式</w:t>
            </w:r>
          </w:p>
        </w:tc>
        <w:tc>
          <w:tcPr>
            <w:tcW w:w="1779" w:type="dxa"/>
            <w:gridSpan w:val="2"/>
            <w:vAlign w:val="center"/>
          </w:tcPr>
          <w:p w14:paraId="59D85EA4">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招标方式</w:t>
            </w:r>
          </w:p>
        </w:tc>
        <w:tc>
          <w:tcPr>
            <w:tcW w:w="1109" w:type="dxa"/>
            <w:vMerge w:val="restart"/>
            <w:vAlign w:val="center"/>
          </w:tcPr>
          <w:p w14:paraId="2D114A2A">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不采用招标方式</w:t>
            </w:r>
          </w:p>
        </w:tc>
        <w:tc>
          <w:tcPr>
            <w:tcW w:w="886" w:type="dxa"/>
            <w:vMerge w:val="restart"/>
            <w:vAlign w:val="center"/>
          </w:tcPr>
          <w:p w14:paraId="5C09ADD7">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p>
          <w:p w14:paraId="58B35120">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投资概算</w:t>
            </w:r>
          </w:p>
          <w:p w14:paraId="535A3BC2">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（万元）</w:t>
            </w:r>
          </w:p>
        </w:tc>
      </w:tr>
      <w:tr w14:paraId="0732C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jc w:val="center"/>
        </w:trPr>
        <w:tc>
          <w:tcPr>
            <w:tcW w:w="1315" w:type="dxa"/>
            <w:vMerge w:val="continue"/>
            <w:tcBorders>
              <w:top w:val="nil"/>
            </w:tcBorders>
            <w:vAlign w:val="center"/>
          </w:tcPr>
          <w:p w14:paraId="4DCB329C">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900" w:type="dxa"/>
            <w:vAlign w:val="center"/>
          </w:tcPr>
          <w:p w14:paraId="186D4C7C">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全部招标</w:t>
            </w:r>
          </w:p>
        </w:tc>
        <w:tc>
          <w:tcPr>
            <w:tcW w:w="951" w:type="dxa"/>
            <w:vAlign w:val="center"/>
          </w:tcPr>
          <w:p w14:paraId="21BEC194">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部分招标</w:t>
            </w:r>
          </w:p>
        </w:tc>
        <w:tc>
          <w:tcPr>
            <w:tcW w:w="886" w:type="dxa"/>
            <w:vAlign w:val="center"/>
          </w:tcPr>
          <w:p w14:paraId="54EBD9A1">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自行招标</w:t>
            </w:r>
          </w:p>
        </w:tc>
        <w:tc>
          <w:tcPr>
            <w:tcW w:w="891" w:type="dxa"/>
            <w:vAlign w:val="center"/>
          </w:tcPr>
          <w:p w14:paraId="51C6C3A9">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委托招标</w:t>
            </w:r>
          </w:p>
        </w:tc>
        <w:tc>
          <w:tcPr>
            <w:tcW w:w="889" w:type="dxa"/>
            <w:vAlign w:val="center"/>
          </w:tcPr>
          <w:p w14:paraId="52C380C2">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公开招标</w:t>
            </w:r>
          </w:p>
        </w:tc>
        <w:tc>
          <w:tcPr>
            <w:tcW w:w="890" w:type="dxa"/>
            <w:vAlign w:val="center"/>
          </w:tcPr>
          <w:p w14:paraId="0895C1AE">
            <w:pPr>
              <w:keepNext w:val="0"/>
              <w:keepLines w:val="0"/>
              <w:widowControl/>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邀请招标</w:t>
            </w:r>
          </w:p>
        </w:tc>
        <w:tc>
          <w:tcPr>
            <w:tcW w:w="1109" w:type="dxa"/>
            <w:vMerge w:val="continue"/>
            <w:tcBorders>
              <w:top w:val="nil"/>
            </w:tcBorders>
            <w:vAlign w:val="center"/>
          </w:tcPr>
          <w:p w14:paraId="4418CBFE">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Merge w:val="continue"/>
            <w:tcBorders>
              <w:top w:val="nil"/>
            </w:tcBorders>
            <w:vAlign w:val="center"/>
          </w:tcPr>
          <w:p w14:paraId="0D1F92C6">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r>
      <w:tr w14:paraId="2ED8B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315" w:type="dxa"/>
            <w:vAlign w:val="center"/>
          </w:tcPr>
          <w:p w14:paraId="5661CDE9">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勘察</w:t>
            </w:r>
          </w:p>
        </w:tc>
        <w:tc>
          <w:tcPr>
            <w:tcW w:w="900" w:type="dxa"/>
            <w:vAlign w:val="center"/>
          </w:tcPr>
          <w:p w14:paraId="2B31F15A">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14:paraId="2DD4B255">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54CB0932">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91" w:type="dxa"/>
            <w:vAlign w:val="center"/>
          </w:tcPr>
          <w:p w14:paraId="2339DDD2">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14:paraId="14C97D6A">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14:paraId="107822D5">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1109" w:type="dxa"/>
            <w:vAlign w:val="center"/>
          </w:tcPr>
          <w:p w14:paraId="07A298B3">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2B29D6AE">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r>
      <w:tr w14:paraId="0AD8A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315" w:type="dxa"/>
            <w:vAlign w:val="center"/>
          </w:tcPr>
          <w:p w14:paraId="3F144D77">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设计</w:t>
            </w:r>
          </w:p>
        </w:tc>
        <w:tc>
          <w:tcPr>
            <w:tcW w:w="900" w:type="dxa"/>
            <w:vAlign w:val="center"/>
          </w:tcPr>
          <w:p w14:paraId="6C6A2AD7">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14:paraId="6EDDC056">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017AB2B8">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91" w:type="dxa"/>
            <w:vAlign w:val="center"/>
          </w:tcPr>
          <w:p w14:paraId="024E2C15">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14:paraId="3DE27956">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14:paraId="3F945A18">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1109" w:type="dxa"/>
            <w:vAlign w:val="center"/>
          </w:tcPr>
          <w:p w14:paraId="15FE01E5">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55D23A92">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r>
      <w:tr w14:paraId="09593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315" w:type="dxa"/>
            <w:vAlign w:val="center"/>
          </w:tcPr>
          <w:p w14:paraId="1E6E7B4B">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施工</w:t>
            </w:r>
          </w:p>
        </w:tc>
        <w:tc>
          <w:tcPr>
            <w:tcW w:w="900" w:type="dxa"/>
            <w:vAlign w:val="center"/>
          </w:tcPr>
          <w:p w14:paraId="5DFE90EE">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14:paraId="1ACFEA94">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2723EF17">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91" w:type="dxa"/>
            <w:vAlign w:val="center"/>
          </w:tcPr>
          <w:p w14:paraId="7258A809">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14:paraId="34D99AE1">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14:paraId="1DF07D48">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1109" w:type="dxa"/>
            <w:vAlign w:val="center"/>
          </w:tcPr>
          <w:p w14:paraId="6AA0CFB5">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08FE49E3">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r>
      <w:tr w14:paraId="47BDF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1315" w:type="dxa"/>
            <w:vAlign w:val="center"/>
          </w:tcPr>
          <w:p w14:paraId="4C11B623">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工程监理</w:t>
            </w:r>
          </w:p>
        </w:tc>
        <w:tc>
          <w:tcPr>
            <w:tcW w:w="900" w:type="dxa"/>
            <w:vAlign w:val="center"/>
          </w:tcPr>
          <w:p w14:paraId="3DC4D9C5">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14:paraId="494AFE08">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04C00858">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91" w:type="dxa"/>
            <w:vAlign w:val="center"/>
          </w:tcPr>
          <w:p w14:paraId="09C080A4">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14:paraId="324D7F54">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14:paraId="076D773F">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1109" w:type="dxa"/>
            <w:vAlign w:val="center"/>
          </w:tcPr>
          <w:p w14:paraId="06BF7CE7">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4738EF30">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r>
      <w:tr w14:paraId="6DD5D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jc w:val="center"/>
        </w:trPr>
        <w:tc>
          <w:tcPr>
            <w:tcW w:w="1315" w:type="dxa"/>
            <w:vAlign w:val="center"/>
          </w:tcPr>
          <w:p w14:paraId="55A56A60">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重要购置及</w:t>
            </w:r>
          </w:p>
          <w:p w14:paraId="6F861A4E">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材料</w:t>
            </w:r>
          </w:p>
        </w:tc>
        <w:tc>
          <w:tcPr>
            <w:tcW w:w="900" w:type="dxa"/>
            <w:vAlign w:val="center"/>
          </w:tcPr>
          <w:p w14:paraId="1DAE8AC5">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14:paraId="1D0C3710">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6DBEEF8D">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91" w:type="dxa"/>
            <w:vAlign w:val="center"/>
          </w:tcPr>
          <w:p w14:paraId="61C88C50">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14:paraId="48EC505F">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14:paraId="6D8B3DC4">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1109" w:type="dxa"/>
            <w:vAlign w:val="center"/>
          </w:tcPr>
          <w:p w14:paraId="25521833">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1E442C40">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r>
      <w:tr w14:paraId="1272D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1315" w:type="dxa"/>
            <w:vAlign w:val="center"/>
          </w:tcPr>
          <w:p w14:paraId="6FCC8F17">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其他</w:t>
            </w:r>
          </w:p>
        </w:tc>
        <w:tc>
          <w:tcPr>
            <w:tcW w:w="900" w:type="dxa"/>
            <w:vAlign w:val="center"/>
          </w:tcPr>
          <w:p w14:paraId="7FF6209A">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951" w:type="dxa"/>
            <w:vAlign w:val="center"/>
          </w:tcPr>
          <w:p w14:paraId="7BCACF11">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6" w:type="dxa"/>
            <w:vAlign w:val="center"/>
          </w:tcPr>
          <w:p w14:paraId="0B9CEABB">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91" w:type="dxa"/>
            <w:vAlign w:val="center"/>
          </w:tcPr>
          <w:p w14:paraId="077E267F">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89" w:type="dxa"/>
            <w:vAlign w:val="center"/>
          </w:tcPr>
          <w:p w14:paraId="6C093A7C">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890" w:type="dxa"/>
            <w:vAlign w:val="center"/>
          </w:tcPr>
          <w:p w14:paraId="3A5CD0D1">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c>
          <w:tcPr>
            <w:tcW w:w="1109" w:type="dxa"/>
            <w:vAlign w:val="center"/>
          </w:tcPr>
          <w:p w14:paraId="19122A3A">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886" w:type="dxa"/>
            <w:vAlign w:val="center"/>
          </w:tcPr>
          <w:p w14:paraId="3F6FF92D">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p>
        </w:tc>
      </w:tr>
    </w:tbl>
    <w:p w14:paraId="345B378E">
      <w:pPr>
        <w:rPr>
          <w:rFonts w:hint="eastAsia" w:ascii="宋体" w:hAnsi="宋体" w:eastAsia="宋体" w:cs="宋体"/>
          <w:color w:val="000000"/>
          <w:lang w:val="en-US" w:eastAsia="zh-CN"/>
        </w:rPr>
      </w:pPr>
      <w:r>
        <w:rPr>
          <w:rFonts w:hint="eastAsia" w:ascii="宋体" w:hAnsi="宋体" w:eastAsia="宋体" w:cs="宋体"/>
          <w:color w:val="000000"/>
          <w:lang w:val="en-US" w:eastAsia="zh-CN"/>
        </w:rPr>
        <w:br w:type="page"/>
      </w:r>
    </w:p>
    <w:bookmarkEnd w:id="6"/>
    <w:p w14:paraId="27EFBC3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val="0"/>
          <w:bCs w:val="0"/>
          <w:color w:val="auto"/>
          <w:spacing w:val="0"/>
          <w:sz w:val="28"/>
          <w:szCs w:val="28"/>
          <w:lang w:val="en-US" w:eastAsia="zh-CN" w:bidi="zh-CN"/>
        </w:rPr>
        <w:t>。</w:t>
      </w:r>
      <w:r>
        <w:rPr>
          <w:rFonts w:hint="eastAsia" w:ascii="宋体" w:hAnsi="宋体" w:eastAsia="宋体" w:cs="宋体"/>
          <w:snapToGrid/>
          <w:color w:val="auto"/>
          <w:spacing w:val="0"/>
          <w:w w:val="100"/>
          <w:kern w:val="2"/>
          <w:position w:val="0"/>
          <w:sz w:val="28"/>
          <w:szCs w:val="28"/>
          <w:lang w:val="en-US" w:eastAsia="zh-CN" w:bidi="zh-CN"/>
        </w:rPr>
        <w:br w:type="page"/>
      </w:r>
    </w:p>
    <w:p w14:paraId="76240FE9">
      <w:p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C7A8947">
      <w:pPr>
        <w:keepNext w:val="0"/>
        <w:keepLines w:val="0"/>
        <w:pageBreakBefore w:val="0"/>
        <w:widowControl w:val="0"/>
        <w:kinsoku/>
        <w:wordWrap/>
        <w:overflowPunct/>
        <w:topLinePunct/>
        <w:autoSpaceDE w:val="0"/>
        <w:autoSpaceDN/>
        <w:bidi w:val="0"/>
        <w:adjustRightInd/>
        <w:snapToGrid/>
        <w:spacing w:before="0" w:beforeLines="100" w:after="0" w:afterLines="100" w:line="360" w:lineRule="auto"/>
        <w:jc w:val="center"/>
        <w:textAlignment w:val="baseline"/>
        <w:outlineLvl w:val="0"/>
        <w:rPr>
          <w:rFonts w:hint="eastAsia" w:ascii="宋体" w:hAnsi="宋体" w:eastAsia="宋体" w:cs="宋体"/>
          <w:b/>
          <w:bCs/>
          <w:color w:val="auto"/>
          <w:sz w:val="36"/>
          <w:szCs w:val="36"/>
          <w:lang w:val="en-US" w:eastAsia="zh-CN"/>
        </w:rPr>
      </w:pPr>
      <w:bookmarkStart w:id="26" w:name="_Toc27416"/>
      <w:r>
        <w:rPr>
          <w:rFonts w:hint="eastAsia" w:ascii="宋体" w:hAnsi="宋体" w:eastAsia="宋体" w:cs="宋体"/>
          <w:b/>
          <w:color w:val="auto"/>
          <w:sz w:val="36"/>
          <w:szCs w:val="36"/>
          <w:lang w:val="en-US" w:eastAsia="zh-CN"/>
        </w:rPr>
        <w:t>第六章 项目投融资与财务方案</w:t>
      </w:r>
      <w:bookmarkEnd w:id="26"/>
    </w:p>
    <w:p w14:paraId="37367AA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1"/>
        <w:rPr>
          <w:rFonts w:hint="eastAsia" w:ascii="宋体" w:hAnsi="宋体" w:eastAsia="宋体" w:cs="宋体"/>
          <w:b/>
          <w:bCs/>
          <w:snapToGrid/>
          <w:spacing w:val="0"/>
          <w:w w:val="100"/>
          <w:kern w:val="2"/>
          <w:position w:val="0"/>
          <w:sz w:val="28"/>
          <w:szCs w:val="28"/>
          <w:lang w:val="en-US" w:eastAsia="zh-CN"/>
        </w:rPr>
      </w:pPr>
      <w:bookmarkStart w:id="27" w:name="_Toc29567"/>
      <w:bookmarkStart w:id="28" w:name="_Toc17696"/>
      <w:r>
        <w:rPr>
          <w:rFonts w:hint="eastAsia" w:ascii="宋体" w:hAnsi="宋体" w:eastAsia="宋体" w:cs="宋体"/>
          <w:b/>
          <w:spacing w:val="0"/>
          <w:sz w:val="28"/>
          <w:szCs w:val="28"/>
          <w:lang w:val="en-US" w:eastAsia="zh-CN"/>
        </w:rPr>
        <w:t>6.1 项目投资估算及说明</w:t>
      </w:r>
      <w:bookmarkEnd w:id="27"/>
      <w:bookmarkEnd w:id="28"/>
    </w:p>
    <w:p w14:paraId="29999A7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6.1.1 工程概况</w:t>
      </w:r>
    </w:p>
    <w:p w14:paraId="19CED522">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z w:val="28"/>
          <w:szCs w:val="28"/>
          <w:lang w:val="en-US" w:eastAsia="zh-CN"/>
        </w:rPr>
      </w:pPr>
      <w:r>
        <w:rPr>
          <w:rFonts w:hint="eastAsia" w:ascii="宋体" w:hAnsi="宋体" w:eastAsia="宋体" w:cs="宋体"/>
          <w:b w:val="0"/>
          <w:color w:val="auto"/>
          <w:sz w:val="28"/>
          <w:szCs w:val="28"/>
          <w:lang w:val="en-US" w:eastAsia="zh-CN"/>
        </w:rPr>
        <w:t>本项目是汝阳县金堆城钼业尾矿治理项目的延伸项目。金堆城钼矿经多年开采，尾矿堆积形成大面积尾矿库，矿渣中含有重金属成分，土壤环境特殊。尾矿治理项目是对原寺沟平台整治、覆土绿化，进而形成林地的尾矿综合治理项目。该项目实施后形成林地约300多亩，但由于下层为含重金属尾矿矿渣，土地质量较低。汝阳城市建设公司准备对该部分土地进行二次综合开发，即在尾矿覆土区域种植能源植物超级芦竹，并建设光伏发电低压并网项目。</w:t>
      </w:r>
    </w:p>
    <w:p w14:paraId="6339EFA8">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z w:val="28"/>
          <w:szCs w:val="28"/>
          <w:lang w:val="en-US" w:eastAsia="zh-CN"/>
        </w:rPr>
        <w:t>项目需要在汝阳县金堆城钼业尾矿治理项目已治理尾矿库覆土区域内建设安装26MW分布式光伏发电设备，配套安装3MW/6MWh电网侧储能设备，并在光伏下方种植超级芦竹能源植物，同时完成其他相关配套工程。项目所产出的电力通过"源网荷储"模式供应给金堆城钼业公司使用，种植超级芦竹能源植物将对外进行出售。</w:t>
      </w:r>
    </w:p>
    <w:p w14:paraId="6A4C7B0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6.1.2 编制依据</w:t>
      </w:r>
    </w:p>
    <w:p w14:paraId="0E5A0EAB">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《投资项目可行性研究报告》（计办投资〔2002〕15号）；</w:t>
      </w:r>
    </w:p>
    <w:p w14:paraId="25C0B7B1">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《投资项目经济咨询评估指南》（咨经〔1998〕11号）；</w:t>
      </w:r>
    </w:p>
    <w:p w14:paraId="27EB7FAF">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《建设工程工程量清单计价规范》（GB50500-2013）；</w:t>
      </w:r>
    </w:p>
    <w:p w14:paraId="33E29D85">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《河南省市政工程预算定额》（HAA1-31-2016）；</w:t>
      </w:r>
    </w:p>
    <w:p w14:paraId="3B409929">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《河南省房屋建筑与装饰工程预算定额》（HA01-31-2016）；</w:t>
      </w:r>
    </w:p>
    <w:p w14:paraId="35B5B618">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《河南省通用安装工程预算定额》（HA02-31-2016）；</w:t>
      </w:r>
    </w:p>
    <w:p w14:paraId="2E776DCB">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河南省有关造价文件。</w:t>
      </w:r>
    </w:p>
    <w:p w14:paraId="401B063A">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设备费用依据近期向制造厂询价计算</w:t>
      </w:r>
    </w:p>
    <w:p w14:paraId="7775352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6.1.3 投资构成与估算参数</w:t>
      </w:r>
    </w:p>
    <w:p w14:paraId="2F014424">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工程费用包括主体工程、设备购置费，根据相同结构的类似工程计算，并参考现行市场材料价格和当地工程造价指数信息进行调整，以单方指标计入，具体如下。</w:t>
      </w:r>
    </w:p>
    <w:p w14:paraId="410D9B9D">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1）光伏设备：该区域光伏设备是在汝阳县金堆城钼业尾矿治理项目已治理尾矿库覆土区域内设置的太阳能发电系统，装机容量为26MW，用于利用太阳能资源产生电能。可为金堆城钼业公司提供可再生能源，满足电力需求，减少对传统电网的依赖。光伏组件包括640Wp单晶N型组件、逆变器、交流汇流箱、光伏支架及配件、光伏直流电缆、MC4连接器、交流电缆、干式变压器（箱变）、光伏接入柜、并网柜、站用变电柜、10kV动态无功补偿装置、高压电缆、土建基础以及组件电气安装辅材等。经测算，光伏设备费用预计6,960.82万元。</w:t>
      </w:r>
    </w:p>
    <w:p w14:paraId="5096A883">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2）电池储能集装箱：储能设备和光伏设备为一体化设备，由光伏通过太阳能发电，产生的电力由储能设备储存。储能设备包括电池系统2000KWH、储能变流器、温控系统、消防系统、储能EMS、储能箱基础及连接电缆等设备，总容量为6,000KWh（3MW/6MWh）。经测算，储能设备费用预计539.50万元。</w:t>
      </w:r>
    </w:p>
    <w:p w14:paraId="0F56A9D5">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（3）超级芦竹种植：项目在光伏板下种植能源植物超级芦竹300亩，超级芦竹作为能源植物，适应性强，可在边际土地生长，兼具生态修复和能源产出功能。经测算，超级芦竹种植费用预计180.00万元。</w:t>
      </w:r>
    </w:p>
    <w:p w14:paraId="3DCAB661">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default"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4）配套工程：配套工程包括升压/降压变压器、中压输电电缆、交流电缆等，是光伏发电系统的关键配套设施，主要用于电能的汇集、转换和分配，实现光伏阵列与电网之间的安全连接。经测算，配套工程费用预计201.44万元。</w:t>
      </w:r>
    </w:p>
    <w:p w14:paraId="4937B585">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2、工程建设其他费用</w:t>
      </w:r>
    </w:p>
    <w:p w14:paraId="74AEDDF9">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根据资金测算表，本项目工程建设其他费用包括项目建设管理费、工程勘察费、工程设计费、工程监理费、项目前期工作咨询费、招标代理服务费、工程造价咨询服务费、环境影响咨询服务费、工程保险费、场地准备及临时设施费等，合计520.20万元。具体情况如下。</w:t>
      </w:r>
    </w:p>
    <w:p w14:paraId="3A9816A7">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1）项目建设管理费：项目建设管理费是指项目单位在项目建设期间发生的管理性支出，包括工作人员工资、基本养老保险费、基本医疗保险费、失业保险费、办公费、差旅交通费、劳动保护费、工具用具使用费、固定资产使用费、零星购置费、招募生产工人费、技术图书资料费、印花税、业务招待费、施工现场津贴、竣工验收费和其他管理性质开支等。根据财政部《基本建设项目建设成本管理规定》（财建〔2016〕504号）文件规定，结合本项目实际情况，项目建设管理费按78.82万元计取。</w:t>
      </w:r>
    </w:p>
    <w:p w14:paraId="3C538E17">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2）工程勘察费：工程勘察费包括工程地质勘察、地形测量等费用，是为查明工程建设场地的地质地理环境特征和岩土工程条件而进行的各项勘察作业所发生的费用。根据《国家发展改革委关于进一步放开建设项目专业服务价格的通知》（发改价格〔2015〕299号），工程勘察费已实行市场调节价。参考原国家计委、建设部《工程勘察设计收费管理规定》（计价格〔2002〕10号）文件规定的计费原则和标准，结合本项目地质条件、勘察工作量及市场实际情况，工程勘察费按63.05万元计取。</w:t>
      </w:r>
    </w:p>
    <w:p w14:paraId="027C755B">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3）工程设计费：工程设计费包括初步设计、施工图设计、非标准设备设计文件、施工图预算文件、竣工图文件编制等费用。根据《国家发展改革委关于进一步放开建设项目专业服务价格的通知》（发改价格〔2015〕299号），工程设计费已实行市场调节价。参考原国家计委、建设部《工程勘察设计收费管理规定》（计价格〔2002〕10号）文件规定的计费原则和标准，结合本项目设计复杂程度、工作量及市场实际情况，工程设计费按78.82万元计取。</w:t>
      </w:r>
    </w:p>
    <w:p w14:paraId="1E46B902">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4）工程监理费：工程监理费是指委托具有相应资质的监理单位对工程建设实施监督管理所发生的费用，包括施工阶段的质量控制、进度控制、投资控制、安全生产管理、合同管理、信息管理及组织协调等工作。根据《国家发展改革委关于进一步放开建设项目专业服务价格的通知》（发改价格〔2015〕299号），工程监理费已实行市场调节价。参考原国家发展改革委、建设部《建设工程监理与相关服务收费管理规定》（发改价格〔2007〕670号）文件规定的计费原则和标准，结合本项目工程特点、监理服务范围及市场实际情况，工程监理费按47.29万元计取。</w:t>
      </w:r>
    </w:p>
    <w:p w14:paraId="67EBA018">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5）项目前期工作咨询费：项目前期工作咨询费包括编制项目建议书、可行性研究报告、项目申请报告，以及其它与建设项目前期工作有关的咨询等服务所收取的费用。根据《国家发展改革委关于进一步放开建设项目专业服务价格的通知》（发改价格〔2015〕299号），项目前期工作咨询费已实行市场调节价。参考原国家计委《关于印发建设项目前期工作咨询收费暂行规定的通知》（计价格〔1999〕1283号）文件规定的计费原则和标准，结合本项目前期工作咨询内容、工作量及市场实际情况，项目前期工作咨询费按39.41万元计取。</w:t>
      </w:r>
    </w:p>
    <w:p w14:paraId="3C051B9F">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6）招标代理服务费：招标代理服务费是指委托招标代理机构组织招标活动所发生的费用，包括编制招标文件、审查投标人资格、组织投标人踏勘现场并答疑、组织开标评标定标以及提供招标前期咨询、协调合同签订等服务。根据《国家发展改革委关于进一步放开建设项目专业服务价格的通知》（发改价格〔2015〕299号），招标代理服务费已实行市场调节价。参考原国家计委《招标代理服务收费管理暂行办法》（计价格〔2002〕1980号）及河南省发改委相关文件规定的计费原则，结合本项目招标工作内容及市场实际情况，招标代理服务费按15.76万元计取。</w:t>
      </w:r>
    </w:p>
    <w:p w14:paraId="6B014050">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7）工程造价咨询服务费：工程造价咨询服务费是指委托造价咨询机构进行工程量清单编制、招标控制价编制、工程结算审核、全过程造价咨询等所发生的费用。根据《国家发展改革委关于进一步放开建设项目专业服务价格的通知》（发改价格〔2015〕299号），工程造价咨询服务费已实行市场调节价。参考行业收费惯例及市场实际情况，结合本项目造价咨询服务内容和工作量，工程造价咨询服务费按39.41万元计取。</w:t>
      </w:r>
    </w:p>
    <w:p w14:paraId="71007295">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8）环境影响咨询服务费：环境影响咨询服务费是指委托具有资质的环评机构编制环境影响评价报告书（含大纲）、环境影响报告表和对环境影响报告书（含大纲）、环境影响报告表进行技术评估所发生的费用。根据《国家发展改革委关于进一步放开建设项目专业服务价格的通知》（发改价格〔2015〕299号），环境影响咨询服务费已实行市场调节价。参考原国家计委、国家环保总局《关于规范环境影响咨询收费有关问题的通知》（计价格〔2002〕125号）文件规定的计费原则和标准，结合本项目环境影响评价工作内容、复杂程度及市场实际情况，环境影响咨询服务费按15.76万元计取。</w:t>
      </w:r>
    </w:p>
    <w:p w14:paraId="39C8CBE8">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9）工程保险费：工程保险费是指为建筑工程、安装工程及设备购置等投保所发生的保险费用，包括建筑工程一切险、安装工程一切险、第三者责任险等。根据《国家发展改革委关于进一步放开建设项目专业服务价格的通知》（发改价格〔2015〕299号），工程保险费已实行市场调节价。参考行业惯例及保险市场实际情况，按照工程费用的一定比例计算，结合本项目风险特点及保险市场报价，工程保险费按23.65万元计取。</w:t>
      </w:r>
    </w:p>
    <w:p w14:paraId="680769F7">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10）场地准备费及临时设施费：场地准备费及临时设施费包括施工场地平整、临时道路修建、临时水电接入、临时办公及生活设施搭建等费用。场地准备费是指为使工程场地达到开工条件，由建设单位组织进行的场地平整和拆除清理费用；临时设施费是指建设单位为满足施工建设需要而临时建设的供水、供电、供气、道路、通信等工程和临时仓库、办公室、宿舍、食堂、厕所等生活设施的搭设、维修、拆除、摊销或租赁费用。根据《市政工程投资估算编制办法》（建标〔2007〕164号）并结合本项目场地实际情况，场地准备费及临时设施费按工程费用的一定比例计取，经测算按118.23万元计取。</w:t>
      </w:r>
    </w:p>
    <w:p w14:paraId="48341262">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11）生产准备及开办费：生产准备及开办费是指为保证项目建成后能够正常投产运营，在投产前进行的人员培训、提前进场、办公及生活家具用具购置、工器具购置、生产用备品备件购置等费用。根据《建设项目总投资及其他费用项目组成规定》及行业相关标准，新建项目按设计定员为基数乘以生产准备费指标计算。本项目为光伏电站项目，运营期劳动定员4人，所需生产准备工作相对简单，主要由运营单位在运营期内自行安排，故本项费用暂不计取。</w:t>
      </w:r>
    </w:p>
    <w:p w14:paraId="3A6F050A">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12）特种设备检测检验费：特种设备检测检验费是指根据《特种设备安全法》和《特种设备安全监察条例》的规定，对建设项目涉及的锅炉、压力容器（含气瓶）、压力管道、电梯、起重机械、客运索道、大型游乐设施、场（厂）内专用机动车辆等特种设备进行监督检验、定期检验和型式试验等所发生的费用。本项目为分布式光伏发电项目，不涉及锅炉、压力容器、压力管道等特种设备，所需涉及的变压器、开关柜等电气设备检测费用已包含在设备购置费或工程其他相关费用中，故本项费用暂不计取。</w:t>
      </w:r>
    </w:p>
    <w:p w14:paraId="06682FDF">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13）联合试运转费：联合试运转费是指新建企业或新增生产能力的扩建企业，在竣工验收前按照设计规定的工程质量标准，进行整个车间、生产线或装置的有负荷或无负荷联合试运转所发生的费用净支出，包括试运转所需原料、燃料、动力消耗、机械使用费、低值易耗品及其他物品购置费、施工单位参加联合试运转人员工资等。根据《市政工程投资估算编制办法》（建标〔2007〕164号）及相关规定，光伏发电项目设备调试及单体试车费用已包含在安装工程费中，项目不涉及复杂的生产线联动试车，故联合试运转费暂不计取。</w:t>
      </w:r>
    </w:p>
    <w:p w14:paraId="117A5AFD">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3、预备费</w:t>
      </w:r>
    </w:p>
    <w:p w14:paraId="4090BA81">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基本预备费，以工程建设费与工程建设其他费用之和为基数，费率按5%计算。经测算，基本预备费为420.10万元。本项目不考虑涨价预备费。</w:t>
      </w:r>
    </w:p>
    <w:p w14:paraId="108144EE">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4、建设期利息</w:t>
      </w:r>
    </w:p>
    <w:p w14:paraId="27C75812">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本项目建设期为1年（含建设期准备工作），计划2026年10月开工，预计2027年10月竣工，利率4.5%，建设期内按金融机构计息计划投入。</w:t>
      </w:r>
    </w:p>
    <w:p w14:paraId="24965F9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6.1.4 投资估算和资金筹措</w:t>
      </w:r>
    </w:p>
    <w:p w14:paraId="3CBF67EC">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1、投资估算</w:t>
      </w:r>
    </w:p>
    <w:p w14:paraId="31C6879E">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000000"/>
          <w:spacing w:val="0"/>
          <w:sz w:val="28"/>
          <w:szCs w:val="28"/>
          <w:lang w:val="en-US" w:eastAsia="zh-CN" w:bidi="zh-CN"/>
        </w:rPr>
        <w:t>项目总投资8,981.80万元，其中项目工程费用7,881.76万元，占总投资的87.75%；工程建设其它费用520.20万元，占总投资的5.79%；预备费420.10万元，占总投资的4.68%；建设期利息159.75万元，占总投资的1.78%。项目投资构成如下表所示:</w:t>
      </w:r>
    </w:p>
    <w:p w14:paraId="19CAF00D">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outlineLvl w:val="9"/>
        <w:rPr>
          <w:rFonts w:hint="eastAsia" w:ascii="宋体" w:hAnsi="宋体" w:eastAsia="宋体" w:cs="宋体"/>
          <w:b/>
          <w:bCs/>
          <w:snapToGrid/>
          <w:color w:val="auto"/>
          <w:spacing w:val="0"/>
          <w:w w:val="100"/>
          <w:kern w:val="2"/>
          <w:position w:val="0"/>
          <w:sz w:val="28"/>
          <w:szCs w:val="28"/>
          <w:lang w:val="en-US" w:eastAsia="zh-CN" w:bidi="zh-CN"/>
        </w:rPr>
      </w:pPr>
      <w:r>
        <w:rPr>
          <w:rFonts w:hint="eastAsia" w:ascii="宋体" w:hAnsi="宋体" w:eastAsia="宋体" w:cs="宋体"/>
          <w:b/>
          <w:color w:val="auto"/>
          <w:spacing w:val="0"/>
          <w:sz w:val="28"/>
          <w:szCs w:val="28"/>
          <w:lang w:val="en-US" w:eastAsia="zh-CN" w:bidi="zh-CN"/>
        </w:rPr>
        <w:t>表6-1项目投资构成一览表</w:t>
      </w: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161"/>
        <w:gridCol w:w="2507"/>
        <w:gridCol w:w="1402"/>
        <w:gridCol w:w="734"/>
        <w:gridCol w:w="1318"/>
        <w:gridCol w:w="1393"/>
      </w:tblGrid>
      <w:tr w14:paraId="34EEC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000" w:type="pct"/>
            <w:gridSpan w:val="6"/>
            <w:tcBorders>
              <w:top w:val="nil"/>
              <w:left w:val="nil"/>
              <w:bottom w:val="nil"/>
              <w:right w:val="nil"/>
            </w:tcBorders>
            <w:shd w:val="clear"/>
            <w:vAlign w:val="center"/>
          </w:tcPr>
          <w:p w14:paraId="20555ADA">
            <w:pPr>
              <w:keepNext w:val="0"/>
              <w:keepLines w:val="0"/>
              <w:widowControl/>
              <w:suppressLineNumbers w:val="0"/>
              <w:jc w:val="righ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单位：万元</w:t>
            </w:r>
          </w:p>
        </w:tc>
      </w:tr>
      <w:tr w14:paraId="18413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29EA7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序号</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2DAECB8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工程或费用名称</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4435908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合计</w:t>
            </w:r>
          </w:p>
        </w:tc>
        <w:tc>
          <w:tcPr>
            <w:tcW w:w="431" w:type="pct"/>
            <w:tcBorders>
              <w:top w:val="single" w:color="000000" w:sz="4" w:space="0"/>
              <w:left w:val="single" w:color="000000" w:sz="4" w:space="0"/>
              <w:bottom w:val="single" w:color="000000" w:sz="4" w:space="0"/>
              <w:right w:val="single" w:color="000000" w:sz="4" w:space="0"/>
            </w:tcBorders>
            <w:shd w:val="clear"/>
            <w:vAlign w:val="center"/>
          </w:tcPr>
          <w:p w14:paraId="128561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单位</w:t>
            </w:r>
          </w:p>
        </w:tc>
        <w:tc>
          <w:tcPr>
            <w:tcW w:w="774" w:type="pct"/>
            <w:tcBorders>
              <w:top w:val="single" w:color="000000" w:sz="4" w:space="0"/>
              <w:left w:val="single" w:color="000000" w:sz="4" w:space="0"/>
              <w:bottom w:val="single" w:color="000000" w:sz="4" w:space="0"/>
              <w:right w:val="single" w:color="000000" w:sz="4" w:space="0"/>
            </w:tcBorders>
            <w:shd w:val="clear"/>
            <w:vAlign w:val="center"/>
          </w:tcPr>
          <w:p w14:paraId="3A1F2AE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数量</w:t>
            </w:r>
          </w:p>
        </w:tc>
        <w:tc>
          <w:tcPr>
            <w:tcW w:w="815" w:type="pct"/>
            <w:tcBorders>
              <w:top w:val="single" w:color="000000" w:sz="4" w:space="0"/>
              <w:left w:val="single" w:color="000000" w:sz="4" w:space="0"/>
              <w:bottom w:val="single" w:color="000000" w:sz="4" w:space="0"/>
              <w:right w:val="single" w:color="000000" w:sz="4" w:space="0"/>
            </w:tcBorders>
            <w:shd w:val="clear"/>
            <w:vAlign w:val="center"/>
          </w:tcPr>
          <w:p w14:paraId="772A2F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综合单价（万元）</w:t>
            </w:r>
          </w:p>
        </w:tc>
      </w:tr>
      <w:tr w14:paraId="6F443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73C88FD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一</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4FBA924C">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工程费用</w:t>
            </w:r>
          </w:p>
        </w:tc>
        <w:tc>
          <w:tcPr>
            <w:tcW w:w="823"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5E51850">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7881.76</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33A29407">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87.75%</w:t>
            </w:r>
          </w:p>
        </w:tc>
      </w:tr>
      <w:tr w14:paraId="40E60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8CC292E">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（一）</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5CD01FB0">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建筑工程费用</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7842A0D8">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0.00</w:t>
            </w:r>
          </w:p>
        </w:tc>
        <w:tc>
          <w:tcPr>
            <w:tcW w:w="431" w:type="pct"/>
            <w:tcBorders>
              <w:top w:val="single" w:color="000000" w:sz="4" w:space="0"/>
              <w:left w:val="single" w:color="000000" w:sz="4" w:space="0"/>
              <w:bottom w:val="single" w:color="000000" w:sz="4" w:space="0"/>
              <w:right w:val="nil"/>
            </w:tcBorders>
            <w:shd w:val="clear"/>
            <w:vAlign w:val="center"/>
          </w:tcPr>
          <w:p w14:paraId="4A966D33">
            <w:pPr>
              <w:jc w:val="center"/>
              <w:rPr>
                <w:rFonts w:hint="eastAsia" w:ascii="宋体" w:hAnsi="宋体" w:eastAsia="宋体" w:cs="宋体"/>
                <w:b/>
                <w:bCs/>
                <w:i w:val="0"/>
                <w:iCs w:val="0"/>
                <w:color w:val="000000"/>
                <w:sz w:val="20"/>
                <w:szCs w:val="20"/>
                <w:u w:val="none"/>
              </w:rPr>
            </w:pPr>
          </w:p>
        </w:tc>
        <w:tc>
          <w:tcPr>
            <w:tcW w:w="774" w:type="pct"/>
            <w:tcBorders>
              <w:top w:val="single" w:color="000000" w:sz="4" w:space="0"/>
              <w:left w:val="nil"/>
              <w:bottom w:val="single" w:color="000000" w:sz="4" w:space="0"/>
              <w:right w:val="nil"/>
            </w:tcBorders>
            <w:shd w:val="clear"/>
            <w:vAlign w:val="center"/>
          </w:tcPr>
          <w:p w14:paraId="77B0C904">
            <w:pPr>
              <w:jc w:val="center"/>
              <w:rPr>
                <w:rFonts w:hint="eastAsia" w:ascii="宋体" w:hAnsi="宋体" w:eastAsia="宋体" w:cs="宋体"/>
                <w:b/>
                <w:bCs/>
                <w:i w:val="0"/>
                <w:iCs w:val="0"/>
                <w:color w:val="000000"/>
                <w:sz w:val="20"/>
                <w:szCs w:val="20"/>
                <w:u w:val="none"/>
              </w:rPr>
            </w:pPr>
          </w:p>
        </w:tc>
        <w:tc>
          <w:tcPr>
            <w:tcW w:w="815" w:type="pct"/>
            <w:tcBorders>
              <w:top w:val="single" w:color="000000" w:sz="4" w:space="0"/>
              <w:left w:val="nil"/>
              <w:bottom w:val="single" w:color="000000" w:sz="4" w:space="0"/>
              <w:right w:val="single" w:color="000000" w:sz="4" w:space="0"/>
            </w:tcBorders>
            <w:shd w:val="clear"/>
            <w:vAlign w:val="center"/>
          </w:tcPr>
          <w:p w14:paraId="66BF1393">
            <w:pPr>
              <w:jc w:val="center"/>
              <w:rPr>
                <w:rFonts w:hint="eastAsia" w:ascii="宋体" w:hAnsi="宋体" w:eastAsia="宋体" w:cs="宋体"/>
                <w:b/>
                <w:bCs/>
                <w:i w:val="0"/>
                <w:iCs w:val="0"/>
                <w:color w:val="000000"/>
                <w:sz w:val="20"/>
                <w:szCs w:val="20"/>
                <w:u w:val="none"/>
              </w:rPr>
            </w:pPr>
          </w:p>
        </w:tc>
      </w:tr>
      <w:tr w14:paraId="73A39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F3D1F48">
            <w:pPr>
              <w:jc w:val="center"/>
              <w:rPr>
                <w:rFonts w:hint="eastAsia" w:ascii="宋体" w:hAnsi="宋体" w:eastAsia="宋体" w:cs="宋体"/>
                <w:b/>
                <w:bCs/>
                <w:i w:val="0"/>
                <w:iCs w:val="0"/>
                <w:color w:val="000000"/>
                <w:sz w:val="20"/>
                <w:szCs w:val="20"/>
                <w:u w:val="none"/>
              </w:rPr>
            </w:pP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04583D85">
            <w:pPr>
              <w:jc w:val="center"/>
              <w:rPr>
                <w:rFonts w:hint="eastAsia" w:ascii="宋体" w:hAnsi="宋体" w:eastAsia="宋体" w:cs="宋体"/>
                <w:b/>
                <w:bCs/>
                <w:i w:val="0"/>
                <w:iCs w:val="0"/>
                <w:color w:val="000000"/>
                <w:sz w:val="20"/>
                <w:szCs w:val="20"/>
                <w:u w:val="none"/>
              </w:rPr>
            </w:pP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348DC69C">
            <w:pPr>
              <w:jc w:val="center"/>
              <w:rPr>
                <w:rFonts w:hint="eastAsia" w:ascii="宋体" w:hAnsi="宋体" w:eastAsia="宋体" w:cs="宋体"/>
                <w:b/>
                <w:bCs/>
                <w:i w:val="0"/>
                <w:iCs w:val="0"/>
                <w:color w:val="000000"/>
                <w:sz w:val="20"/>
                <w:szCs w:val="20"/>
                <w:u w:val="none"/>
              </w:rPr>
            </w:pPr>
          </w:p>
        </w:tc>
        <w:tc>
          <w:tcPr>
            <w:tcW w:w="431" w:type="pct"/>
            <w:tcBorders>
              <w:top w:val="single" w:color="000000" w:sz="4" w:space="0"/>
              <w:left w:val="single" w:color="000000" w:sz="4" w:space="0"/>
              <w:bottom w:val="single" w:color="000000" w:sz="4" w:space="0"/>
              <w:right w:val="nil"/>
            </w:tcBorders>
            <w:shd w:val="clear"/>
            <w:vAlign w:val="center"/>
          </w:tcPr>
          <w:p w14:paraId="6727A939">
            <w:pPr>
              <w:jc w:val="center"/>
              <w:rPr>
                <w:rFonts w:hint="eastAsia" w:ascii="宋体" w:hAnsi="宋体" w:eastAsia="宋体" w:cs="宋体"/>
                <w:b/>
                <w:bCs/>
                <w:i w:val="0"/>
                <w:iCs w:val="0"/>
                <w:color w:val="000000"/>
                <w:sz w:val="20"/>
                <w:szCs w:val="20"/>
                <w:u w:val="none"/>
              </w:rPr>
            </w:pPr>
          </w:p>
        </w:tc>
        <w:tc>
          <w:tcPr>
            <w:tcW w:w="774" w:type="pct"/>
            <w:tcBorders>
              <w:top w:val="single" w:color="000000" w:sz="4" w:space="0"/>
              <w:left w:val="nil"/>
              <w:bottom w:val="single" w:color="000000" w:sz="4" w:space="0"/>
              <w:right w:val="nil"/>
            </w:tcBorders>
            <w:shd w:val="clear"/>
            <w:vAlign w:val="center"/>
          </w:tcPr>
          <w:p w14:paraId="3543036F">
            <w:pPr>
              <w:jc w:val="center"/>
              <w:rPr>
                <w:rFonts w:hint="eastAsia" w:ascii="宋体" w:hAnsi="宋体" w:eastAsia="宋体" w:cs="宋体"/>
                <w:b/>
                <w:bCs/>
                <w:i w:val="0"/>
                <w:iCs w:val="0"/>
                <w:color w:val="000000"/>
                <w:sz w:val="20"/>
                <w:szCs w:val="20"/>
                <w:u w:val="none"/>
              </w:rPr>
            </w:pPr>
          </w:p>
        </w:tc>
        <w:tc>
          <w:tcPr>
            <w:tcW w:w="815" w:type="pct"/>
            <w:tcBorders>
              <w:top w:val="single" w:color="000000" w:sz="4" w:space="0"/>
              <w:left w:val="nil"/>
              <w:bottom w:val="single" w:color="000000" w:sz="4" w:space="0"/>
              <w:right w:val="single" w:color="000000" w:sz="4" w:space="0"/>
            </w:tcBorders>
            <w:shd w:val="clear"/>
            <w:vAlign w:val="center"/>
          </w:tcPr>
          <w:p w14:paraId="58BBD4C4">
            <w:pPr>
              <w:jc w:val="center"/>
              <w:rPr>
                <w:rFonts w:hint="eastAsia" w:ascii="宋体" w:hAnsi="宋体" w:eastAsia="宋体" w:cs="宋体"/>
                <w:b/>
                <w:bCs/>
                <w:i w:val="0"/>
                <w:iCs w:val="0"/>
                <w:color w:val="000000"/>
                <w:sz w:val="20"/>
                <w:szCs w:val="20"/>
                <w:u w:val="none"/>
              </w:rPr>
            </w:pPr>
          </w:p>
        </w:tc>
      </w:tr>
      <w:tr w14:paraId="4E851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169780D3">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（二）</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1C414D05">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工艺设备购置费用</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59096E08">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7881.76</w:t>
            </w:r>
          </w:p>
        </w:tc>
        <w:tc>
          <w:tcPr>
            <w:tcW w:w="431" w:type="pct"/>
            <w:tcBorders>
              <w:top w:val="single" w:color="000000" w:sz="4" w:space="0"/>
              <w:left w:val="single" w:color="000000" w:sz="4" w:space="0"/>
              <w:bottom w:val="single" w:color="000000" w:sz="4" w:space="0"/>
              <w:right w:val="nil"/>
            </w:tcBorders>
            <w:shd w:val="clear"/>
            <w:vAlign w:val="center"/>
          </w:tcPr>
          <w:p w14:paraId="11DC60D5">
            <w:pPr>
              <w:jc w:val="center"/>
              <w:rPr>
                <w:rFonts w:hint="eastAsia" w:ascii="宋体" w:hAnsi="宋体" w:eastAsia="宋体" w:cs="宋体"/>
                <w:b/>
                <w:bCs/>
                <w:i w:val="0"/>
                <w:iCs w:val="0"/>
                <w:color w:val="000000"/>
                <w:sz w:val="20"/>
                <w:szCs w:val="20"/>
                <w:u w:val="none"/>
              </w:rPr>
            </w:pPr>
          </w:p>
        </w:tc>
        <w:tc>
          <w:tcPr>
            <w:tcW w:w="774" w:type="pct"/>
            <w:tcBorders>
              <w:top w:val="single" w:color="000000" w:sz="4" w:space="0"/>
              <w:left w:val="nil"/>
              <w:bottom w:val="single" w:color="000000" w:sz="4" w:space="0"/>
              <w:right w:val="nil"/>
            </w:tcBorders>
            <w:shd w:val="clear"/>
            <w:vAlign w:val="center"/>
          </w:tcPr>
          <w:p w14:paraId="05AB2439">
            <w:pPr>
              <w:jc w:val="center"/>
              <w:rPr>
                <w:rFonts w:hint="eastAsia" w:ascii="宋体" w:hAnsi="宋体" w:eastAsia="宋体" w:cs="宋体"/>
                <w:b/>
                <w:bCs/>
                <w:i w:val="0"/>
                <w:iCs w:val="0"/>
                <w:color w:val="000000"/>
                <w:sz w:val="20"/>
                <w:szCs w:val="20"/>
                <w:u w:val="none"/>
              </w:rPr>
            </w:pPr>
          </w:p>
        </w:tc>
        <w:tc>
          <w:tcPr>
            <w:tcW w:w="815" w:type="pct"/>
            <w:tcBorders>
              <w:top w:val="single" w:color="000000" w:sz="4" w:space="0"/>
              <w:left w:val="nil"/>
              <w:bottom w:val="single" w:color="000000" w:sz="4" w:space="0"/>
              <w:right w:val="single" w:color="000000" w:sz="4" w:space="0"/>
            </w:tcBorders>
            <w:shd w:val="clear"/>
            <w:vAlign w:val="center"/>
          </w:tcPr>
          <w:p w14:paraId="594F6FEF">
            <w:pPr>
              <w:jc w:val="center"/>
              <w:rPr>
                <w:rFonts w:hint="eastAsia" w:ascii="宋体" w:hAnsi="宋体" w:eastAsia="宋体" w:cs="宋体"/>
                <w:b/>
                <w:bCs/>
                <w:i w:val="0"/>
                <w:iCs w:val="0"/>
                <w:color w:val="000000"/>
                <w:sz w:val="20"/>
                <w:szCs w:val="20"/>
                <w:u w:val="none"/>
              </w:rPr>
            </w:pPr>
          </w:p>
        </w:tc>
      </w:tr>
      <w:tr w14:paraId="0006D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40A1736">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1</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4DED6E31">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光伏组件</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2E7F1BA5">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6960.82</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51C455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KW</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6B6F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26000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8A9D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0.268</w:t>
            </w:r>
          </w:p>
        </w:tc>
      </w:tr>
      <w:tr w14:paraId="17CF4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8F88046">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1.1</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6AD016F4">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640Wp单晶N型</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018C1BB0">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3656.4</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05A7F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块</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F1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48752.00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AB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0.075</w:t>
            </w:r>
          </w:p>
        </w:tc>
      </w:tr>
      <w:tr w14:paraId="006E7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B45319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1.2</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6762B806">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逆变器</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4438AB7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352.16</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33EE52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台</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B6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248.00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3B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1.420</w:t>
            </w:r>
          </w:p>
        </w:tc>
      </w:tr>
      <w:tr w14:paraId="60AE4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76FFD85A">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1.3</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0884D3D9">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交流汇流箱</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5C308752">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40.404</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73C50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台</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767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39.00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7B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1.036</w:t>
            </w:r>
          </w:p>
        </w:tc>
      </w:tr>
      <w:tr w14:paraId="60378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1A12CA2D">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1.4</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14044655">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光伏支架及配件</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2E660536">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685.42</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5D670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km</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EC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381.00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81B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1.799</w:t>
            </w:r>
          </w:p>
        </w:tc>
      </w:tr>
      <w:tr w14:paraId="35299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7A17F917">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1.5</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08063204">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光伏直流电缆</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40AE2FE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48.015</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452F8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km</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3F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8.73</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D9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5.500</w:t>
            </w:r>
          </w:p>
        </w:tc>
      </w:tr>
      <w:tr w14:paraId="2E11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1F81789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1.6</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42BA3A6C">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MC4连接器</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69593F10">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58.58292</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59F9D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套</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BF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2662.86</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5C1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0.022</w:t>
            </w:r>
          </w:p>
        </w:tc>
      </w:tr>
      <w:tr w14:paraId="21BB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2DF3E9A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1.7</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27DE3A0B">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交流电缆</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2FF7804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637.875</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7F2796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km</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82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35.00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17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18.225</w:t>
            </w:r>
          </w:p>
        </w:tc>
      </w:tr>
      <w:tr w14:paraId="3C99C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3CAAEDB">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1.8</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55DF5F3D">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干式变压器（箱变)</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061F80D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81.04</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5562B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台</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C0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C7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20.260</w:t>
            </w:r>
          </w:p>
        </w:tc>
      </w:tr>
      <w:tr w14:paraId="7401A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1E49D94">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1.9</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5CB64FF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光伏接入柜</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102A3A3A">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20.528</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1FC25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台</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AE9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5BB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5.132</w:t>
            </w:r>
          </w:p>
        </w:tc>
      </w:tr>
      <w:tr w14:paraId="7F9A3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27A17C3D">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1.10</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22643FF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并网柜</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2D76FCCB">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17EFD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台</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66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F9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5.000</w:t>
            </w:r>
          </w:p>
        </w:tc>
      </w:tr>
      <w:tr w14:paraId="171F8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4DBFD4F">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1.12</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3A360C0D">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站用变电柜</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539A832A">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18.844</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6E8C9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台</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472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64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4.711</w:t>
            </w:r>
          </w:p>
        </w:tc>
      </w:tr>
      <w:tr w14:paraId="2F3C2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CB76D8F">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1.13</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16950A0D">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10kV动态无功补偿装置</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5C38A4B2">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140</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1EE73A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台</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D7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3B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35.000</w:t>
            </w:r>
          </w:p>
        </w:tc>
      </w:tr>
      <w:tr w14:paraId="5278D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2B02F4F7">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1.15</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439C3CF9">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高压电缆</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76EC9E3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360.549</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5F322A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km</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76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8.73</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C4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41.300</w:t>
            </w:r>
          </w:p>
        </w:tc>
      </w:tr>
      <w:tr w14:paraId="59D5D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1C3C9EA">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1.16</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7359F830">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土建基础</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602F055A">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321</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59A28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项</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8C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FAF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80.250</w:t>
            </w:r>
          </w:p>
        </w:tc>
      </w:tr>
      <w:tr w14:paraId="47DFD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7D2CDE21">
            <w:pPr>
              <w:jc w:val="center"/>
              <w:rPr>
                <w:rFonts w:hint="eastAsia" w:ascii="宋体" w:hAnsi="宋体" w:eastAsia="宋体" w:cs="宋体"/>
                <w:b/>
                <w:bCs/>
                <w:i w:val="0"/>
                <w:iCs w:val="0"/>
                <w:color w:val="000000"/>
                <w:sz w:val="20"/>
                <w:szCs w:val="20"/>
                <w:u w:val="none"/>
              </w:rPr>
            </w:pP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296EFEB5">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组件、电气安装、辅材等</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7DDC4F1D">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520.00</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6942E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KW</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CB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26000.00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5C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0.020</w:t>
            </w:r>
          </w:p>
        </w:tc>
      </w:tr>
      <w:tr w14:paraId="687E6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1469F2DF">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2</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5CCA3A0B">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电池储能集装箱</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301F1E3E">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539.5</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66B0F33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KWH</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8EEE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6000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BAD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0.0899</w:t>
            </w:r>
          </w:p>
        </w:tc>
      </w:tr>
      <w:tr w14:paraId="384BE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725223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2.1</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3270C30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电池系统 2000KWH</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246E080C">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229.5</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63903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个</w:t>
            </w:r>
          </w:p>
        </w:tc>
        <w:tc>
          <w:tcPr>
            <w:tcW w:w="774" w:type="pct"/>
            <w:tcBorders>
              <w:top w:val="single" w:color="000000" w:sz="4" w:space="0"/>
              <w:left w:val="single" w:color="000000" w:sz="4" w:space="0"/>
              <w:bottom w:val="single" w:color="000000" w:sz="4" w:space="0"/>
              <w:right w:val="single" w:color="000000" w:sz="4" w:space="0"/>
            </w:tcBorders>
            <w:shd w:val="clear"/>
            <w:noWrap/>
            <w:vAlign w:val="center"/>
          </w:tcPr>
          <w:p w14:paraId="4B04F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34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76.50</w:t>
            </w:r>
          </w:p>
        </w:tc>
      </w:tr>
      <w:tr w14:paraId="2D7B2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E3E2B95">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2.2</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5B09C096">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储能变流器</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702C1DAA">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45</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4BAE7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个</w:t>
            </w:r>
          </w:p>
        </w:tc>
        <w:tc>
          <w:tcPr>
            <w:tcW w:w="774" w:type="pct"/>
            <w:tcBorders>
              <w:top w:val="single" w:color="000000" w:sz="4" w:space="0"/>
              <w:left w:val="single" w:color="000000" w:sz="4" w:space="0"/>
              <w:bottom w:val="single" w:color="000000" w:sz="4" w:space="0"/>
              <w:right w:val="single" w:color="000000" w:sz="4" w:space="0"/>
            </w:tcBorders>
            <w:shd w:val="clear"/>
            <w:noWrap/>
            <w:vAlign w:val="center"/>
          </w:tcPr>
          <w:p w14:paraId="0354F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8FD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15.00</w:t>
            </w:r>
          </w:p>
        </w:tc>
      </w:tr>
      <w:tr w14:paraId="01B2E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3F51677A">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2.3</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283BCB1B">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温控系统</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5DB520A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30</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55A15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个</w:t>
            </w:r>
          </w:p>
        </w:tc>
        <w:tc>
          <w:tcPr>
            <w:tcW w:w="774" w:type="pct"/>
            <w:tcBorders>
              <w:top w:val="single" w:color="000000" w:sz="4" w:space="0"/>
              <w:left w:val="single" w:color="000000" w:sz="4" w:space="0"/>
              <w:bottom w:val="single" w:color="000000" w:sz="4" w:space="0"/>
              <w:right w:val="single" w:color="000000" w:sz="4" w:space="0"/>
            </w:tcBorders>
            <w:shd w:val="clear"/>
            <w:noWrap/>
            <w:vAlign w:val="center"/>
          </w:tcPr>
          <w:p w14:paraId="3DD710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C3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10.00</w:t>
            </w:r>
          </w:p>
        </w:tc>
      </w:tr>
      <w:tr w14:paraId="252FC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821A884">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2.4</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7D22276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消防系统</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73DBF678">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45</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5733312C">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个</w:t>
            </w:r>
          </w:p>
        </w:tc>
        <w:tc>
          <w:tcPr>
            <w:tcW w:w="774" w:type="pct"/>
            <w:tcBorders>
              <w:top w:val="single" w:color="000000" w:sz="4" w:space="0"/>
              <w:left w:val="single" w:color="000000" w:sz="4" w:space="0"/>
              <w:bottom w:val="single" w:color="000000" w:sz="4" w:space="0"/>
              <w:right w:val="single" w:color="000000" w:sz="4" w:space="0"/>
            </w:tcBorders>
            <w:shd w:val="clear"/>
            <w:noWrap/>
            <w:vAlign w:val="center"/>
          </w:tcPr>
          <w:p w14:paraId="03B86300">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AC7FA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15.00</w:t>
            </w:r>
          </w:p>
        </w:tc>
      </w:tr>
      <w:tr w14:paraId="5BBC7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A51D1BB">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2.5</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2D7BCC4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储能EMS</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4028BFFD">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60</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22692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个</w:t>
            </w:r>
          </w:p>
        </w:tc>
        <w:tc>
          <w:tcPr>
            <w:tcW w:w="774" w:type="pct"/>
            <w:tcBorders>
              <w:top w:val="single" w:color="000000" w:sz="4" w:space="0"/>
              <w:left w:val="single" w:color="000000" w:sz="4" w:space="0"/>
              <w:bottom w:val="single" w:color="000000" w:sz="4" w:space="0"/>
              <w:right w:val="single" w:color="000000" w:sz="4" w:space="0"/>
            </w:tcBorders>
            <w:shd w:val="clear"/>
            <w:noWrap/>
            <w:vAlign w:val="center"/>
          </w:tcPr>
          <w:p w14:paraId="68203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2F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20.00</w:t>
            </w:r>
          </w:p>
        </w:tc>
      </w:tr>
      <w:tr w14:paraId="7FB08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7C0C2B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2.6</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4F90C178">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储能箱基础及连接电缆</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13C64A00">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130</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2DE1C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个</w:t>
            </w:r>
          </w:p>
        </w:tc>
        <w:tc>
          <w:tcPr>
            <w:tcW w:w="774" w:type="pct"/>
            <w:tcBorders>
              <w:top w:val="single" w:color="000000" w:sz="4" w:space="0"/>
              <w:left w:val="single" w:color="000000" w:sz="4" w:space="0"/>
              <w:bottom w:val="single" w:color="000000" w:sz="4" w:space="0"/>
              <w:right w:val="single" w:color="000000" w:sz="4" w:space="0"/>
            </w:tcBorders>
            <w:shd w:val="clear"/>
            <w:noWrap/>
            <w:vAlign w:val="center"/>
          </w:tcPr>
          <w:p w14:paraId="3BA66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CF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10.00</w:t>
            </w:r>
          </w:p>
        </w:tc>
      </w:tr>
      <w:tr w14:paraId="2A01A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D69A132">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3</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3D68D116">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超级芦竹种植</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30593396">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180</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3EBC4D4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亩</w:t>
            </w:r>
          </w:p>
        </w:tc>
        <w:tc>
          <w:tcPr>
            <w:tcW w:w="774" w:type="pct"/>
            <w:tcBorders>
              <w:top w:val="single" w:color="000000" w:sz="4" w:space="0"/>
              <w:left w:val="single" w:color="000000" w:sz="4" w:space="0"/>
              <w:bottom w:val="single" w:color="000000" w:sz="4" w:space="0"/>
              <w:right w:val="single" w:color="000000" w:sz="4" w:space="0"/>
            </w:tcBorders>
            <w:shd w:val="clear"/>
            <w:noWrap/>
            <w:vAlign w:val="center"/>
          </w:tcPr>
          <w:p w14:paraId="2E2E854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300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D59D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0.60</w:t>
            </w:r>
          </w:p>
        </w:tc>
      </w:tr>
      <w:tr w14:paraId="4426D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19CA61D">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4</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03B8184C">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配套工程</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1B6E157C">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201.44</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5ACEA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09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5551.3</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00B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0.227</w:t>
            </w:r>
          </w:p>
        </w:tc>
      </w:tr>
      <w:tr w14:paraId="775B5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7DF65A4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4.1</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364D0B6C">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升压/降压变压器</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11C3F918">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40</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49C6F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台</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CD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E8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40</w:t>
            </w:r>
          </w:p>
        </w:tc>
      </w:tr>
      <w:tr w14:paraId="7202A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3CA4C88">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4.2</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1A5894D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中压输电电缆</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6CFC893B">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45</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2E230B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m</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A0E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1000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AC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0.045</w:t>
            </w:r>
          </w:p>
        </w:tc>
      </w:tr>
      <w:tr w14:paraId="09782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262A52F6">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4.3</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79CC2240">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交流电缆</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67442349">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116.44</w:t>
            </w:r>
          </w:p>
        </w:tc>
        <w:tc>
          <w:tcPr>
            <w:tcW w:w="431" w:type="pct"/>
            <w:tcBorders>
              <w:top w:val="single" w:color="000000" w:sz="4" w:space="0"/>
              <w:left w:val="single" w:color="000000" w:sz="4" w:space="0"/>
              <w:bottom w:val="single" w:color="000000" w:sz="4" w:space="0"/>
              <w:right w:val="single" w:color="000000" w:sz="4" w:space="0"/>
            </w:tcBorders>
            <w:shd w:val="clear"/>
            <w:noWrap/>
            <w:vAlign w:val="center"/>
          </w:tcPr>
          <w:p w14:paraId="3BA1A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km</w:t>
            </w:r>
          </w:p>
        </w:tc>
        <w:tc>
          <w:tcPr>
            <w:tcW w:w="7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43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8.20</w:t>
            </w:r>
          </w:p>
        </w:tc>
        <w:tc>
          <w:tcPr>
            <w:tcW w:w="81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2C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14.20</w:t>
            </w:r>
          </w:p>
        </w:tc>
      </w:tr>
      <w:tr w14:paraId="2482C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126FF05">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二</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3AF735F8">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工程建设其他费用</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6B079458">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520.20</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425085B3">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5.79%</w:t>
            </w:r>
          </w:p>
        </w:tc>
      </w:tr>
      <w:tr w14:paraId="082F0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7F2749D0">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77F89C90">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建设管理费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3BCB613A">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78.82</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25E21B40">
            <w:pPr>
              <w:jc w:val="center"/>
              <w:rPr>
                <w:rFonts w:hint="eastAsia" w:ascii="宋体" w:hAnsi="宋体" w:eastAsia="宋体" w:cs="宋体"/>
                <w:i w:val="0"/>
                <w:iCs w:val="0"/>
                <w:color w:val="000000"/>
                <w:sz w:val="20"/>
                <w:szCs w:val="20"/>
                <w:u w:val="none"/>
              </w:rPr>
            </w:pPr>
          </w:p>
        </w:tc>
      </w:tr>
      <w:tr w14:paraId="03525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21CDA4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28897666">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建设工程监理费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74596DEF">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47.29</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65B5FC63">
            <w:pPr>
              <w:jc w:val="center"/>
              <w:rPr>
                <w:rFonts w:hint="eastAsia" w:ascii="宋体" w:hAnsi="宋体" w:eastAsia="宋体" w:cs="宋体"/>
                <w:i w:val="0"/>
                <w:iCs w:val="0"/>
                <w:color w:val="000000"/>
                <w:sz w:val="20"/>
                <w:szCs w:val="20"/>
                <w:u w:val="none"/>
              </w:rPr>
            </w:pPr>
          </w:p>
        </w:tc>
      </w:tr>
      <w:tr w14:paraId="5E5AA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424FC1D">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34016BCB">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建设项目前期工作咨询费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008538D9">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39.41</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25A0333A">
            <w:pPr>
              <w:jc w:val="center"/>
              <w:rPr>
                <w:rFonts w:hint="eastAsia" w:ascii="宋体" w:hAnsi="宋体" w:eastAsia="宋体" w:cs="宋体"/>
                <w:i w:val="0"/>
                <w:iCs w:val="0"/>
                <w:color w:val="000000"/>
                <w:sz w:val="20"/>
                <w:szCs w:val="20"/>
                <w:u w:val="none"/>
              </w:rPr>
            </w:pPr>
          </w:p>
        </w:tc>
      </w:tr>
      <w:tr w14:paraId="071E5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2B61F8A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5B5CDE38">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工程勘察费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4F39F099">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63.05</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0447D99F">
            <w:pPr>
              <w:jc w:val="center"/>
              <w:rPr>
                <w:rFonts w:hint="eastAsia" w:ascii="宋体" w:hAnsi="宋体" w:eastAsia="宋体" w:cs="宋体"/>
                <w:i w:val="0"/>
                <w:iCs w:val="0"/>
                <w:color w:val="000000"/>
                <w:sz w:val="20"/>
                <w:szCs w:val="20"/>
                <w:u w:val="none"/>
              </w:rPr>
            </w:pPr>
          </w:p>
        </w:tc>
      </w:tr>
      <w:tr w14:paraId="0F95A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4CC7EDC">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5</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6A85E68A">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工程设计费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6554037C">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78.82</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2B738087">
            <w:pPr>
              <w:jc w:val="center"/>
              <w:rPr>
                <w:rFonts w:hint="eastAsia" w:ascii="宋体" w:hAnsi="宋体" w:eastAsia="宋体" w:cs="宋体"/>
                <w:i w:val="0"/>
                <w:iCs w:val="0"/>
                <w:color w:val="000000"/>
                <w:sz w:val="20"/>
                <w:szCs w:val="20"/>
                <w:u w:val="none"/>
              </w:rPr>
            </w:pPr>
          </w:p>
        </w:tc>
      </w:tr>
      <w:tr w14:paraId="33DB6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03B41662">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6</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71801F5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环境影响咨询服务费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5177B728">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15.76</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2CFB1EB5">
            <w:pPr>
              <w:jc w:val="center"/>
              <w:rPr>
                <w:rFonts w:hint="eastAsia" w:ascii="宋体" w:hAnsi="宋体" w:eastAsia="宋体" w:cs="宋体"/>
                <w:i w:val="0"/>
                <w:iCs w:val="0"/>
                <w:color w:val="000000"/>
                <w:sz w:val="20"/>
                <w:szCs w:val="20"/>
                <w:u w:val="none"/>
              </w:rPr>
            </w:pPr>
          </w:p>
        </w:tc>
      </w:tr>
      <w:tr w14:paraId="3EF94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1EFF4A7">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7</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0B758119">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场地准备费及临时设施费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55907DDC">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118.23</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13F9E0E0">
            <w:pPr>
              <w:jc w:val="center"/>
              <w:rPr>
                <w:rFonts w:hint="eastAsia" w:ascii="宋体" w:hAnsi="宋体" w:eastAsia="宋体" w:cs="宋体"/>
                <w:i w:val="0"/>
                <w:iCs w:val="0"/>
                <w:color w:val="000000"/>
                <w:sz w:val="20"/>
                <w:szCs w:val="20"/>
                <w:u w:val="none"/>
              </w:rPr>
            </w:pPr>
          </w:p>
        </w:tc>
      </w:tr>
      <w:tr w14:paraId="35A66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2F848BB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8</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5386B40F">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工程保险费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3DA9972C">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23.65</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46FE0749">
            <w:pPr>
              <w:jc w:val="center"/>
              <w:rPr>
                <w:rFonts w:hint="eastAsia" w:ascii="宋体" w:hAnsi="宋体" w:eastAsia="宋体" w:cs="宋体"/>
                <w:i w:val="0"/>
                <w:iCs w:val="0"/>
                <w:color w:val="000000"/>
                <w:sz w:val="20"/>
                <w:szCs w:val="20"/>
                <w:u w:val="none"/>
              </w:rPr>
            </w:pPr>
          </w:p>
        </w:tc>
      </w:tr>
      <w:tr w14:paraId="76208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5D9B92F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9</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6C933CBE">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招标代理服务费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5C39CB56">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15.76</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0EF84DCC">
            <w:pPr>
              <w:jc w:val="center"/>
              <w:rPr>
                <w:rFonts w:hint="eastAsia" w:ascii="宋体" w:hAnsi="宋体" w:eastAsia="宋体" w:cs="宋体"/>
                <w:i w:val="0"/>
                <w:iCs w:val="0"/>
                <w:color w:val="000000"/>
                <w:sz w:val="20"/>
                <w:szCs w:val="20"/>
                <w:u w:val="none"/>
              </w:rPr>
            </w:pPr>
          </w:p>
        </w:tc>
      </w:tr>
      <w:tr w14:paraId="5DCB1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C942403">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10</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2E9F0350">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造价咨询费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42982EA8">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39.41</w:t>
            </w:r>
          </w:p>
        </w:tc>
        <w:tc>
          <w:tcPr>
            <w:tcW w:w="431" w:type="pct"/>
            <w:tcBorders>
              <w:top w:val="single" w:color="000000" w:sz="4" w:space="0"/>
              <w:left w:val="single" w:color="000000" w:sz="4" w:space="0"/>
              <w:bottom w:val="single" w:color="000000" w:sz="4" w:space="0"/>
              <w:right w:val="nil"/>
            </w:tcBorders>
            <w:shd w:val="clear"/>
            <w:vAlign w:val="center"/>
          </w:tcPr>
          <w:p w14:paraId="37DA6A8E">
            <w:pPr>
              <w:jc w:val="center"/>
              <w:rPr>
                <w:rFonts w:hint="eastAsia" w:ascii="宋体" w:hAnsi="宋体" w:eastAsia="宋体" w:cs="宋体"/>
                <w:b/>
                <w:bCs/>
                <w:i w:val="0"/>
                <w:iCs w:val="0"/>
                <w:color w:val="000000"/>
                <w:sz w:val="20"/>
                <w:szCs w:val="20"/>
                <w:u w:val="none"/>
              </w:rPr>
            </w:pPr>
          </w:p>
        </w:tc>
        <w:tc>
          <w:tcPr>
            <w:tcW w:w="774" w:type="pct"/>
            <w:tcBorders>
              <w:top w:val="single" w:color="000000" w:sz="4" w:space="0"/>
              <w:left w:val="nil"/>
              <w:bottom w:val="single" w:color="000000" w:sz="4" w:space="0"/>
              <w:right w:val="nil"/>
            </w:tcBorders>
            <w:shd w:val="clear"/>
            <w:vAlign w:val="center"/>
          </w:tcPr>
          <w:p w14:paraId="6041CFCA">
            <w:pPr>
              <w:jc w:val="center"/>
              <w:rPr>
                <w:rFonts w:hint="eastAsia" w:ascii="宋体" w:hAnsi="宋体" w:eastAsia="宋体" w:cs="宋体"/>
                <w:b/>
                <w:bCs/>
                <w:i w:val="0"/>
                <w:iCs w:val="0"/>
                <w:color w:val="000000"/>
                <w:sz w:val="20"/>
                <w:szCs w:val="20"/>
                <w:u w:val="none"/>
              </w:rPr>
            </w:pPr>
          </w:p>
        </w:tc>
        <w:tc>
          <w:tcPr>
            <w:tcW w:w="815" w:type="pct"/>
            <w:tcBorders>
              <w:top w:val="single" w:color="000000" w:sz="4" w:space="0"/>
              <w:left w:val="nil"/>
              <w:bottom w:val="single" w:color="000000" w:sz="4" w:space="0"/>
              <w:right w:val="single" w:color="000000" w:sz="4" w:space="0"/>
            </w:tcBorders>
            <w:shd w:val="clear"/>
            <w:vAlign w:val="center"/>
          </w:tcPr>
          <w:p w14:paraId="5CE421B0">
            <w:pPr>
              <w:jc w:val="center"/>
              <w:rPr>
                <w:rFonts w:hint="eastAsia" w:ascii="宋体" w:hAnsi="宋体" w:eastAsia="宋体" w:cs="宋体"/>
                <w:b/>
                <w:bCs/>
                <w:i w:val="0"/>
                <w:iCs w:val="0"/>
                <w:color w:val="000000"/>
                <w:sz w:val="20"/>
                <w:szCs w:val="20"/>
                <w:u w:val="none"/>
              </w:rPr>
            </w:pPr>
          </w:p>
        </w:tc>
      </w:tr>
      <w:tr w14:paraId="07E10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5E75E73">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三</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6C7EA296">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预备费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1F928C8A">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420.10</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5E4D99FB">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4.68%</w:t>
            </w:r>
          </w:p>
        </w:tc>
      </w:tr>
      <w:tr w14:paraId="3839A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1DBE7F12">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3.1</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35DEEC37">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基本预备费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195E90C5">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420.10</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4AC1009C">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（一+二）*5%</w:t>
            </w:r>
          </w:p>
        </w:tc>
      </w:tr>
      <w:tr w14:paraId="703E9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623D7BA8">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3.2</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1D8C9ED7">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涨价预备费</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009378DF">
            <w:pPr>
              <w:jc w:val="center"/>
              <w:rPr>
                <w:rFonts w:hint="eastAsia" w:ascii="宋体" w:hAnsi="宋体" w:eastAsia="宋体" w:cs="宋体"/>
                <w:i w:val="0"/>
                <w:iCs w:val="0"/>
                <w:color w:val="000000"/>
                <w:sz w:val="20"/>
                <w:szCs w:val="20"/>
                <w:u w:val="none"/>
              </w:rPr>
            </w:pP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4B2F0816">
            <w:pPr>
              <w:jc w:val="center"/>
              <w:rPr>
                <w:rFonts w:hint="eastAsia" w:ascii="宋体" w:hAnsi="宋体" w:eastAsia="宋体" w:cs="宋体"/>
                <w:i w:val="0"/>
                <w:iCs w:val="0"/>
                <w:color w:val="000000"/>
                <w:sz w:val="20"/>
                <w:szCs w:val="20"/>
                <w:u w:val="none"/>
              </w:rPr>
            </w:pPr>
          </w:p>
        </w:tc>
      </w:tr>
      <w:tr w14:paraId="2C292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3B5BCE2D">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五</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158FBD8A">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建设投资合计</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1BF8953B">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8822.05</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3AA1ACDA">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98.22%</w:t>
            </w:r>
          </w:p>
        </w:tc>
      </w:tr>
      <w:tr w14:paraId="628B6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74D4490A">
            <w:pPr>
              <w:jc w:val="center"/>
              <w:rPr>
                <w:rFonts w:hint="eastAsia" w:ascii="宋体" w:hAnsi="宋体" w:eastAsia="宋体" w:cs="宋体"/>
                <w:i w:val="0"/>
                <w:iCs w:val="0"/>
                <w:color w:val="000000"/>
                <w:sz w:val="20"/>
                <w:szCs w:val="20"/>
                <w:u w:val="none"/>
              </w:rPr>
            </w:pP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3DC9623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比例（%）</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329D6810">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none" w:color="auto" w:sz="0" w:space="0"/>
                <w:lang w:val="en-US" w:eastAsia="zh-CN" w:bidi="ar"/>
              </w:rPr>
              <w:t>100%</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2FAB3D76">
            <w:pPr>
              <w:jc w:val="center"/>
              <w:rPr>
                <w:rFonts w:hint="eastAsia" w:ascii="宋体" w:hAnsi="宋体" w:eastAsia="宋体" w:cs="宋体"/>
                <w:i w:val="0"/>
                <w:iCs w:val="0"/>
                <w:color w:val="000000"/>
                <w:sz w:val="20"/>
                <w:szCs w:val="20"/>
                <w:u w:val="none"/>
              </w:rPr>
            </w:pPr>
          </w:p>
        </w:tc>
      </w:tr>
      <w:tr w14:paraId="3725E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F1BA3DE">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六</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125BFBF7">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建设期利息</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2CC16C35">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159.75</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424B065C">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1.78%</w:t>
            </w:r>
          </w:p>
        </w:tc>
      </w:tr>
      <w:tr w14:paraId="5EEDF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3D4E5367">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七</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792B8D30">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固定资产投资</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2EA0E9A4">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8981.80</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4834052A">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100.00%</w:t>
            </w:r>
          </w:p>
        </w:tc>
      </w:tr>
      <w:tr w14:paraId="20A91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682" w:type="pct"/>
            <w:tcBorders>
              <w:top w:val="single" w:color="000000" w:sz="4" w:space="0"/>
              <w:left w:val="single" w:color="000000" w:sz="4" w:space="0"/>
              <w:bottom w:val="single" w:color="000000" w:sz="4" w:space="0"/>
              <w:right w:val="single" w:color="000000" w:sz="4" w:space="0"/>
            </w:tcBorders>
            <w:shd w:val="clear"/>
            <w:vAlign w:val="center"/>
          </w:tcPr>
          <w:p w14:paraId="480B31F1">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八</w:t>
            </w:r>
          </w:p>
        </w:tc>
        <w:tc>
          <w:tcPr>
            <w:tcW w:w="1472" w:type="pct"/>
            <w:tcBorders>
              <w:top w:val="single" w:color="000000" w:sz="4" w:space="0"/>
              <w:left w:val="single" w:color="000000" w:sz="4" w:space="0"/>
              <w:bottom w:val="single" w:color="000000" w:sz="4" w:space="0"/>
              <w:right w:val="single" w:color="000000" w:sz="4" w:space="0"/>
            </w:tcBorders>
            <w:shd w:val="clear"/>
            <w:vAlign w:val="center"/>
          </w:tcPr>
          <w:p w14:paraId="725B244C">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项目总投资</w:t>
            </w:r>
          </w:p>
        </w:tc>
        <w:tc>
          <w:tcPr>
            <w:tcW w:w="823" w:type="pct"/>
            <w:tcBorders>
              <w:top w:val="single" w:color="000000" w:sz="4" w:space="0"/>
              <w:left w:val="single" w:color="000000" w:sz="4" w:space="0"/>
              <w:bottom w:val="single" w:color="000000" w:sz="4" w:space="0"/>
              <w:right w:val="single" w:color="000000" w:sz="4" w:space="0"/>
            </w:tcBorders>
            <w:shd w:val="clear"/>
            <w:vAlign w:val="center"/>
          </w:tcPr>
          <w:p w14:paraId="094256CB">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8981.80</w:t>
            </w:r>
          </w:p>
        </w:tc>
        <w:tc>
          <w:tcPr>
            <w:tcW w:w="2021" w:type="pct"/>
            <w:gridSpan w:val="3"/>
            <w:tcBorders>
              <w:top w:val="single" w:color="000000" w:sz="4" w:space="0"/>
              <w:left w:val="single" w:color="000000" w:sz="4" w:space="0"/>
              <w:bottom w:val="single" w:color="000000" w:sz="4" w:space="0"/>
              <w:right w:val="single" w:color="000000" w:sz="4" w:space="0"/>
            </w:tcBorders>
            <w:shd w:val="clear"/>
            <w:vAlign w:val="center"/>
          </w:tcPr>
          <w:p w14:paraId="752FC642">
            <w:pPr>
              <w:keepNext w:val="0"/>
              <w:keepLines w:val="0"/>
              <w:widowControl/>
              <w:suppressLineNumbers w:val="0"/>
              <w:jc w:val="center"/>
              <w:textAlignment w:val="top"/>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bdr w:val="none" w:color="auto" w:sz="0" w:space="0"/>
                <w:lang w:val="en-US" w:eastAsia="zh-CN" w:bidi="ar"/>
              </w:rPr>
              <w:t>100.00%</w:t>
            </w:r>
          </w:p>
        </w:tc>
      </w:tr>
    </w:tbl>
    <w:p w14:paraId="24A66952">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2、资金投入计划和筹措方案</w:t>
      </w:r>
    </w:p>
    <w:p w14:paraId="7E40C3B1">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b w:val="0"/>
          <w:color w:val="auto"/>
          <w:spacing w:val="0"/>
          <w:sz w:val="28"/>
          <w:szCs w:val="28"/>
          <w:lang w:val="en-US" w:eastAsia="zh-CN" w:bidi="zh-CN"/>
        </w:rPr>
      </w:pPr>
      <w:bookmarkStart w:id="29" w:name="_Toc5531"/>
      <w:bookmarkStart w:id="30" w:name="_Toc29830"/>
      <w:r>
        <w:rPr>
          <w:rFonts w:hint="eastAsia" w:ascii="宋体" w:hAnsi="宋体" w:eastAsia="宋体" w:cs="宋体"/>
          <w:b w:val="0"/>
          <w:color w:val="auto"/>
          <w:spacing w:val="0"/>
          <w:sz w:val="28"/>
          <w:szCs w:val="28"/>
          <w:lang w:val="en-US" w:eastAsia="zh-CN" w:bidi="zh-CN"/>
        </w:rPr>
        <w:t>本项目总投资8,981.80万元，其中固定资产投资8,981.80万元，建设期1年内投入。</w:t>
      </w:r>
    </w:p>
    <w:p w14:paraId="1A1411B8">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auto"/>
          <w:spacing w:val="0"/>
          <w:sz w:val="28"/>
          <w:szCs w:val="28"/>
          <w:u w:val="none"/>
          <w:vertAlign w:val="baseline"/>
          <w:lang w:val="en-US" w:eastAsia="zh-CN"/>
        </w:rPr>
      </w:pPr>
      <w:r>
        <w:rPr>
          <w:rFonts w:hint="eastAsia" w:ascii="宋体" w:hAnsi="宋体" w:eastAsia="宋体" w:cs="宋体"/>
          <w:b w:val="0"/>
          <w:color w:val="auto"/>
          <w:spacing w:val="0"/>
          <w:sz w:val="28"/>
          <w:szCs w:val="28"/>
          <w:lang w:val="en-US" w:eastAsia="zh-CN" w:bidi="zh-CN"/>
        </w:rPr>
        <w:t>在资金筹措方面，项目总投资由资本金和项目融资或其他债务性资金两部分构成，一是资本金1,881.80万元，占总投资的20.95%，由企业自筹解决；二是项目融资、银行借款7,100.00万元，占总投资的79.05%。</w:t>
      </w:r>
    </w:p>
    <w:p w14:paraId="67DC846A">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0" w:firstLineChars="0"/>
        <w:jc w:val="both"/>
        <w:textAlignment w:val="baseline"/>
        <w:outlineLvl w:val="1"/>
        <w:rPr>
          <w:rFonts w:hint="eastAsia" w:ascii="宋体" w:hAnsi="宋体" w:eastAsia="宋体" w:cs="宋体"/>
          <w:b/>
          <w:bCs/>
          <w:snapToGrid/>
          <w:color w:val="auto"/>
          <w:spacing w:val="0"/>
          <w:w w:val="100"/>
          <w:kern w:val="2"/>
          <w:position w:val="0"/>
          <w:sz w:val="28"/>
          <w:szCs w:val="28"/>
          <w:lang w:val="en-US" w:eastAsia="zh-CN" w:bidi="zh-CN"/>
        </w:rPr>
      </w:pPr>
      <w:r>
        <w:rPr>
          <w:rFonts w:hint="eastAsia" w:ascii="宋体" w:hAnsi="宋体" w:eastAsia="宋体" w:cs="宋体"/>
          <w:b/>
          <w:color w:val="auto"/>
          <w:spacing w:val="0"/>
          <w:sz w:val="28"/>
          <w:szCs w:val="28"/>
          <w:lang w:val="en-US" w:eastAsia="zh-CN" w:bidi="zh-CN"/>
        </w:rPr>
        <w:t>6.2 财务盈利能力分析</w:t>
      </w:r>
      <w:bookmarkEnd w:id="29"/>
      <w:bookmarkEnd w:id="30"/>
    </w:p>
    <w:p w14:paraId="2F3C56B5">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0" w:firstLineChars="0"/>
        <w:jc w:val="both"/>
        <w:textAlignment w:val="baseline"/>
        <w:outlineLvl w:val="9"/>
        <w:rPr>
          <w:rFonts w:hint="eastAsia" w:ascii="宋体" w:hAnsi="宋体" w:eastAsia="宋体" w:cs="宋体"/>
          <w:b/>
          <w:bCs/>
          <w:snapToGrid/>
          <w:color w:val="auto"/>
          <w:spacing w:val="0"/>
          <w:w w:val="100"/>
          <w:kern w:val="2"/>
          <w:position w:val="0"/>
          <w:sz w:val="28"/>
          <w:szCs w:val="28"/>
          <w:lang w:val="en-US" w:eastAsia="zh-CN" w:bidi="zh-CN"/>
        </w:rPr>
      </w:pPr>
      <w:r>
        <w:rPr>
          <w:rFonts w:hint="eastAsia" w:ascii="宋体" w:hAnsi="宋体" w:eastAsia="宋体" w:cs="宋体"/>
          <w:b/>
          <w:color w:val="auto"/>
          <w:spacing w:val="0"/>
          <w:sz w:val="28"/>
          <w:szCs w:val="28"/>
          <w:lang w:val="en-US" w:eastAsia="zh-CN" w:bidi="zh-CN"/>
        </w:rPr>
        <w:t>6.2.1 财务评价的目标和原则</w:t>
      </w:r>
    </w:p>
    <w:p w14:paraId="62AC519C">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财务评价是在国家现行财税制度和价格体系的前提下，根据国民经济与社会发展的趋势、行业发展状态、地区发展规划和行业政策的具体情况，从项目的角度出发，在项目初步方案的基础上，采用科学的分析方法，计算项目范围内的财务效益和费用，分析项目的盈利能力和清偿能力，分析论证拟建项目的财务可行性，评价项目在财务上的可行性。</w:t>
      </w:r>
    </w:p>
    <w:p w14:paraId="237D2D65">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评价原则：1、客观性、科学性、公正性原则。2、坚持定量分析与定性分析相结合原则。3、以定量分析为主评价中采用动态与静态分析相结合，以动态分析为主原则。</w:t>
      </w:r>
    </w:p>
    <w:p w14:paraId="253F4861">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0" w:firstLineChars="0"/>
        <w:jc w:val="both"/>
        <w:textAlignment w:val="baseline"/>
        <w:outlineLvl w:val="9"/>
        <w:rPr>
          <w:rFonts w:hint="eastAsia" w:ascii="宋体" w:hAnsi="宋体" w:eastAsia="宋体" w:cs="宋体"/>
          <w:b/>
          <w:bCs/>
          <w:snapToGrid/>
          <w:color w:val="auto"/>
          <w:spacing w:val="0"/>
          <w:w w:val="100"/>
          <w:kern w:val="2"/>
          <w:position w:val="0"/>
          <w:sz w:val="28"/>
          <w:szCs w:val="28"/>
          <w:lang w:val="en-US" w:eastAsia="zh-CN" w:bidi="zh-CN"/>
        </w:rPr>
      </w:pPr>
      <w:r>
        <w:rPr>
          <w:rFonts w:hint="eastAsia" w:ascii="宋体" w:hAnsi="宋体" w:eastAsia="宋体" w:cs="宋体"/>
          <w:b/>
          <w:color w:val="auto"/>
          <w:spacing w:val="0"/>
          <w:sz w:val="28"/>
          <w:szCs w:val="28"/>
          <w:lang w:val="en-US" w:eastAsia="zh-CN" w:bidi="zh-CN"/>
        </w:rPr>
        <w:t>6.2.2 编制依据</w:t>
      </w:r>
    </w:p>
    <w:p w14:paraId="50D60397">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《国家发展改革委员会、建设部关于建设项目经济评价工作的若干规定》（发改投资[2006]1325号）文件。</w:t>
      </w:r>
    </w:p>
    <w:p w14:paraId="3D6511A8">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《建设项目经济评价方法与参数》(第三版)。</w:t>
      </w:r>
    </w:p>
    <w:p w14:paraId="70AD4B1D">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《企业会计准则》及其相关规定。</w:t>
      </w:r>
    </w:p>
    <w:p w14:paraId="63650FC2">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《中华人民共和国企业所得税法》及其相关规定。</w:t>
      </w:r>
    </w:p>
    <w:p w14:paraId="04EF72CE">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《中华人民共和国增值税法》》及其相关规定。</w:t>
      </w:r>
    </w:p>
    <w:p w14:paraId="44C4E692">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《项目融资业务指引》。</w:t>
      </w:r>
    </w:p>
    <w:p w14:paraId="65D109DE">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其他财税管理办法。</w:t>
      </w:r>
    </w:p>
    <w:p w14:paraId="2105C046">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0" w:firstLineChars="0"/>
        <w:jc w:val="both"/>
        <w:textAlignment w:val="baseline"/>
        <w:outlineLvl w:val="9"/>
        <w:rPr>
          <w:rFonts w:hint="eastAsia" w:ascii="宋体" w:hAnsi="宋体" w:eastAsia="宋体" w:cs="宋体"/>
          <w:b/>
          <w:bCs/>
          <w:snapToGrid/>
          <w:color w:val="auto"/>
          <w:spacing w:val="0"/>
          <w:w w:val="100"/>
          <w:kern w:val="2"/>
          <w:position w:val="0"/>
          <w:sz w:val="28"/>
          <w:szCs w:val="28"/>
          <w:lang w:val="en-US" w:eastAsia="zh-CN" w:bidi="zh-CN"/>
        </w:rPr>
      </w:pPr>
      <w:r>
        <w:rPr>
          <w:rFonts w:hint="eastAsia" w:ascii="宋体" w:hAnsi="宋体" w:eastAsia="宋体" w:cs="宋体"/>
          <w:b/>
          <w:color w:val="auto"/>
          <w:spacing w:val="0"/>
          <w:sz w:val="28"/>
          <w:szCs w:val="28"/>
          <w:lang w:val="en-US" w:eastAsia="zh-CN" w:bidi="zh-CN"/>
        </w:rPr>
        <w:t>6.2.3 参数选取</w:t>
      </w:r>
    </w:p>
    <w:p w14:paraId="19076F83">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遵循同期性、有效性、谨慎性和准确性的原则，结合国家财税法律法规、项目所在地区、归属行业以及项目自身特点，选取项目参数，具体情况如下。</w:t>
      </w:r>
    </w:p>
    <w:p w14:paraId="68017B9D">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（1）固定资产的折旧年限为20年，残值率5%，折旧方法为平均年限法。</w:t>
      </w:r>
    </w:p>
    <w:p w14:paraId="5001231A">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（2）根据现行的税收政策规定，增值税按13%计算（电力销售），芦竹销售按9%计算；城市建设维护税按7%，教育费附加按3%，企业所得税率按25%。</w:t>
      </w:r>
    </w:p>
    <w:p w14:paraId="322E6B6E">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color w:val="auto"/>
          <w:spacing w:val="0"/>
          <w:sz w:val="28"/>
          <w:szCs w:val="28"/>
          <w:lang w:val="en-US" w:eastAsia="zh-CN" w:bidi="zh-CN"/>
        </w:rPr>
      </w:pPr>
      <w:r>
        <w:rPr>
          <w:rFonts w:hint="eastAsia" w:ascii="宋体" w:hAnsi="宋体" w:eastAsia="宋体" w:cs="宋体"/>
          <w:b w:val="0"/>
          <w:color w:val="auto"/>
          <w:spacing w:val="0"/>
          <w:sz w:val="28"/>
          <w:szCs w:val="28"/>
          <w:lang w:val="en-US" w:eastAsia="zh-CN" w:bidi="zh-CN"/>
        </w:rPr>
        <w:t>（3）项目计算期为10年，其中建设期1年，运营期9年。</w:t>
      </w:r>
    </w:p>
    <w:p w14:paraId="1FEB13E1">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4）项目财务基准收益率（折现率）为4.2%。目前，无风险收益率（10年期国债收益率）在2.6%左右，因本项目是清洁能源综合利用项目，行业发展确定性较强，行业风险相对较小，所以风险收益暂定为1.6%，即项目财务基准收益率（折现率）为4.2%。</w:t>
      </w:r>
    </w:p>
    <w:p w14:paraId="2FC3C3DE">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0" w:firstLineChars="0"/>
        <w:jc w:val="both"/>
        <w:textAlignment w:val="baseline"/>
        <w:outlineLvl w:val="9"/>
        <w:rPr>
          <w:rFonts w:hint="eastAsia" w:ascii="宋体" w:hAnsi="宋体" w:eastAsia="宋体" w:cs="宋体"/>
          <w:b/>
          <w:bCs/>
          <w:snapToGrid/>
          <w:color w:val="auto"/>
          <w:spacing w:val="0"/>
          <w:w w:val="100"/>
          <w:kern w:val="2"/>
          <w:position w:val="0"/>
          <w:sz w:val="28"/>
          <w:szCs w:val="28"/>
          <w:lang w:val="en-US" w:eastAsia="zh-CN" w:bidi="zh-CN"/>
        </w:rPr>
      </w:pPr>
      <w:r>
        <w:rPr>
          <w:rFonts w:hint="eastAsia" w:ascii="宋体" w:hAnsi="宋体" w:eastAsia="宋体" w:cs="宋体"/>
          <w:b/>
          <w:color w:val="auto"/>
          <w:spacing w:val="0"/>
          <w:sz w:val="28"/>
          <w:szCs w:val="28"/>
          <w:lang w:val="en-US" w:eastAsia="zh-CN" w:bidi="zh-CN"/>
        </w:rPr>
        <w:t>6.2.4 项目收入测算</w:t>
      </w:r>
    </w:p>
    <w:p w14:paraId="25772CAA">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bidi="zh-CN"/>
        </w:rPr>
        <w:t>本项目建成后，收入主要光伏发电收入、储能收入和超级芦竹收入。</w:t>
      </w:r>
    </w:p>
    <w:p w14:paraId="27C2342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right="0" w:rightChars="0" w:firstLine="560" w:firstLineChars="200"/>
        <w:jc w:val="both"/>
        <w:textAlignment w:val="baseline"/>
        <w:outlineLvl w:val="9"/>
        <w:rPr>
          <w:rFonts w:hint="default" w:ascii="宋体" w:hAnsi="宋体" w:eastAsia="宋体" w:cs="宋体"/>
          <w:snapToGrid/>
          <w:color w:val="auto"/>
          <w:spacing w:val="0"/>
          <w:w w:val="100"/>
          <w:kern w:val="2"/>
          <w:position w:val="0"/>
          <w:sz w:val="28"/>
          <w:szCs w:val="28"/>
          <w:u w:val="none"/>
          <w:vertAlign w:val="baseline"/>
          <w:lang w:val="en-US" w:eastAsia="zh-CN" w:bidi="zh-CN"/>
          <w:woUserID w:val="1"/>
        </w:rPr>
      </w:pPr>
      <w:r>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t>1、光伏发电收入</w:t>
      </w:r>
    </w:p>
    <w:p w14:paraId="7ADD95E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right="0" w:rightChars="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pPr>
      <w:r>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t>本项目光伏总装机容量为26MW（25,480KW，首年），年发电量约为3,068.64万kWh（3.337kWh/kWp/天×25,480kWp×360天），项目光伏产出电量将优先供给金堆城钼业公司及周边企业用电，为日常用电需求提供绿电供应服务，并对储能设备进行充电。</w:t>
      </w:r>
    </w:p>
    <w:p w14:paraId="005D73A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right="0" w:rightChars="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pPr>
      <w:r>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t>衰减值：光伏发电首年衰减值为2%，剩余每年衰减值为0.5%。</w:t>
      </w:r>
    </w:p>
    <w:p w14:paraId="2F3CEBF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right="0" w:rightChars="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pPr>
      <w:r>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t>1KW光伏装机容量平均日发电量：光伏发电时段在8:00-18:00，考虑日照时间、气温、照射角度等因素，1KW光伏装机容量每日发电量为3.337kWh/kWp/天。本项目预计首年发电量3.337kWh/kWp/天×25,480kWp×360天=3,068.64万kWh。</w:t>
      </w:r>
    </w:p>
    <w:p w14:paraId="0C8F7DE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right="0" w:rightChars="0" w:firstLine="0" w:firstLineChars="0"/>
        <w:jc w:val="both"/>
        <w:textAlignment w:val="baseline"/>
        <w:outlineLvl w:val="9"/>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pPr>
      <w:r>
        <w:rPr>
          <w:rFonts w:ascii="宋体" w:hAnsi="宋体" w:eastAsia="宋体" w:cs="宋体"/>
          <w:spacing w:val="0"/>
          <w:kern w:val="0"/>
          <w:sz w:val="28"/>
          <w:u w:val="none"/>
          <w:vertAlign w:val="baseline"/>
          <w:lang w:eastAsia="zh"/>
          <w:woUserID w:val="1"/>
        </w:rPr>
        <w:drawing>
          <wp:inline distT="0" distB="0" distL="0" distR="0">
            <wp:extent cx="5270500" cy="3598545"/>
            <wp:effectExtent l="0" t="0" r="0" b="8255"/>
            <wp:docPr id="80" name="picture" descr="descript"/>
            <wp:cNvGraphicFramePr/>
            <a:graphic xmlns:a="http://schemas.openxmlformats.org/drawingml/2006/main">
              <a:graphicData uri="http://schemas.openxmlformats.org/drawingml/2006/picture">
                <pic:pic xmlns:pic="http://schemas.openxmlformats.org/drawingml/2006/picture">
                  <pic:nvPicPr>
                    <pic:cNvPr id="80" name="picture" descr="descript"/>
                    <pic:cNvPicPr/>
                  </pic:nvPicPr>
                  <pic:blipFill>
                    <a:blip r:embed="rId21"/>
                    <a:srcRect/>
                    <a:stretch>
                      <a:fillRect/>
                    </a:stretch>
                  </pic:blipFill>
                  <pic:spPr>
                    <a:xfrm>
                      <a:off x="0" y="0"/>
                      <a:ext cx="5270500" cy="3599037"/>
                    </a:xfrm>
                    <a:prstGeom prst="rect">
                      <a:avLst/>
                    </a:prstGeom>
                  </pic:spPr>
                </pic:pic>
              </a:graphicData>
            </a:graphic>
          </wp:inline>
        </w:drawing>
      </w:r>
    </w:p>
    <w:p w14:paraId="7F9429C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right="0" w:rightChars="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pPr>
      <w:r>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t>商业用电平均电价：根据国网河南省电力公司代理购电工商业用户电价表，本项目电压等级为1千-10千伏区间，根据河南省发展改革委发布的《关于调整工商业分时电价有关事项的通知》规定：高峰时段为16--24时，低谷时段为0时-次日7时，其余时段为平段，根据生产规律，高峰用电占比49%，平时段用电占比50%，低谷时段用电为1%，光伏发电主要集中在每日8：00-17：00，工商业用电平均电价为0.87元/kWh左右（每月电价有一定浮动），出于谨慎性原则，光伏自用电价收入为0.5元/kWh，暂不考虑电价调幅。</w:t>
      </w:r>
    </w:p>
    <w:p w14:paraId="24B5C55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right="0" w:rightChars="0" w:firstLine="560" w:firstLineChars="200"/>
        <w:jc w:val="center"/>
        <w:textAlignment w:val="baseline"/>
        <w:outlineLvl w:val="9"/>
        <w:rPr>
          <w:rFonts w:hint="default" w:ascii="宋体" w:hAnsi="宋体" w:eastAsia="宋体" w:cs="宋体"/>
          <w:snapToGrid/>
          <w:color w:val="auto"/>
          <w:spacing w:val="0"/>
          <w:w w:val="100"/>
          <w:kern w:val="2"/>
          <w:position w:val="0"/>
          <w:sz w:val="28"/>
          <w:szCs w:val="28"/>
          <w:u w:val="none"/>
          <w:vertAlign w:val="baseline"/>
          <w:lang w:val="en-US" w:eastAsia="zh-CN" w:bidi="zh-CN"/>
          <w:woUserID w:val="1"/>
        </w:rPr>
      </w:pPr>
      <w:r>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t>河南省2026年6月工商业代理电价表</w:t>
      </w:r>
    </w:p>
    <w:p w14:paraId="00FCDDC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right="0" w:rightChars="0" w:firstLine="0" w:firstLineChars="0"/>
        <w:jc w:val="both"/>
        <w:textAlignment w:val="baseline"/>
        <w:outlineLvl w:val="9"/>
        <w:rPr>
          <w:rFonts w:hint="eastAsia" w:ascii="宋体" w:hAnsi="宋体" w:eastAsia="宋体" w:cs="宋体"/>
          <w:snapToGrid/>
          <w:color w:val="auto"/>
          <w:spacing w:val="0"/>
          <w:w w:val="100"/>
          <w:kern w:val="2"/>
          <w:position w:val="0"/>
          <w:sz w:val="28"/>
          <w:szCs w:val="28"/>
          <w:u w:val="none"/>
          <w:vertAlign w:val="baseline"/>
          <w:lang w:val="en-US" w:eastAsia="zh-CN" w:bidi="zh-CN"/>
          <w:woUserID w:val="1"/>
        </w:rPr>
      </w:pPr>
      <w:r>
        <w:drawing>
          <wp:inline distT="0" distB="0" distL="114300" distR="114300">
            <wp:extent cx="5272405" cy="2457450"/>
            <wp:effectExtent l="0" t="0" r="1079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2405" cy="2457450"/>
                    </a:xfrm>
                    <a:prstGeom prst="rect">
                      <a:avLst/>
                    </a:prstGeom>
                    <a:noFill/>
                    <a:ln>
                      <a:noFill/>
                    </a:ln>
                  </pic:spPr>
                </pic:pic>
              </a:graphicData>
            </a:graphic>
          </wp:inline>
        </w:drawing>
      </w:r>
    </w:p>
    <w:p w14:paraId="0FD59D0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right="0" w:rightChars="0" w:firstLine="560" w:firstLineChars="200"/>
        <w:jc w:val="both"/>
        <w:textAlignment w:val="baseline"/>
        <w:outlineLvl w:val="9"/>
        <w:rPr>
          <w:rFonts w:hint="default" w:ascii="宋体" w:hAnsi="宋体" w:eastAsia="宋体" w:cs="宋体"/>
          <w:snapToGrid/>
          <w:color w:val="auto"/>
          <w:spacing w:val="0"/>
          <w:w w:val="100"/>
          <w:kern w:val="2"/>
          <w:position w:val="0"/>
          <w:sz w:val="28"/>
          <w:szCs w:val="28"/>
          <w:u w:val="none"/>
          <w:vertAlign w:val="baseline"/>
          <w:lang w:val="en-US" w:eastAsia="zh-CN" w:bidi="zh-CN"/>
          <w:woUserID w:val="1"/>
        </w:rPr>
      </w:pPr>
      <w:r>
        <w:rPr>
          <w:rFonts w:hint="eastAsia" w:ascii="宋体" w:hAnsi="宋体" w:eastAsia="宋体" w:cs="宋体"/>
          <w:snapToGrid/>
          <w:color w:val="000000"/>
          <w:spacing w:val="0"/>
          <w:w w:val="100"/>
          <w:kern w:val="2"/>
          <w:position w:val="0"/>
          <w:sz w:val="28"/>
          <w:szCs w:val="28"/>
          <w:u w:val="none"/>
          <w:vertAlign w:val="baseline"/>
          <w:lang w:val="en-US" w:eastAsia="zh-CN" w:bidi="zh-CN"/>
          <w:woUserID w:val="1"/>
        </w:rPr>
        <w:t>商业用电平均电价：本项目光伏发电主要供应金堆城钼业公司使用，根据协商确定，含税电价为0.50元/kWh。经计算，运营期内光伏年均收入约为1,401.40万元。</w:t>
      </w:r>
    </w:p>
    <w:p w14:paraId="3FE85A81">
      <w:pPr>
        <w:pStyle w:val="6"/>
        <w:keepNext w:val="0"/>
        <w:keepLines w:val="0"/>
        <w:pageBreakBefore w:val="0"/>
        <w:widowControl w:val="0"/>
        <w:kinsoku/>
        <w:wordWrap/>
        <w:overflowPunct/>
        <w:topLinePunct/>
        <w:autoSpaceDE w:val="0"/>
        <w:autoSpaceDN/>
        <w:bidi w:val="0"/>
        <w:adjustRightInd/>
        <w:snapToGrid/>
        <w:spacing w:before="161" w:beforeLines="50" w:beforeAutospacing="0" w:after="161" w:afterLines="50" w:afterAutospacing="0" w:line="360" w:lineRule="auto"/>
        <w:ind w:left="0" w:right="0" w:firstLine="560" w:firstLineChars="200"/>
        <w:jc w:val="both"/>
        <w:textAlignment w:val="baseline"/>
        <w:rPr>
          <w:rFonts w:hint="eastAsia" w:ascii="宋体" w:hAnsi="宋体" w:eastAsia="宋体" w:cs="宋体"/>
          <w:color w:val="auto"/>
          <w:spacing w:val="0"/>
          <w:w w:val="100"/>
          <w:position w:val="0"/>
          <w:sz w:val="28"/>
          <w:szCs w:val="28"/>
          <w:lang w:val="en-US" w:eastAsia="zh-CN"/>
        </w:rPr>
      </w:pPr>
      <w:r>
        <w:rPr>
          <w:rFonts w:hint="eastAsia" w:ascii="宋体" w:hAnsi="宋体" w:eastAsia="宋体" w:cs="宋体"/>
          <w:color w:val="auto"/>
          <w:spacing w:val="0"/>
          <w:w w:val="100"/>
          <w:position w:val="0"/>
          <w:sz w:val="28"/>
          <w:szCs w:val="28"/>
          <w:lang w:val="en-US" w:eastAsia="zh-CN"/>
        </w:rPr>
        <w:t>2、储能收入</w:t>
      </w:r>
    </w:p>
    <w:p w14:paraId="79912217">
      <w:pPr>
        <w:pStyle w:val="6"/>
        <w:keepNext w:val="0"/>
        <w:keepLines w:val="0"/>
        <w:pageBreakBefore w:val="0"/>
        <w:widowControl w:val="0"/>
        <w:kinsoku/>
        <w:wordWrap/>
        <w:overflowPunct/>
        <w:topLinePunct/>
        <w:autoSpaceDE w:val="0"/>
        <w:autoSpaceDN/>
        <w:bidi w:val="0"/>
        <w:adjustRightInd/>
        <w:snapToGrid/>
        <w:spacing w:before="161" w:beforeLines="50" w:beforeAutospacing="0" w:after="161" w:afterLines="50" w:afterAutospacing="0" w:line="360" w:lineRule="auto"/>
        <w:ind w:left="0" w:right="0" w:firstLine="560" w:firstLineChars="200"/>
        <w:jc w:val="both"/>
        <w:textAlignment w:val="baseline"/>
        <w:rPr>
          <w:rFonts w:hint="eastAsia" w:ascii="宋体" w:hAnsi="宋体" w:eastAsia="宋体" w:cs="宋体"/>
          <w:color w:val="auto"/>
          <w:spacing w:val="0"/>
          <w:w w:val="100"/>
          <w:position w:val="0"/>
          <w:sz w:val="28"/>
          <w:szCs w:val="28"/>
          <w:lang w:val="en-US" w:eastAsia="zh-CN"/>
        </w:rPr>
      </w:pPr>
      <w:r>
        <w:rPr>
          <w:rFonts w:hint="eastAsia" w:ascii="宋体" w:hAnsi="宋体" w:eastAsia="宋体" w:cs="宋体"/>
          <w:color w:val="auto"/>
          <w:spacing w:val="0"/>
          <w:w w:val="100"/>
          <w:position w:val="0"/>
          <w:sz w:val="28"/>
          <w:szCs w:val="28"/>
          <w:lang w:val="en-US" w:eastAsia="zh-CN"/>
        </w:rPr>
        <w:t>项目配备储能设备3MW/6MWh，最大储能量为每天6000kWh，由光伏设备在白天为储能设备进行充电。考虑到充放电有损耗，储能设备日供电量按照90%计算为5400kWh。年储能供电量是5400kWh*360=194.4万kWh。项目储能设备可为</w:t>
      </w:r>
      <w:r>
        <w:rPr>
          <w:rFonts w:hint="eastAsia" w:ascii="宋体" w:hAnsi="宋体" w:eastAsia="宋体" w:cs="宋体"/>
          <w:snapToGrid/>
          <w:color w:val="000000"/>
          <w:spacing w:val="0"/>
          <w:w w:val="100"/>
          <w:kern w:val="2"/>
          <w:position w:val="0"/>
          <w:sz w:val="28"/>
          <w:szCs w:val="28"/>
          <w:u w:val="none"/>
          <w:vertAlign w:val="baseline"/>
          <w:lang w:val="en-US" w:eastAsia="zh-CN" w:bidi="zh-CN"/>
          <w:woUserID w:val="1"/>
        </w:rPr>
        <w:t>周边</w:t>
      </w:r>
      <w:r>
        <w:rPr>
          <w:rFonts w:hint="eastAsia" w:ascii="宋体" w:hAnsi="宋体" w:eastAsia="宋体" w:cs="宋体"/>
          <w:color w:val="auto"/>
          <w:spacing w:val="0"/>
          <w:w w:val="100"/>
          <w:position w:val="0"/>
          <w:sz w:val="28"/>
          <w:szCs w:val="28"/>
          <w:lang w:val="en-US" w:eastAsia="zh-CN"/>
        </w:rPr>
        <w:t>企业夜间高峰时段提供能源供应，本项目中主要盈利形式为峰谷差价储能收入、储能波峰放电收入。</w:t>
      </w:r>
    </w:p>
    <w:p w14:paraId="7B69695A">
      <w:pPr>
        <w:pStyle w:val="6"/>
        <w:keepNext w:val="0"/>
        <w:keepLines w:val="0"/>
        <w:pageBreakBefore w:val="0"/>
        <w:widowControl w:val="0"/>
        <w:kinsoku/>
        <w:wordWrap/>
        <w:overflowPunct/>
        <w:topLinePunct/>
        <w:autoSpaceDE w:val="0"/>
        <w:autoSpaceDN/>
        <w:bidi w:val="0"/>
        <w:adjustRightInd/>
        <w:snapToGrid/>
        <w:spacing w:before="161" w:beforeLines="50" w:beforeAutospacing="0" w:after="161" w:afterLines="50" w:afterAutospacing="0" w:line="360" w:lineRule="auto"/>
        <w:ind w:left="0" w:right="0" w:firstLine="560" w:firstLineChars="200"/>
        <w:jc w:val="both"/>
        <w:textAlignment w:val="baseline"/>
        <w:outlineLvl w:val="9"/>
        <w:rPr>
          <w:rFonts w:hint="eastAsia" w:ascii="宋体" w:hAnsi="宋体" w:eastAsia="宋体" w:cs="宋体"/>
          <w:color w:val="auto"/>
          <w:spacing w:val="0"/>
          <w:sz w:val="28"/>
          <w:szCs w:val="28"/>
          <w:lang w:val="en-US" w:eastAsia="zh-CN"/>
        </w:rPr>
      </w:pPr>
      <w:r>
        <w:rPr>
          <w:rFonts w:hint="eastAsia" w:ascii="宋体" w:hAnsi="宋体" w:eastAsia="宋体" w:cs="宋体"/>
          <w:color w:val="auto"/>
          <w:spacing w:val="0"/>
          <w:w w:val="100"/>
          <w:position w:val="0"/>
          <w:sz w:val="28"/>
          <w:szCs w:val="28"/>
          <w:lang w:val="en-US" w:eastAsia="zh-CN"/>
        </w:rPr>
        <w:t>根据2026年6月河南省工商业代理购电价格显示，高峰时段代理购电价格为1.00元/kWh，本项目储能高峰时段售电价格按照0.50元/kWh，远远低于工商业代理购电价格。经计算，运营期内年均储能售电收入约为</w:t>
      </w:r>
      <w:r>
        <w:rPr>
          <w:rFonts w:hint="eastAsia" w:ascii="宋体" w:hAnsi="宋体" w:eastAsia="宋体" w:cs="宋体"/>
          <w:b w:val="0"/>
          <w:color w:val="auto"/>
          <w:spacing w:val="0"/>
          <w:sz w:val="28"/>
          <w:szCs w:val="28"/>
          <w:lang w:val="en-US" w:eastAsia="zh-CN"/>
        </w:rPr>
        <w:t>97.20</w:t>
      </w:r>
      <w:r>
        <w:rPr>
          <w:rFonts w:hint="eastAsia" w:ascii="宋体" w:hAnsi="宋体" w:eastAsia="宋体" w:cs="宋体"/>
          <w:color w:val="auto"/>
          <w:spacing w:val="0"/>
          <w:w w:val="100"/>
          <w:position w:val="0"/>
          <w:sz w:val="28"/>
          <w:szCs w:val="28"/>
          <w:lang w:val="en-US" w:eastAsia="zh-CN"/>
        </w:rPr>
        <w:t>万元。</w:t>
      </w:r>
    </w:p>
    <w:p w14:paraId="162311E9">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lang w:val="en-US" w:eastAsia="zh-CN" w:bidi="zh-CN"/>
        </w:rPr>
      </w:pPr>
      <w:r>
        <w:rPr>
          <w:rFonts w:hint="eastAsia" w:ascii="宋体" w:hAnsi="宋体" w:eastAsia="宋体" w:cs="宋体"/>
          <w:b w:val="0"/>
          <w:color w:val="auto"/>
          <w:spacing w:val="0"/>
          <w:sz w:val="28"/>
          <w:szCs w:val="28"/>
          <w:lang w:val="en-US" w:eastAsia="zh-CN"/>
        </w:rPr>
        <w:t>3、超级芦竹收入</w:t>
      </w:r>
    </w:p>
    <w:p w14:paraId="32D656EF">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560" w:firstLineChars="200"/>
        <w:jc w:val="both"/>
        <w:textAlignment w:val="baseline"/>
        <w:outlineLvl w:val="9"/>
        <w:rPr>
          <w:rFonts w:hint="eastAsia" w:ascii="宋体" w:hAnsi="宋体" w:eastAsia="宋体" w:cs="宋体"/>
          <w:b w:val="0"/>
          <w:bCs w:val="0"/>
          <w:snapToGrid/>
          <w:color w:val="auto"/>
          <w:spacing w:val="0"/>
          <w:w w:val="100"/>
          <w:kern w:val="2"/>
          <w:position w:val="0"/>
          <w:sz w:val="28"/>
          <w:szCs w:val="28"/>
          <w:highlight w:val="none"/>
          <w:lang w:val="en-US" w:eastAsia="zh-CN" w:bidi="zh-CN"/>
        </w:rPr>
      </w:pPr>
      <w:r>
        <w:rPr>
          <w:rFonts w:hint="eastAsia" w:ascii="宋体" w:hAnsi="宋体" w:eastAsia="宋体" w:cs="宋体"/>
          <w:b w:val="0"/>
          <w:color w:val="auto"/>
          <w:spacing w:val="0"/>
          <w:sz w:val="28"/>
          <w:szCs w:val="28"/>
          <w:lang w:eastAsia="zh-CN"/>
        </w:rPr>
        <w:t>项目在光伏板下种植能源植物超级芦竹300亩，年产量约</w:t>
      </w:r>
      <w:r>
        <w:rPr>
          <w:rFonts w:hint="eastAsia" w:ascii="宋体" w:hAnsi="宋体" w:eastAsia="宋体" w:cs="宋体"/>
          <w:b w:val="0"/>
          <w:color w:val="auto"/>
          <w:spacing w:val="0"/>
          <w:sz w:val="28"/>
          <w:szCs w:val="28"/>
          <w:lang w:val="en-US" w:eastAsia="zh-CN"/>
        </w:rPr>
        <w:t>1000元</w:t>
      </w:r>
      <w:r>
        <w:rPr>
          <w:rFonts w:hint="eastAsia" w:ascii="宋体" w:hAnsi="宋体" w:eastAsia="宋体" w:cs="宋体"/>
          <w:b w:val="0"/>
          <w:color w:val="auto"/>
          <w:spacing w:val="0"/>
          <w:sz w:val="28"/>
          <w:szCs w:val="28"/>
          <w:lang w:eastAsia="zh-CN"/>
        </w:rPr>
        <w:t>/亩，超级芦竹热值约4200大卡，可作为生物质燃料和化工原料对外销售，主要消纳对象为周边生物质电厂、化工企业等。经测算，项目运营期内超级芦竹年收入</w:t>
      </w:r>
      <w:r>
        <w:rPr>
          <w:rFonts w:hint="eastAsia" w:ascii="宋体" w:hAnsi="宋体" w:eastAsia="宋体" w:cs="宋体"/>
          <w:b w:val="0"/>
          <w:color w:val="auto"/>
          <w:spacing w:val="0"/>
          <w:sz w:val="28"/>
          <w:szCs w:val="28"/>
          <w:lang w:val="en-US" w:eastAsia="zh-CN"/>
        </w:rPr>
        <w:t>30</w:t>
      </w:r>
      <w:r>
        <w:rPr>
          <w:rFonts w:hint="eastAsia" w:ascii="宋体" w:hAnsi="宋体" w:eastAsia="宋体" w:cs="宋体"/>
          <w:b w:val="0"/>
          <w:color w:val="auto"/>
          <w:spacing w:val="0"/>
          <w:sz w:val="28"/>
          <w:szCs w:val="28"/>
          <w:lang w:eastAsia="zh-CN"/>
        </w:rPr>
        <w:t>.00万元。</w:t>
      </w:r>
    </w:p>
    <w:p w14:paraId="64B9E5B4">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综上所述，项目运营期内总收入为13,758.54万元，年均收入1,528.73万元。</w:t>
      </w:r>
    </w:p>
    <w:p w14:paraId="31F76B3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6.2.5 项目成本测算</w:t>
      </w:r>
    </w:p>
    <w:p w14:paraId="2E4E0CF8">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default"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项目成本费用主要包括外购燃料及动力费、人员工资与福利费、保洁维护费、管理费及其他、折旧费、摊销费和利息支出等。根据资金测算表，项目运营期内年均总成本费用为740.99万元，其中年均固定成本670.88万元，年均可变成本54.51万元，年均经营成本192.40万元。各项成本费用具体情况如下：</w:t>
      </w:r>
    </w:p>
    <w:p w14:paraId="22B4A7A1">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color w:val="000000"/>
          <w:spacing w:val="0"/>
          <w:sz w:val="28"/>
          <w:szCs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1、燃料动力费</w:t>
      </w:r>
    </w:p>
    <w:p w14:paraId="49647169">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color w:val="000000"/>
          <w:spacing w:val="0"/>
          <w:sz w:val="28"/>
          <w:szCs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项目运营期主要消耗少量水资源，用于光伏组件清洗及超级芦竹灌溉等。站用电主要由项目自身光伏发电供给，外购电量较少（外购电费用已在收入中直接抵扣）。经测算，年均外购燃料及动力费约15.60万元。</w:t>
      </w:r>
    </w:p>
    <w:p w14:paraId="5470E0CC">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2、人员工资与福利成本</w:t>
      </w:r>
    </w:p>
    <w:p w14:paraId="075F487A">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本项目运营期劳动定员4人，主要为运行值班、设备维护、电力交易、芦竹种植管理等岗位人员，人均工资及福利费合计为6万元/年。经计算，年均职工薪酬及福利费为24.00万元。</w:t>
      </w:r>
    </w:p>
    <w:p w14:paraId="7D48405C">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3、保洁维护费</w:t>
      </w:r>
    </w:p>
    <w:p w14:paraId="2E7A070C">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保洁维护费包括光伏组件清洗、设备巡检检修、零部件更换、储能系统维护等日常维护支出，按折旧费的8%计取。经测算，年均保洁维护费约30.51万元。</w:t>
      </w:r>
    </w:p>
    <w:p w14:paraId="70C0A73C">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4、折旧与摊销</w:t>
      </w:r>
    </w:p>
    <w:p w14:paraId="57B3DB1C">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本项目按直线法（平均年限法）计算折旧，固定资产折旧年限为20年，残值率为5%，项目运营期内年均折旧额为381.33万元。</w:t>
      </w:r>
    </w:p>
    <w:p w14:paraId="7F0A1371">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5、管理费及其他</w:t>
      </w:r>
    </w:p>
    <w:p w14:paraId="55DB244E">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color w:val="000000"/>
          <w:spacing w:val="0"/>
          <w:sz w:val="28"/>
          <w:szCs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管理费及其他包括办公费、差旅费、通讯费、保险费、培训费、审计费、咨询服务费等日常管理支出，按照收入的一定比例计取。经测算，年均管理费及其他约122.29万元（达产年）。</w:t>
      </w:r>
    </w:p>
    <w:p w14:paraId="0B96AE9C">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6、利息支出</w:t>
      </w:r>
    </w:p>
    <w:p w14:paraId="2BA7BEBB">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项目申请贷款7,100.00万元，年限为10年，其中建设期1年，建设期利息计入总投资，利率为4.5%，运营期内每年还本付息，按等额本金方式偿还。具体情况见《还本付息表》。</w:t>
      </w:r>
    </w:p>
    <w:p w14:paraId="7A38565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6.2.6 总投资收益率（ROI）</w:t>
      </w:r>
    </w:p>
    <w:p w14:paraId="2C0F5B01">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按照《方法与参数》的规定，总投资收益率（ROI）表示总投资的盈利水平，指项目到达设计能力后正常年份的年息税前利润或运营期内年平均息税前利润（EBIT）与项目总投资（TI）的比率；总投资收益率按照下式计算：</w:t>
      </w:r>
    </w:p>
    <w:p w14:paraId="1A6A7B88">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right="0"/>
        <w:jc w:val="center"/>
        <w:textAlignment w:val="baseline"/>
        <w:rPr>
          <w:rFonts w:hint="eastAsia" w:ascii="宋体" w:hAnsi="宋体" w:eastAsia="宋体" w:cs="宋体"/>
          <w:i w:val="0"/>
          <w:strike w:val="0"/>
          <w:color w:val="auto"/>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ROI=EBIT/TI*100%=8.41%</w:t>
      </w:r>
    </w:p>
    <w:p w14:paraId="1E4A2B68">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default"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式中：EBIT—项目正常年份的年息税前利润或运营期内年平均息税前利润；TI—项目总投资。</w:t>
      </w:r>
    </w:p>
    <w:p w14:paraId="3D9505E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6.2.7 资本金净利润率（ROE）</w:t>
      </w:r>
    </w:p>
    <w:p w14:paraId="44334DDD">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按照《方法与参数》的规定，资本金净利润率（ROE）表示利润总额占用资本金的百分比，这个比值反映了投资者投入企业资本金的获利能力，是一种获利能力的标准性的指标。其计算公式如下：</w:t>
      </w:r>
    </w:p>
    <w:p w14:paraId="017C3DD4">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right="0"/>
        <w:jc w:val="center"/>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ROE=NP/EC*100%=31.24%</w:t>
      </w:r>
    </w:p>
    <w:p w14:paraId="55C768C4">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其中：NP—项目达到设计生产能力后正常年份的税后净利润或运营期内税后年平均净利润，净利润=利润总额-所得税；EC—项目资本金。</w:t>
      </w:r>
    </w:p>
    <w:p w14:paraId="6E6F44B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6.2.8 税后财务内部收益率（FIRR）</w:t>
      </w:r>
    </w:p>
    <w:p w14:paraId="0EB28033">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按照《方法与参数》的规定，财务内部收益率（FIRR）系指项目计算期内净现金流量现值累计等于零时的折现率。其计算公式如下：</w:t>
      </w:r>
    </w:p>
    <w:p w14:paraId="2E150E1E">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outlineLvl w:val="9"/>
        <w:rPr>
          <w:position w:val="-11"/>
        </w:rPr>
      </w:pPr>
      <w:r>
        <w:rPr>
          <w:position w:val="-11"/>
        </w:rPr>
        <w:drawing>
          <wp:inline distT="0" distB="0" distL="0" distR="0">
            <wp:extent cx="1889760" cy="365125"/>
            <wp:effectExtent l="0" t="0" r="2540" b="3175"/>
            <wp:docPr id="65" name="IM 58"/>
            <wp:cNvGraphicFramePr/>
            <a:graphic xmlns:a="http://schemas.openxmlformats.org/drawingml/2006/main">
              <a:graphicData uri="http://schemas.openxmlformats.org/drawingml/2006/picture">
                <pic:pic xmlns:pic="http://schemas.openxmlformats.org/drawingml/2006/picture">
                  <pic:nvPicPr>
                    <pic:cNvPr id="65" name="IM 58"/>
                    <pic:cNvPicPr/>
                  </pic:nvPicPr>
                  <pic:blipFill>
                    <a:blip r:embed="rId23"/>
                    <a:stretch>
                      <a:fillRect/>
                    </a:stretch>
                  </pic:blipFill>
                  <pic:spPr>
                    <a:xfrm>
                      <a:off x="0" y="0"/>
                      <a:ext cx="1889760" cy="365759"/>
                    </a:xfrm>
                    <a:prstGeom prst="rect">
                      <a:avLst/>
                    </a:prstGeom>
                  </pic:spPr>
                </pic:pic>
              </a:graphicData>
            </a:graphic>
          </wp:inline>
        </w:drawing>
      </w:r>
    </w:p>
    <w:p w14:paraId="07F5C5DD">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式中：CI为现金流入，CO为现金流出，下同。</w:t>
      </w:r>
    </w:p>
    <w:p w14:paraId="008BA9B9">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本项目税后全部投资财务内部收益率（FIRR）计算结果为9.16%。</w:t>
      </w:r>
    </w:p>
    <w:p w14:paraId="38010DD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auto"/>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6.2.9 税后财务净现值（FNPV）</w:t>
      </w:r>
    </w:p>
    <w:p w14:paraId="777114C9">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按照《方法与参数》的规定，财务净现值（FNPV）系指按设定的折现率（一般采用基准收益率ic）计算项目计算期内各年净现金流量的现值之和。</w:t>
      </w:r>
    </w:p>
    <w:p w14:paraId="343923BB">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outlineLvl w:val="9"/>
        <w:rPr>
          <w:position w:val="-11"/>
        </w:rPr>
      </w:pPr>
      <w:r>
        <w:rPr>
          <w:position w:val="-11"/>
        </w:rPr>
        <w:drawing>
          <wp:inline distT="0" distB="0" distL="0" distR="0">
            <wp:extent cx="2011045" cy="365125"/>
            <wp:effectExtent l="0" t="0" r="8255" b="3175"/>
            <wp:docPr id="68" name="IM 60"/>
            <wp:cNvGraphicFramePr/>
            <a:graphic xmlns:a="http://schemas.openxmlformats.org/drawingml/2006/main">
              <a:graphicData uri="http://schemas.openxmlformats.org/drawingml/2006/picture">
                <pic:pic xmlns:pic="http://schemas.openxmlformats.org/drawingml/2006/picture">
                  <pic:nvPicPr>
                    <pic:cNvPr id="68" name="IM 60"/>
                    <pic:cNvPicPr/>
                  </pic:nvPicPr>
                  <pic:blipFill>
                    <a:blip r:embed="rId24"/>
                    <a:stretch>
                      <a:fillRect/>
                    </a:stretch>
                  </pic:blipFill>
                  <pic:spPr>
                    <a:xfrm>
                      <a:off x="0" y="0"/>
                      <a:ext cx="2011679" cy="365759"/>
                    </a:xfrm>
                    <a:prstGeom prst="rect">
                      <a:avLst/>
                    </a:prstGeom>
                  </pic:spPr>
                </pic:pic>
              </a:graphicData>
            </a:graphic>
          </wp:inline>
        </w:drawing>
      </w:r>
    </w:p>
    <w:p w14:paraId="463B872C">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式中Ic为基准收益率，本项目为4.2%。</w:t>
      </w:r>
    </w:p>
    <w:p w14:paraId="4DE85E3E">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本项目税后全部投资财务净现值（FNPV）计算结果为5,252.36万元。</w:t>
      </w:r>
    </w:p>
    <w:p w14:paraId="4809F1F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auto"/>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6.2.10 所得税后动态投资回收期（Pt）</w:t>
      </w:r>
    </w:p>
    <w:p w14:paraId="699AEA24">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按照《方法与参数》的规定，投资回收期（Pt）系指以项目的净收益回收项目投资所需要的时间。其计算公式如下：</w:t>
      </w:r>
    </w:p>
    <w:p w14:paraId="76D04DC7">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outlineLvl w:val="9"/>
        <w:rPr>
          <w:color w:val="auto"/>
          <w:position w:val="-13"/>
        </w:rPr>
      </w:pPr>
      <w:r>
        <w:rPr>
          <w:color w:val="auto"/>
          <w:position w:val="-13"/>
        </w:rPr>
        <w:drawing>
          <wp:inline distT="0" distB="0" distL="0" distR="0">
            <wp:extent cx="1157605" cy="426720"/>
            <wp:effectExtent l="0" t="0" r="10795" b="5080"/>
            <wp:docPr id="71" name="IM 62"/>
            <wp:cNvGraphicFramePr/>
            <a:graphic xmlns:a="http://schemas.openxmlformats.org/drawingml/2006/main">
              <a:graphicData uri="http://schemas.openxmlformats.org/drawingml/2006/picture">
                <pic:pic xmlns:pic="http://schemas.openxmlformats.org/drawingml/2006/picture">
                  <pic:nvPicPr>
                    <pic:cNvPr id="71" name="IM 62"/>
                    <pic:cNvPicPr/>
                  </pic:nvPicPr>
                  <pic:blipFill>
                    <a:blip r:embed="rId25"/>
                    <a:stretch>
                      <a:fillRect/>
                    </a:stretch>
                  </pic:blipFill>
                  <pic:spPr>
                    <a:xfrm>
                      <a:off x="0" y="0"/>
                      <a:ext cx="1158239" cy="426720"/>
                    </a:xfrm>
                    <a:prstGeom prst="rect">
                      <a:avLst/>
                    </a:prstGeom>
                  </pic:spPr>
                </pic:pic>
              </a:graphicData>
            </a:graphic>
          </wp:inline>
        </w:drawing>
      </w:r>
    </w:p>
    <w:p w14:paraId="29A0C3BD">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本项目税后投资回收期（Pt）经计算为</w:t>
      </w:r>
      <w:r>
        <w:rPr>
          <w:rFonts w:hint="eastAsia" w:ascii="宋体" w:hAnsi="宋体" w:eastAsia="宋体" w:cs="宋体"/>
          <w:i w:val="0"/>
          <w:color w:val="000000"/>
          <w:spacing w:val="0"/>
          <w:sz w:val="28"/>
          <w:szCs w:val="28"/>
          <w:u w:val="none"/>
          <w:vertAlign w:val="baseline"/>
          <w:lang w:val="en-US" w:eastAsia="zh-CN"/>
          <w:woUserID w:val="2"/>
        </w:rPr>
        <w:t>9.01</w:t>
      </w:r>
      <w:r>
        <w:rPr>
          <w:rFonts w:hint="eastAsia" w:ascii="宋体" w:hAnsi="宋体" w:eastAsia="宋体" w:cs="宋体"/>
          <w:i w:val="0"/>
          <w:color w:val="000000"/>
          <w:spacing w:val="0"/>
          <w:sz w:val="28"/>
          <w:szCs w:val="28"/>
          <w:u w:val="none"/>
          <w:vertAlign w:val="baseline"/>
          <w:lang w:val="en-US" w:eastAsia="zh-CN"/>
        </w:rPr>
        <w:t>年（含建设期）。</w:t>
      </w:r>
    </w:p>
    <w:p w14:paraId="016DAAA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auto"/>
        <w:outlineLvl w:val="9"/>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6.2.11 盈亏平衡分析</w:t>
      </w:r>
    </w:p>
    <w:p w14:paraId="0612A411">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各种不确定性因素的变化会影响投资方案的经济效果，当这些因素的变化达到某一临界值时，就会使方案的损益情况产生质变。</w:t>
      </w:r>
    </w:p>
    <w:p w14:paraId="3EACC5E0">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进行盈亏平衡分析，目的是找出该临界值，以判断投资方案对不确定性因素变化的承受能力，旨在为决策提供依据。</w:t>
      </w:r>
    </w:p>
    <w:p w14:paraId="7FD07522">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14:paraId="420FC065">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auto"/>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BEP项目能力利用率=年固定成本/（年营业收入-年可变成本-年营业税金及附加）×100％=46.08%</w:t>
      </w:r>
    </w:p>
    <w:p w14:paraId="729C021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auto"/>
        <w:outlineLvl w:val="9"/>
        <w:rPr>
          <w:rFonts w:hint="eastAsia" w:ascii="宋体" w:hAnsi="宋体" w:eastAsia="宋体" w:cs="宋体"/>
          <w:b/>
          <w:bCs/>
          <w:snapToGrid/>
          <w:color w:val="0000FF"/>
          <w:spacing w:val="0"/>
          <w:w w:val="100"/>
          <w:kern w:val="2"/>
          <w:position w:val="0"/>
          <w:sz w:val="28"/>
          <w:szCs w:val="28"/>
          <w:lang w:val="en-US" w:eastAsia="zh-CN"/>
        </w:rPr>
      </w:pPr>
      <w:r>
        <w:rPr>
          <w:rFonts w:hint="eastAsia" w:ascii="宋体" w:hAnsi="宋体" w:eastAsia="宋体" w:cs="宋体"/>
          <w:b/>
          <w:color w:val="0000FF"/>
          <w:spacing w:val="0"/>
          <w:sz w:val="28"/>
          <w:szCs w:val="28"/>
          <w:lang w:val="en-US" w:eastAsia="zh-CN"/>
        </w:rPr>
        <w:t>6.2.12 敏感性分析</w:t>
      </w:r>
    </w:p>
    <w:p w14:paraId="61C62428">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FF"/>
          <w:spacing w:val="0"/>
          <w:sz w:val="28"/>
          <w:u w:val="none"/>
          <w:vertAlign w:val="baseline"/>
          <w:lang w:val="en-US" w:eastAsia="zh-CN"/>
        </w:rPr>
      </w:pPr>
      <w:r>
        <w:rPr>
          <w:rFonts w:hint="eastAsia" w:ascii="宋体" w:hAnsi="宋体" w:eastAsia="宋体" w:cs="宋体"/>
          <w:i w:val="0"/>
          <w:color w:val="0000FF"/>
          <w:spacing w:val="0"/>
          <w:sz w:val="28"/>
          <w:szCs w:val="28"/>
          <w:u w:val="none"/>
          <w:vertAlign w:val="baseline"/>
          <w:lang w:val="en-US" w:eastAsia="zh-CN"/>
        </w:rPr>
        <w:t>本项目主要风险因素包括销售收入、原材料、经营成本、固定资产投资等因素的变化，而投资值的影响。</w:t>
      </w:r>
    </w:p>
    <w:p w14:paraId="15D51B3A">
      <w:pPr>
        <w:keepNext w:val="0"/>
        <w:keepLines w:val="0"/>
        <w:pageBreakBefore w:val="0"/>
        <w:widowControl w:val="0"/>
        <w:pBdr>
          <w:bottom w:val="none" w:color="auto" w:sz="0" w:space="0"/>
        </w:pBdr>
        <w:kinsoku/>
        <w:wordWrap/>
        <w:overflowPunct/>
        <w:topLinePunct w:val="0"/>
        <w:autoSpaceDE w:val="0"/>
        <w:autoSpaceDN w:val="0"/>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FF"/>
          <w:spacing w:val="0"/>
          <w:sz w:val="28"/>
          <w:u w:val="none"/>
          <w:vertAlign w:val="baseline"/>
          <w:lang w:val="en-US" w:eastAsia="zh-CN"/>
        </w:rPr>
      </w:pPr>
      <w:r>
        <w:rPr>
          <w:rFonts w:hint="eastAsia" w:ascii="宋体" w:hAnsi="宋体" w:eastAsia="宋体" w:cs="宋体"/>
          <w:i w:val="0"/>
          <w:color w:val="0000FF"/>
          <w:spacing w:val="0"/>
          <w:sz w:val="28"/>
          <w:szCs w:val="28"/>
          <w:u w:val="none"/>
          <w:vertAlign w:val="baseline"/>
          <w:lang w:val="en-US" w:eastAsia="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14:paraId="648D483A">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firstLine="0" w:firstLineChars="0"/>
        <w:jc w:val="center"/>
        <w:textAlignment w:val="auto"/>
        <w:outlineLvl w:val="9"/>
        <w:rPr>
          <w:rFonts w:hint="eastAsia" w:ascii="宋体" w:hAnsi="宋体" w:eastAsia="宋体" w:cs="宋体"/>
          <w:b/>
          <w:bCs/>
          <w:snapToGrid/>
          <w:color w:val="0000FF"/>
          <w:spacing w:val="0"/>
          <w:w w:val="100"/>
          <w:kern w:val="2"/>
          <w:position w:val="0"/>
          <w:sz w:val="28"/>
          <w:szCs w:val="28"/>
          <w:lang w:val="en-US" w:eastAsia="zh-CN" w:bidi="zh-CN"/>
        </w:rPr>
      </w:pPr>
      <w:r>
        <w:rPr>
          <w:rFonts w:hint="eastAsia" w:ascii="宋体" w:hAnsi="宋体" w:eastAsia="宋体" w:cs="宋体"/>
          <w:b/>
          <w:color w:val="0000FF"/>
          <w:spacing w:val="0"/>
          <w:sz w:val="28"/>
          <w:szCs w:val="28"/>
          <w:lang w:val="en-US" w:eastAsia="zh-CN" w:bidi="zh-CN"/>
        </w:rPr>
        <w:t>财务敏感性分析</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6"/>
        <w:gridCol w:w="1066"/>
      </w:tblGrid>
      <w:tr w14:paraId="1314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65" w:type="dxa"/>
            <w:vAlign w:val="center"/>
          </w:tcPr>
          <w:p w14:paraId="05BEAFC2">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变动幅度</w:t>
            </w:r>
          </w:p>
        </w:tc>
        <w:tc>
          <w:tcPr>
            <w:tcW w:w="1065" w:type="dxa"/>
            <w:vAlign w:val="center"/>
          </w:tcPr>
          <w:p w14:paraId="1AFAFBE7">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-15%</w:t>
            </w:r>
          </w:p>
        </w:tc>
        <w:tc>
          <w:tcPr>
            <w:tcW w:w="1065" w:type="dxa"/>
            <w:vAlign w:val="center"/>
          </w:tcPr>
          <w:p w14:paraId="39F96CD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-10%</w:t>
            </w:r>
          </w:p>
        </w:tc>
        <w:tc>
          <w:tcPr>
            <w:tcW w:w="1065" w:type="dxa"/>
            <w:vAlign w:val="center"/>
          </w:tcPr>
          <w:p w14:paraId="3AE60BD6">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-5%</w:t>
            </w:r>
          </w:p>
        </w:tc>
        <w:tc>
          <w:tcPr>
            <w:tcW w:w="1065" w:type="dxa"/>
            <w:vAlign w:val="center"/>
          </w:tcPr>
          <w:p w14:paraId="0D540F0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0%</w:t>
            </w:r>
          </w:p>
        </w:tc>
        <w:tc>
          <w:tcPr>
            <w:tcW w:w="1065" w:type="dxa"/>
            <w:vAlign w:val="center"/>
          </w:tcPr>
          <w:p w14:paraId="4DE3CAD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5%</w:t>
            </w:r>
          </w:p>
        </w:tc>
        <w:tc>
          <w:tcPr>
            <w:tcW w:w="1066" w:type="dxa"/>
            <w:vAlign w:val="center"/>
          </w:tcPr>
          <w:p w14:paraId="6D354D30">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10%</w:t>
            </w:r>
          </w:p>
        </w:tc>
        <w:tc>
          <w:tcPr>
            <w:tcW w:w="1066" w:type="dxa"/>
            <w:vAlign w:val="center"/>
          </w:tcPr>
          <w:p w14:paraId="468FFCCC">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15%</w:t>
            </w:r>
          </w:p>
        </w:tc>
      </w:tr>
      <w:tr w14:paraId="4867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65" w:type="dxa"/>
            <w:vAlign w:val="center"/>
          </w:tcPr>
          <w:p w14:paraId="6F2DFFC0">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销售收入</w:t>
            </w:r>
          </w:p>
        </w:tc>
        <w:tc>
          <w:tcPr>
            <w:tcW w:w="1065" w:type="dxa"/>
            <w:vAlign w:val="center"/>
          </w:tcPr>
          <w:p w14:paraId="7294C29E">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6.77</w:t>
            </w:r>
          </w:p>
        </w:tc>
        <w:tc>
          <w:tcPr>
            <w:tcW w:w="1065" w:type="dxa"/>
            <w:vAlign w:val="center"/>
          </w:tcPr>
          <w:p w14:paraId="611047E0">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7.55</w:t>
            </w:r>
          </w:p>
        </w:tc>
        <w:tc>
          <w:tcPr>
            <w:tcW w:w="1065" w:type="dxa"/>
            <w:vAlign w:val="center"/>
          </w:tcPr>
          <w:p w14:paraId="6C3BA9F2">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8.32</w:t>
            </w:r>
          </w:p>
        </w:tc>
        <w:tc>
          <w:tcPr>
            <w:tcW w:w="1065" w:type="dxa"/>
            <w:vAlign w:val="center"/>
          </w:tcPr>
          <w:p w14:paraId="38560354">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9.09</w:t>
            </w:r>
          </w:p>
        </w:tc>
        <w:tc>
          <w:tcPr>
            <w:tcW w:w="1065" w:type="dxa"/>
            <w:vAlign w:val="center"/>
          </w:tcPr>
          <w:p w14:paraId="7DC8085A">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9.85</w:t>
            </w:r>
          </w:p>
        </w:tc>
        <w:tc>
          <w:tcPr>
            <w:tcW w:w="1066" w:type="dxa"/>
            <w:vAlign w:val="center"/>
          </w:tcPr>
          <w:p w14:paraId="54CBDDB6">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10.61</w:t>
            </w:r>
          </w:p>
        </w:tc>
        <w:tc>
          <w:tcPr>
            <w:tcW w:w="1066" w:type="dxa"/>
            <w:vAlign w:val="center"/>
          </w:tcPr>
          <w:p w14:paraId="2757A5C6">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11.37</w:t>
            </w:r>
          </w:p>
        </w:tc>
      </w:tr>
      <w:tr w14:paraId="752C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65" w:type="dxa"/>
            <w:vAlign w:val="center"/>
          </w:tcPr>
          <w:p w14:paraId="02AE7DFB">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经营成本</w:t>
            </w:r>
          </w:p>
        </w:tc>
        <w:tc>
          <w:tcPr>
            <w:tcW w:w="1065" w:type="dxa"/>
            <w:vAlign w:val="center"/>
          </w:tcPr>
          <w:p w14:paraId="048DC14B">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9.36</w:t>
            </w:r>
          </w:p>
        </w:tc>
        <w:tc>
          <w:tcPr>
            <w:tcW w:w="1065" w:type="dxa"/>
            <w:vAlign w:val="center"/>
          </w:tcPr>
          <w:p w14:paraId="564D0CDE">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9.27</w:t>
            </w:r>
          </w:p>
        </w:tc>
        <w:tc>
          <w:tcPr>
            <w:tcW w:w="1065" w:type="dxa"/>
            <w:vAlign w:val="center"/>
          </w:tcPr>
          <w:p w14:paraId="536C0E20">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9.18</w:t>
            </w:r>
          </w:p>
        </w:tc>
        <w:tc>
          <w:tcPr>
            <w:tcW w:w="1065" w:type="dxa"/>
            <w:vAlign w:val="center"/>
          </w:tcPr>
          <w:p w14:paraId="410C7DC6">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9.09</w:t>
            </w:r>
          </w:p>
        </w:tc>
        <w:tc>
          <w:tcPr>
            <w:tcW w:w="1065" w:type="dxa"/>
            <w:vAlign w:val="center"/>
          </w:tcPr>
          <w:p w14:paraId="28BA8522">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9.00</w:t>
            </w:r>
          </w:p>
        </w:tc>
        <w:tc>
          <w:tcPr>
            <w:tcW w:w="1066" w:type="dxa"/>
            <w:vAlign w:val="center"/>
          </w:tcPr>
          <w:p w14:paraId="6180B4E8">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8.91</w:t>
            </w:r>
          </w:p>
        </w:tc>
        <w:tc>
          <w:tcPr>
            <w:tcW w:w="1066" w:type="dxa"/>
            <w:vAlign w:val="center"/>
          </w:tcPr>
          <w:p w14:paraId="697AF4B9">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8.82</w:t>
            </w:r>
          </w:p>
        </w:tc>
      </w:tr>
      <w:tr w14:paraId="00DB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65" w:type="dxa"/>
            <w:vAlign w:val="center"/>
          </w:tcPr>
          <w:p w14:paraId="2B46DB72">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建安投资</w:t>
            </w:r>
          </w:p>
        </w:tc>
        <w:tc>
          <w:tcPr>
            <w:tcW w:w="1065" w:type="dxa"/>
            <w:vAlign w:val="center"/>
          </w:tcPr>
          <w:p w14:paraId="5957563D">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11.38</w:t>
            </w:r>
          </w:p>
        </w:tc>
        <w:tc>
          <w:tcPr>
            <w:tcW w:w="1065" w:type="dxa"/>
            <w:vAlign w:val="center"/>
          </w:tcPr>
          <w:p w14:paraId="152EB354">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10.53</w:t>
            </w:r>
          </w:p>
        </w:tc>
        <w:tc>
          <w:tcPr>
            <w:tcW w:w="1065" w:type="dxa"/>
            <w:vAlign w:val="center"/>
          </w:tcPr>
          <w:p w14:paraId="11CDC366">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9.77</w:t>
            </w:r>
          </w:p>
        </w:tc>
        <w:tc>
          <w:tcPr>
            <w:tcW w:w="1065" w:type="dxa"/>
            <w:vAlign w:val="center"/>
          </w:tcPr>
          <w:p w14:paraId="74EB6F9C">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9.09</w:t>
            </w:r>
          </w:p>
        </w:tc>
        <w:tc>
          <w:tcPr>
            <w:tcW w:w="1065" w:type="dxa"/>
            <w:vAlign w:val="center"/>
          </w:tcPr>
          <w:p w14:paraId="28643BDA">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8.47</w:t>
            </w:r>
          </w:p>
        </w:tc>
        <w:tc>
          <w:tcPr>
            <w:tcW w:w="1066" w:type="dxa"/>
            <w:vAlign w:val="center"/>
          </w:tcPr>
          <w:p w14:paraId="538C72AE">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7.90</w:t>
            </w:r>
          </w:p>
        </w:tc>
        <w:tc>
          <w:tcPr>
            <w:tcW w:w="1066" w:type="dxa"/>
            <w:vAlign w:val="center"/>
          </w:tcPr>
          <w:p w14:paraId="43F5262F">
            <w:pPr>
              <w:keepNext w:val="0"/>
              <w:keepLines w:val="0"/>
              <w:widowControl w:val="0"/>
              <w:suppressLineNumbers w:val="0"/>
              <w:spacing w:before="0" w:beforeAutospacing="0" w:after="0" w:afterAutospacing="0"/>
              <w:ind w:left="0" w:right="0"/>
              <w:jc w:val="center"/>
              <w:rPr>
                <w:rFonts w:hint="default"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7.38</w:t>
            </w:r>
          </w:p>
        </w:tc>
      </w:tr>
    </w:tbl>
    <w:p w14:paraId="49D9C605">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FF"/>
          <w:spacing w:val="0"/>
          <w:sz w:val="28"/>
          <w:u w:val="none"/>
          <w:vertAlign w:val="baseline"/>
          <w:lang w:val="en-US" w:eastAsia="zh-CN"/>
        </w:rPr>
      </w:pPr>
      <w:r>
        <w:rPr>
          <w:rFonts w:hint="eastAsia" w:ascii="宋体" w:hAnsi="宋体" w:eastAsia="宋体" w:cs="宋体"/>
          <w:i w:val="0"/>
          <w:color w:val="0000FF"/>
          <w:spacing w:val="0"/>
          <w:sz w:val="28"/>
          <w:szCs w:val="28"/>
          <w:u w:val="none"/>
          <w:vertAlign w:val="baseline"/>
          <w:lang w:val="en-US" w:eastAsia="zh-CN"/>
        </w:rPr>
        <w:t>该项目具有较强的抗风险能力，但应密切关注市场电价和超级芦竹售价的变化，制定适应市场变化的经营策略；同时注意控制项目的成本费用，降低经营成本。</w:t>
      </w:r>
    </w:p>
    <w:p w14:paraId="626BF09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1"/>
        <w:rPr>
          <w:rFonts w:hint="eastAsia" w:ascii="宋体" w:hAnsi="宋体" w:eastAsia="宋体" w:cs="宋体"/>
          <w:b/>
          <w:bCs/>
          <w:snapToGrid/>
          <w:spacing w:val="0"/>
          <w:w w:val="100"/>
          <w:kern w:val="2"/>
          <w:position w:val="0"/>
          <w:sz w:val="28"/>
          <w:szCs w:val="28"/>
          <w:lang w:val="en-US" w:eastAsia="zh-CN"/>
        </w:rPr>
      </w:pPr>
      <w:bookmarkStart w:id="31" w:name="_Toc32257"/>
      <w:bookmarkStart w:id="32" w:name="_Toc19939"/>
      <w:r>
        <w:rPr>
          <w:rFonts w:hint="eastAsia" w:ascii="宋体" w:hAnsi="宋体" w:eastAsia="宋体" w:cs="宋体"/>
          <w:b/>
          <w:spacing w:val="0"/>
          <w:sz w:val="28"/>
          <w:szCs w:val="28"/>
          <w:lang w:val="en-US" w:eastAsia="zh-CN"/>
        </w:rPr>
        <w:t>6.3 资金投入计划和筹措方案</w:t>
      </w:r>
      <w:bookmarkEnd w:id="31"/>
      <w:bookmarkEnd w:id="32"/>
    </w:p>
    <w:p w14:paraId="48540687">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color w:val="000000"/>
          <w:spacing w:val="0"/>
          <w:sz w:val="28"/>
          <w:szCs w:val="28"/>
          <w:u w:val="none"/>
          <w:vertAlign w:val="baseline"/>
          <w:lang w:val="en-US" w:eastAsia="zh-CN"/>
        </w:rPr>
      </w:pPr>
      <w:bookmarkStart w:id="33" w:name="_Toc16335"/>
      <w:bookmarkStart w:id="34" w:name="_Toc6035"/>
      <w:r>
        <w:rPr>
          <w:rFonts w:hint="eastAsia" w:ascii="宋体" w:hAnsi="宋体" w:eastAsia="宋体" w:cs="宋体"/>
          <w:i w:val="0"/>
          <w:color w:val="000000"/>
          <w:spacing w:val="0"/>
          <w:sz w:val="28"/>
          <w:szCs w:val="28"/>
          <w:u w:val="none"/>
          <w:vertAlign w:val="baseline"/>
          <w:lang w:val="en-US" w:eastAsia="zh-CN"/>
        </w:rPr>
        <w:t>在资金筹措方面，项目总投资由资本金和项目融资或其他债务性资金两部分构成，一是资本金1,881.80万元，占总投资的20.95%，由企业自筹解决；二是项目融资、银行借款7,100.00万元，占总投资的79.05%。</w:t>
      </w:r>
    </w:p>
    <w:p w14:paraId="304B14E0">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color w:val="000000"/>
          <w:spacing w:val="0"/>
          <w:sz w:val="28"/>
          <w:szCs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资金使用计划：建设期1年内，根据工程进度安排资金使用。资本金1,881.80万元在项目建设期内按工程进度投入，银行借款7,100.00万元根据施工合同和付款节点分期支取。</w:t>
      </w:r>
    </w:p>
    <w:p w14:paraId="6867526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1"/>
        <w:rPr>
          <w:rFonts w:hint="eastAsia" w:ascii="宋体" w:hAnsi="宋体" w:eastAsia="宋体" w:cs="宋体"/>
          <w:b/>
          <w:bCs/>
          <w:snapToGrid/>
          <w:spacing w:val="0"/>
          <w:w w:val="100"/>
          <w:kern w:val="2"/>
          <w:position w:val="0"/>
          <w:sz w:val="28"/>
          <w:szCs w:val="28"/>
          <w:lang w:val="en-US" w:eastAsia="zh-CN"/>
        </w:rPr>
      </w:pPr>
      <w:r>
        <w:rPr>
          <w:rFonts w:hint="eastAsia" w:ascii="宋体" w:hAnsi="宋体" w:eastAsia="宋体" w:cs="宋体"/>
          <w:b/>
          <w:spacing w:val="0"/>
          <w:sz w:val="28"/>
          <w:szCs w:val="28"/>
          <w:lang w:val="en-US" w:eastAsia="zh-CN"/>
        </w:rPr>
        <w:t>6.4 债务清偿能力分析</w:t>
      </w:r>
      <w:bookmarkEnd w:id="33"/>
      <w:bookmarkEnd w:id="34"/>
    </w:p>
    <w:p w14:paraId="2B44858C">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color w:val="000000"/>
          <w:spacing w:val="0"/>
          <w:sz w:val="28"/>
          <w:szCs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通过现金流量表计算可以看出项目计算期各年能收支平衡，并有盈余，有足够大的经营活动净现金流量，表明有足够的现金流量维持正常运营，实现财务可持续性，说明项目财务生存能力强。</w:t>
      </w:r>
    </w:p>
    <w:p w14:paraId="51383F91">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hint="eastAsia" w:ascii="宋体" w:hAnsi="宋体" w:eastAsia="宋体" w:cs="宋体"/>
          <w:i w:val="0"/>
          <w:strike w:val="0"/>
          <w:color w:val="000000"/>
          <w:spacing w:val="0"/>
          <w:sz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该项目综合利息备付率6.14，综合偿债备付率1.17，说明企业具有较强的清偿能力。各年可用于还本付息的资金均大于当期应还本付息金额，能够满足债务偿还要求。</w:t>
      </w:r>
    </w:p>
    <w:p w14:paraId="758F9E2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jc w:val="both"/>
        <w:textAlignment w:val="baseline"/>
        <w:outlineLvl w:val="1"/>
        <w:rPr>
          <w:rFonts w:hint="eastAsia" w:ascii="宋体" w:hAnsi="宋体" w:eastAsia="宋体" w:cs="宋体"/>
          <w:b/>
          <w:bCs/>
          <w:snapToGrid/>
          <w:spacing w:val="0"/>
          <w:w w:val="100"/>
          <w:kern w:val="2"/>
          <w:position w:val="0"/>
          <w:sz w:val="28"/>
          <w:szCs w:val="28"/>
          <w:lang w:val="en-US" w:eastAsia="zh-CN"/>
        </w:rPr>
      </w:pPr>
      <w:bookmarkStart w:id="35" w:name="_Toc21467"/>
      <w:bookmarkStart w:id="36" w:name="_Toc5079"/>
      <w:r>
        <w:rPr>
          <w:rFonts w:hint="eastAsia" w:ascii="宋体" w:hAnsi="宋体" w:eastAsia="宋体" w:cs="宋体"/>
          <w:b/>
          <w:spacing w:val="0"/>
          <w:sz w:val="28"/>
          <w:szCs w:val="28"/>
          <w:lang w:val="en-US" w:eastAsia="zh-CN"/>
        </w:rPr>
        <w:t>6.5 财务可持续性分析</w:t>
      </w:r>
      <w:bookmarkEnd w:id="35"/>
      <w:bookmarkEnd w:id="36"/>
    </w:p>
    <w:p w14:paraId="00FEEDD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i w:val="0"/>
          <w:color w:val="000000"/>
          <w:spacing w:val="0"/>
          <w:sz w:val="28"/>
          <w:szCs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通过对项目从筹建到经营全过程各项评价指标的测算，项目虽然投资较大，但项目建成以后经营效益较好。项目建成后所得税后全部投资财务内部收益率为9.16%，投资回收期为9.01年（含建设期），总投资收益率为8.41%，资本金净利润率为31.24%。</w:t>
      </w:r>
    </w:p>
    <w:p w14:paraId="7E60AF9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i w:val="0"/>
          <w:color w:val="000000"/>
          <w:spacing w:val="0"/>
          <w:sz w:val="28"/>
          <w:szCs w:val="28"/>
          <w:u w:val="none"/>
          <w:vertAlign w:val="baseline"/>
          <w:lang w:val="en-US" w:eastAsia="zh-CN"/>
        </w:rPr>
      </w:pPr>
      <w:r>
        <w:rPr>
          <w:rFonts w:hint="eastAsia" w:ascii="宋体" w:hAnsi="宋体" w:eastAsia="宋体" w:cs="宋体"/>
          <w:i w:val="0"/>
          <w:color w:val="000000"/>
          <w:spacing w:val="0"/>
          <w:sz w:val="28"/>
          <w:szCs w:val="28"/>
          <w:u w:val="none"/>
          <w:vertAlign w:val="baseline"/>
          <w:lang w:val="en-US" w:eastAsia="zh-CN"/>
        </w:rPr>
        <w:t>项目税后财务内部收益率高于行业基准收益率4.2%，各项指标均优于行业平均水平，项目在财务上是可行的，并且具有较强的经济效益和抗风险能力。</w:t>
      </w:r>
    </w:p>
    <w:p w14:paraId="3D827F4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i w:val="0"/>
          <w:color w:val="000000"/>
          <w:spacing w:val="0"/>
          <w:sz w:val="28"/>
          <w:szCs w:val="28"/>
          <w:u w:val="none"/>
          <w:vertAlign w:val="baseline"/>
          <w:lang w:val="en-US" w:eastAsia="zh-CN"/>
        </w:rPr>
        <w:t>综上所述，该项目符合国家新能源产业政策，经济效益较好，具有一定的抗风险能力，项目可行性强。</w:t>
      </w:r>
    </w:p>
    <w:p w14:paraId="212AE3DC">
      <w:pPr>
        <w:rPr>
          <w:rFonts w:ascii="宋体" w:hAnsi="宋体" w:eastAsia="宋体" w:cs="宋体"/>
          <w:b/>
          <w:bCs/>
          <w:spacing w:val="-4"/>
          <w:sz w:val="36"/>
          <w:szCs w:val="36"/>
        </w:rPr>
      </w:pPr>
      <w:r>
        <w:rPr>
          <w:rFonts w:ascii="宋体" w:hAnsi="宋体" w:eastAsia="宋体" w:cs="宋体"/>
          <w:b/>
          <w:bCs/>
          <w:spacing w:val="-4"/>
          <w:sz w:val="36"/>
          <w:szCs w:val="36"/>
        </w:rPr>
        <w:br w:type="page"/>
      </w:r>
    </w:p>
    <w:p w14:paraId="03CFDCD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baseline"/>
        <w:outlineLvl w:val="9"/>
        <w:rPr>
          <w:rFonts w:hint="eastAsia" w:ascii="宋体" w:hAnsi="宋体" w:eastAsia="宋体" w:cs="宋体"/>
          <w:snapToGrid/>
          <w:color w:val="auto"/>
          <w:spacing w:val="0"/>
          <w:w w:val="100"/>
          <w:kern w:val="2"/>
          <w:position w:val="0"/>
          <w:sz w:val="28"/>
          <w:szCs w:val="28"/>
          <w:lang w:val="en-US" w:eastAsia="zh-CN" w:bidi="zh-CN"/>
        </w:rPr>
      </w:pPr>
      <w:bookmarkStart w:id="85" w:name="_GoBack"/>
      <w:bookmarkEnd w:id="85"/>
    </w:p>
    <w:p w14:paraId="7AEBB397">
      <w:pPr>
        <w:widowControl w:val="0"/>
        <w:kinsoku/>
        <w:adjustRightInd/>
        <w:snapToGrid/>
        <w:spacing w:before="120" w:beforeLines="50" w:after="120" w:afterLines="50" w:line="360" w:lineRule="auto"/>
        <w:ind w:firstLine="560" w:firstLineChars="200"/>
        <w:jc w:val="both"/>
        <w:rPr>
          <w:rFonts w:ascii="宋体" w:hAnsi="宋体" w:eastAsia="宋体" w:cs="宋体"/>
          <w:sz w:val="28"/>
        </w:rPr>
      </w:pPr>
    </w:p>
    <w:p w14:paraId="069CF300">
      <w:pPr>
        <w:sectPr>
          <w:headerReference r:id="rId7" w:type="default"/>
          <w:footerReference r:id="rId8" w:type="default"/>
          <w:pgSz w:w="11905" w:h="16840"/>
          <w:pgMar w:top="1440" w:right="1803" w:bottom="1440" w:left="1803" w:header="825" w:footer="1198" w:gutter="0"/>
          <w:pgBorders>
            <w:top w:val="none" w:sz="0" w:space="0"/>
            <w:left w:val="none" w:sz="0" w:space="0"/>
            <w:bottom w:val="none" w:sz="0" w:space="0"/>
            <w:right w:val="none" w:sz="0" w:space="0"/>
          </w:pgBorders>
          <w:pgNumType w:fmt="decimal"/>
          <w:cols w:space="720" w:num="1"/>
        </w:sectPr>
      </w:pPr>
    </w:p>
    <w:p w14:paraId="3CC61AFB">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宋体" w:hAnsi="宋体" w:eastAsia="宋体" w:cs="宋体"/>
          <w:b/>
          <w:bCs/>
          <w:i w:val="0"/>
          <w:iCs w:val="0"/>
          <w:color w:val="auto"/>
          <w:kern w:val="0"/>
          <w:sz w:val="28"/>
          <w:szCs w:val="28"/>
          <w:u w:val="none"/>
          <w:lang w:val="en-US" w:eastAsia="zh-CN" w:bidi="ar"/>
        </w:rPr>
      </w:pPr>
      <w:bookmarkStart w:id="37" w:name="_Toc21237"/>
      <w:bookmarkStart w:id="38" w:name="_Toc3642"/>
      <w:bookmarkStart w:id="39" w:name="_Toc7231"/>
      <w:bookmarkStart w:id="40" w:name="_Toc8543"/>
      <w:bookmarkStart w:id="41" w:name="_Toc17240"/>
      <w:bookmarkStart w:id="42" w:name="_Toc9382"/>
      <w:r>
        <w:rPr>
          <w:rFonts w:hint="eastAsia" w:ascii="宋体" w:hAnsi="宋体" w:eastAsia="宋体" w:cs="宋体"/>
          <w:b/>
          <w:bCs/>
          <w:i w:val="0"/>
          <w:iCs w:val="0"/>
          <w:color w:val="auto"/>
          <w:kern w:val="0"/>
          <w:sz w:val="28"/>
          <w:szCs w:val="28"/>
          <w:u w:val="none"/>
          <w:lang w:val="en-US" w:eastAsia="zh-CN" w:bidi="ar"/>
        </w:rPr>
        <w:t>附表1：建设投资估算表</w:t>
      </w:r>
      <w:bookmarkEnd w:id="37"/>
      <w:bookmarkEnd w:id="38"/>
      <w:bookmarkEnd w:id="39"/>
      <w:bookmarkEnd w:id="40"/>
      <w:bookmarkEnd w:id="41"/>
      <w:bookmarkEnd w:id="42"/>
    </w:p>
    <w:tbl>
      <w:tblPr>
        <w:tblStyle w:val="14"/>
        <w:tblW w:w="13958"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5"/>
        <w:gridCol w:w="2679"/>
        <w:gridCol w:w="1501"/>
        <w:gridCol w:w="1323"/>
        <w:gridCol w:w="1323"/>
        <w:gridCol w:w="1323"/>
        <w:gridCol w:w="1502"/>
        <w:gridCol w:w="787"/>
        <w:gridCol w:w="1411"/>
        <w:gridCol w:w="1484"/>
      </w:tblGrid>
      <w:tr w14:paraId="59006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1700" w:type="dxa"/>
            <w:gridSpan w:val="10"/>
            <w:tcBorders>
              <w:top w:val="nil"/>
              <w:left w:val="nil"/>
              <w:bottom w:val="nil"/>
              <w:right w:val="nil"/>
            </w:tcBorders>
            <w:shd w:val="clear" w:color="auto" w:fill="auto"/>
            <w:vAlign w:val="top"/>
          </w:tcPr>
          <w:p w14:paraId="6999D271">
            <w:pPr>
              <w:keepNext w:val="0"/>
              <w:keepLines w:val="0"/>
              <w:widowControl/>
              <w:suppressLineNumbers w:val="0"/>
              <w:jc w:val="righ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单位：万元</w:t>
            </w:r>
          </w:p>
        </w:tc>
      </w:tr>
      <w:tr w14:paraId="13039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4B4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序号</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185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工程或费用名称</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8A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建筑工程费</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A78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安装工程费</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3B4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设备购置费</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9F8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其他费用</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D1E7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合计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A51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单位</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97C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数量</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4F0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综合单价（元）</w:t>
            </w:r>
          </w:p>
        </w:tc>
      </w:tr>
      <w:tr w14:paraId="715C9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4CB25CB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一</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494E52ED">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工程费用</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3C77BED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270.00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7DCCB0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232.50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2432BE7">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11213.75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381446C">
            <w:pPr>
              <w:jc w:val="center"/>
              <w:rPr>
                <w:rFonts w:hint="eastAsia" w:ascii="宋体" w:hAnsi="宋体" w:eastAsia="宋体" w:cs="宋体"/>
                <w:b/>
                <w:bCs/>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6E2D293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11716.25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AFCD556">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90.37%</w:t>
            </w:r>
          </w:p>
        </w:tc>
      </w:tr>
      <w:tr w14:paraId="3E4C2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nil"/>
              <w:right w:val="single" w:color="000000" w:sz="4" w:space="0"/>
            </w:tcBorders>
            <w:shd w:val="clear" w:color="auto" w:fill="auto"/>
            <w:vAlign w:val="top"/>
          </w:tcPr>
          <w:p w14:paraId="1CD0053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一</w:t>
            </w:r>
          </w:p>
        </w:tc>
        <w:tc>
          <w:tcPr>
            <w:tcW w:w="2246" w:type="dxa"/>
            <w:tcBorders>
              <w:top w:val="single" w:color="000000" w:sz="4" w:space="0"/>
              <w:left w:val="single" w:color="000000" w:sz="4" w:space="0"/>
              <w:bottom w:val="nil"/>
              <w:right w:val="single" w:color="000000" w:sz="4" w:space="0"/>
            </w:tcBorders>
            <w:shd w:val="clear" w:color="auto" w:fill="auto"/>
            <w:vAlign w:val="top"/>
          </w:tcPr>
          <w:p w14:paraId="55903739">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主体工程</w:t>
            </w:r>
          </w:p>
        </w:tc>
        <w:tc>
          <w:tcPr>
            <w:tcW w:w="1258" w:type="dxa"/>
            <w:tcBorders>
              <w:top w:val="single" w:color="000000" w:sz="4" w:space="0"/>
              <w:left w:val="single" w:color="000000" w:sz="4" w:space="0"/>
              <w:bottom w:val="nil"/>
              <w:right w:val="single" w:color="000000" w:sz="4" w:space="0"/>
            </w:tcBorders>
            <w:shd w:val="clear" w:color="auto" w:fill="auto"/>
            <w:vAlign w:val="top"/>
          </w:tcPr>
          <w:p w14:paraId="0DADB103">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270.00 </w:t>
            </w:r>
          </w:p>
        </w:tc>
        <w:tc>
          <w:tcPr>
            <w:tcW w:w="1109" w:type="dxa"/>
            <w:tcBorders>
              <w:top w:val="single" w:color="000000" w:sz="4" w:space="0"/>
              <w:left w:val="single" w:color="000000" w:sz="4" w:space="0"/>
              <w:bottom w:val="nil"/>
              <w:right w:val="single" w:color="000000" w:sz="4" w:space="0"/>
            </w:tcBorders>
            <w:shd w:val="clear" w:color="auto" w:fill="auto"/>
            <w:vAlign w:val="top"/>
          </w:tcPr>
          <w:p w14:paraId="7E4E0B8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7.50 </w:t>
            </w:r>
          </w:p>
        </w:tc>
        <w:tc>
          <w:tcPr>
            <w:tcW w:w="1109" w:type="dxa"/>
            <w:tcBorders>
              <w:top w:val="single" w:color="000000" w:sz="4" w:space="0"/>
              <w:left w:val="single" w:color="000000" w:sz="4" w:space="0"/>
              <w:bottom w:val="nil"/>
              <w:right w:val="single" w:color="000000" w:sz="4" w:space="0"/>
            </w:tcBorders>
            <w:shd w:val="clear" w:color="auto" w:fill="auto"/>
            <w:vAlign w:val="top"/>
          </w:tcPr>
          <w:p w14:paraId="569A0DE6">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107.50 </w:t>
            </w:r>
          </w:p>
        </w:tc>
        <w:tc>
          <w:tcPr>
            <w:tcW w:w="1109" w:type="dxa"/>
            <w:tcBorders>
              <w:top w:val="single" w:color="000000" w:sz="4" w:space="0"/>
              <w:left w:val="single" w:color="000000" w:sz="4" w:space="0"/>
              <w:bottom w:val="nil"/>
              <w:right w:val="single" w:color="000000" w:sz="4" w:space="0"/>
            </w:tcBorders>
            <w:shd w:val="clear" w:color="auto" w:fill="auto"/>
            <w:vAlign w:val="top"/>
          </w:tcPr>
          <w:p w14:paraId="17229B98">
            <w:pPr>
              <w:jc w:val="center"/>
              <w:rPr>
                <w:rFonts w:hint="eastAsia" w:ascii="宋体" w:hAnsi="宋体" w:eastAsia="宋体" w:cs="宋体"/>
                <w:b/>
                <w:bCs/>
                <w:i w:val="0"/>
                <w:iCs w:val="0"/>
                <w:color w:val="000000"/>
                <w:sz w:val="18"/>
                <w:szCs w:val="18"/>
                <w:u w:val="none"/>
                <w:woUserID w:val="2"/>
              </w:rPr>
            </w:pPr>
          </w:p>
        </w:tc>
        <w:tc>
          <w:tcPr>
            <w:tcW w:w="1259" w:type="dxa"/>
            <w:tcBorders>
              <w:top w:val="single" w:color="000000" w:sz="4" w:space="0"/>
              <w:left w:val="single" w:color="000000" w:sz="4" w:space="0"/>
              <w:bottom w:val="nil"/>
              <w:right w:val="single" w:color="000000" w:sz="4" w:space="0"/>
            </w:tcBorders>
            <w:shd w:val="clear" w:color="auto" w:fill="auto"/>
            <w:vAlign w:val="top"/>
          </w:tcPr>
          <w:p w14:paraId="76C1BB2C">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385.00 </w:t>
            </w:r>
          </w:p>
        </w:tc>
        <w:tc>
          <w:tcPr>
            <w:tcW w:w="3086" w:type="dxa"/>
            <w:gridSpan w:val="3"/>
            <w:tcBorders>
              <w:top w:val="single" w:color="000000" w:sz="4" w:space="0"/>
              <w:left w:val="single" w:color="000000" w:sz="4" w:space="0"/>
              <w:bottom w:val="nil"/>
              <w:right w:val="single" w:color="000000" w:sz="4" w:space="0"/>
            </w:tcBorders>
            <w:shd w:val="clear" w:color="auto" w:fill="auto"/>
            <w:vAlign w:val="top"/>
          </w:tcPr>
          <w:p w14:paraId="2C94530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2.97%</w:t>
            </w:r>
          </w:p>
        </w:tc>
      </w:tr>
      <w:tr w14:paraId="4A7AA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2DA39F0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523F328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土地平整</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370E653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6902D0C">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044E563">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A47E31A">
            <w:pPr>
              <w:jc w:val="center"/>
              <w:rPr>
                <w:rFonts w:hint="eastAsia" w:ascii="宋体" w:hAnsi="宋体" w:eastAsia="宋体" w:cs="宋体"/>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4BA1E09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top"/>
          </w:tcPr>
          <w:p w14:paraId="79F7F99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亩</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top"/>
          </w:tcPr>
          <w:p w14:paraId="3A69B56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300</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top"/>
          </w:tcPr>
          <w:p w14:paraId="7F69C1E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500</w:t>
            </w:r>
          </w:p>
        </w:tc>
      </w:tr>
      <w:tr w14:paraId="00AF5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701EF3F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22A4E10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种苗费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6A8BA44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135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A7F7FDE">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169E732">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79088C9">
            <w:pPr>
              <w:jc w:val="center"/>
              <w:rPr>
                <w:rFonts w:hint="eastAsia" w:ascii="宋体" w:hAnsi="宋体" w:eastAsia="宋体" w:cs="宋体"/>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6D9CE77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135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top"/>
          </w:tcPr>
          <w:p w14:paraId="15347448">
            <w:pPr>
              <w:jc w:val="center"/>
              <w:rPr>
                <w:rFonts w:hint="eastAsia" w:ascii="宋体" w:hAnsi="宋体" w:eastAsia="宋体" w:cs="宋体"/>
                <w:i w:val="0"/>
                <w:iCs w:val="0"/>
                <w:color w:val="000000"/>
                <w:sz w:val="18"/>
                <w:szCs w:val="18"/>
                <w:u w:val="none"/>
                <w:woUserID w:val="2"/>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top"/>
          </w:tcPr>
          <w:p w14:paraId="1F4FA15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300</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top"/>
          </w:tcPr>
          <w:p w14:paraId="3CDCF3B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4500</w:t>
            </w:r>
          </w:p>
        </w:tc>
      </w:tr>
      <w:tr w14:paraId="015F7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2CE8C36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762D7A8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灌溉及主管网、防护</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62583424">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3BB0F1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7.5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1C03CA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7.5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694379E">
            <w:pPr>
              <w:jc w:val="center"/>
              <w:rPr>
                <w:rFonts w:hint="eastAsia" w:ascii="宋体" w:hAnsi="宋体" w:eastAsia="宋体" w:cs="宋体"/>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2E1DE54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top"/>
          </w:tcPr>
          <w:p w14:paraId="4855237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亩</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top"/>
          </w:tcPr>
          <w:p w14:paraId="18C81A8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300</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top"/>
          </w:tcPr>
          <w:p w14:paraId="1BD40D4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500</w:t>
            </w:r>
          </w:p>
        </w:tc>
      </w:tr>
      <w:tr w14:paraId="4060A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2B3330F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41062F6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深井</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38B84E0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120</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6B09619">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B9F8221">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E9C2308">
            <w:pPr>
              <w:jc w:val="center"/>
              <w:rPr>
                <w:rFonts w:hint="eastAsia" w:ascii="宋体" w:hAnsi="宋体" w:eastAsia="宋体" w:cs="宋体"/>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1BD686E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120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top"/>
          </w:tcPr>
          <w:p w14:paraId="4710F4E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口</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top"/>
          </w:tcPr>
          <w:p w14:paraId="14A2534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top"/>
          </w:tcPr>
          <w:p w14:paraId="0280716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1200000</w:t>
            </w:r>
          </w:p>
        </w:tc>
      </w:tr>
      <w:tr w14:paraId="7338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5AC72B3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5</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120387C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农机设备</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6B01FF6B">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9203A69">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77826A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100</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8139A6C">
            <w:pPr>
              <w:jc w:val="center"/>
              <w:rPr>
                <w:rFonts w:hint="eastAsia" w:ascii="宋体" w:hAnsi="宋体" w:eastAsia="宋体" w:cs="宋体"/>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25B50AC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top"/>
          </w:tcPr>
          <w:p w14:paraId="69905E3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套</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top"/>
          </w:tcPr>
          <w:p w14:paraId="7B2EDD8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top"/>
          </w:tcPr>
          <w:p w14:paraId="4D01DF8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1000000</w:t>
            </w:r>
          </w:p>
        </w:tc>
      </w:tr>
      <w:tr w14:paraId="7A934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7C913813">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二</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1B9F941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设备购置费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2D172DD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0.00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0070C9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225.00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66D15CD">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11106.25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07D87BCF">
            <w:pPr>
              <w:jc w:val="center"/>
              <w:rPr>
                <w:rFonts w:hint="eastAsia" w:ascii="宋体" w:hAnsi="宋体" w:eastAsia="宋体" w:cs="宋体"/>
                <w:b/>
                <w:bCs/>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2D537FA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11331.25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2A4376D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87.41%</w:t>
            </w:r>
          </w:p>
        </w:tc>
      </w:tr>
      <w:tr w14:paraId="1F1C3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55D92C9C">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1</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7A333CD9">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光伏设备</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0B59DBC2">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0EB83B2">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A69D4C9">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7800.00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698E3F9">
            <w:pPr>
              <w:jc w:val="center"/>
              <w:rPr>
                <w:rFonts w:hint="eastAsia" w:ascii="宋体" w:hAnsi="宋体" w:eastAsia="宋体" w:cs="宋体"/>
                <w:b/>
                <w:bCs/>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4A45A90C">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7800.00 </w:t>
            </w:r>
          </w:p>
        </w:tc>
        <w:tc>
          <w:tcPr>
            <w:tcW w:w="660" w:type="dxa"/>
            <w:tcBorders>
              <w:top w:val="single" w:color="000000" w:sz="4" w:space="0"/>
              <w:left w:val="single" w:color="000000" w:sz="4" w:space="0"/>
              <w:bottom w:val="single" w:color="000000" w:sz="4" w:space="0"/>
              <w:right w:val="nil"/>
            </w:tcBorders>
            <w:shd w:val="clear" w:color="auto" w:fill="auto"/>
            <w:vAlign w:val="top"/>
          </w:tcPr>
          <w:p w14:paraId="78DB17C9">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兆瓦</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top"/>
          </w:tcPr>
          <w:p w14:paraId="3C62DB0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30 </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top"/>
          </w:tcPr>
          <w:p w14:paraId="1C28A086">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2600000.00 </w:t>
            </w:r>
          </w:p>
        </w:tc>
      </w:tr>
      <w:tr w14:paraId="5B980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707C127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2</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35F886A8">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电池储能集装箱</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1010D2B1">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E2D8AF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225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71F195D">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3206.25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6B58F38">
            <w:pPr>
              <w:jc w:val="center"/>
              <w:rPr>
                <w:rFonts w:hint="eastAsia" w:ascii="宋体" w:hAnsi="宋体" w:eastAsia="宋体" w:cs="宋体"/>
                <w:b/>
                <w:bCs/>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082045B6">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3431.25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B48A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KWH</w:t>
            </w:r>
          </w:p>
        </w:tc>
        <w:tc>
          <w:tcPr>
            <w:tcW w:w="11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C59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45000</w:t>
            </w:r>
          </w:p>
        </w:tc>
        <w:tc>
          <w:tcPr>
            <w:tcW w:w="12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7CA6A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0.0763 </w:t>
            </w:r>
          </w:p>
        </w:tc>
      </w:tr>
      <w:tr w14:paraId="2B0EC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0C7740C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2.1</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5E61253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电池系统 2000KWH</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3D55FF2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7A7696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F9E472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1856.25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782411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7A993CF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1856.25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CF23">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个</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53C7F">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22.5</w:t>
            </w:r>
          </w:p>
        </w:tc>
        <w:tc>
          <w:tcPr>
            <w:tcW w:w="12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6A6AA">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82.50 </w:t>
            </w:r>
          </w:p>
        </w:tc>
      </w:tr>
      <w:tr w14:paraId="60282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2A3677F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7926C73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储能变流器</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5171DA6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43DC19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491269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337.5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0B13C77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7F8CB97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337.5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75EB3">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个</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6E2D">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22.5</w:t>
            </w:r>
          </w:p>
        </w:tc>
        <w:tc>
          <w:tcPr>
            <w:tcW w:w="12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E10D0C">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15.00 </w:t>
            </w:r>
          </w:p>
        </w:tc>
      </w:tr>
      <w:tr w14:paraId="39F62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0499C70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2.3</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0BA92C1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温控系统</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3D479B1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446D4A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C39282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53BCFF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313148C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60764">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个</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43813">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22.5</w:t>
            </w:r>
          </w:p>
        </w:tc>
        <w:tc>
          <w:tcPr>
            <w:tcW w:w="12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23ABB">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r>
      <w:tr w14:paraId="38EAF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1177FA9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2.4</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71907E1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消防系统</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70D5DCB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912EEF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A9D50B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337.5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0483BD2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11B2609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337.5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2122F9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个</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E06543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22.5</w:t>
            </w:r>
          </w:p>
        </w:tc>
        <w:tc>
          <w:tcPr>
            <w:tcW w:w="1243" w:type="dxa"/>
            <w:tcBorders>
              <w:top w:val="single" w:color="000000" w:sz="4" w:space="0"/>
              <w:left w:val="single" w:color="000000" w:sz="4" w:space="0"/>
              <w:bottom w:val="single" w:color="000000" w:sz="4" w:space="0"/>
              <w:right w:val="single" w:color="000000" w:sz="4" w:space="0"/>
            </w:tcBorders>
            <w:shd w:val="clear" w:color="auto" w:fill="FFFFFF"/>
            <w:noWrap/>
            <w:vAlign w:val="top"/>
          </w:tcPr>
          <w:p w14:paraId="5467B0B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15.00 </w:t>
            </w:r>
          </w:p>
        </w:tc>
      </w:tr>
      <w:tr w14:paraId="31342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17EB684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2.5</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6A16880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储能EMS</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3EBF93C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2040B3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6808B1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450</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B89974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194B317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450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CC085">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个</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6871B">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22.5</w:t>
            </w:r>
          </w:p>
        </w:tc>
        <w:tc>
          <w:tcPr>
            <w:tcW w:w="12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D478C">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20.00 </w:t>
            </w:r>
          </w:p>
        </w:tc>
      </w:tr>
      <w:tr w14:paraId="42045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21644F9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2.6</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6AB6498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储能箱基础及连接电缆</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30EC805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E709A0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225</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D97B9F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7D0248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41CD88E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86C4">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个</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B26EE">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22.5</w:t>
            </w:r>
          </w:p>
        </w:tc>
        <w:tc>
          <w:tcPr>
            <w:tcW w:w="12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A54A5">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r>
      <w:tr w14:paraId="691F2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21BBC1F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3</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47C8E60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开闭所等其他辅助设备</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5AE2D436">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03DB56BF">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D0F724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100.00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1DC1CCF">
            <w:pPr>
              <w:jc w:val="center"/>
              <w:rPr>
                <w:rFonts w:hint="eastAsia" w:ascii="宋体" w:hAnsi="宋体" w:eastAsia="宋体" w:cs="宋体"/>
                <w:b/>
                <w:bCs/>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31AE3807">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100.00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top"/>
          </w:tcPr>
          <w:p w14:paraId="513F4D4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套</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top"/>
          </w:tcPr>
          <w:p w14:paraId="5E6C740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 </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top"/>
          </w:tcPr>
          <w:p w14:paraId="6FBDD8E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1000000.00 </w:t>
            </w:r>
          </w:p>
        </w:tc>
      </w:tr>
      <w:tr w14:paraId="42C26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23624DD3">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二</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5757FB5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工程建设其他费用</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3BBDEFE6">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2AA287B">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00F34CED">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13D2477">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390.45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2231C45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390.45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1611313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3.01%</w:t>
            </w:r>
          </w:p>
        </w:tc>
      </w:tr>
      <w:tr w14:paraId="228D1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3B3642C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1388EFF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项目建设管理费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590062C8">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CCC5464">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F7237F6">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1DC4AB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46.87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507B96B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46.87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13E99EFB">
            <w:pPr>
              <w:jc w:val="center"/>
              <w:rPr>
                <w:rFonts w:hint="eastAsia" w:ascii="宋体" w:hAnsi="宋体" w:eastAsia="宋体" w:cs="宋体"/>
                <w:i w:val="0"/>
                <w:iCs w:val="0"/>
                <w:color w:val="000000"/>
                <w:sz w:val="18"/>
                <w:szCs w:val="18"/>
                <w:u w:val="none"/>
                <w:woUserID w:val="2"/>
              </w:rPr>
            </w:pPr>
          </w:p>
        </w:tc>
      </w:tr>
      <w:tr w14:paraId="4FBC4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297B7A9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27D34FA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工程勘察、设计费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0A226535">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E7A6111">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9C476BF">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2AE187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41.01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68D0427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41.01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A20C45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Style w:val="52"/>
                <w:rFonts w:hint="eastAsia" w:ascii="宋体" w:hAnsi="宋体" w:eastAsia="宋体" w:cs="宋体"/>
                <w:snapToGrid w:val="0"/>
                <w:color w:val="000000"/>
                <w:sz w:val="18"/>
                <w:szCs w:val="18"/>
                <w:lang w:val="en-US" w:eastAsia="zh-CN" w:bidi="ar"/>
                <w:woUserID w:val="2"/>
              </w:rPr>
              <w:t>按建筑面积计征，每平方米</w:t>
            </w:r>
            <w:r>
              <w:rPr>
                <w:rFonts w:hint="eastAsia" w:ascii="宋体" w:hAnsi="宋体" w:eastAsia="宋体" w:cs="宋体"/>
                <w:i w:val="0"/>
                <w:iCs w:val="0"/>
                <w:snapToGrid w:val="0"/>
                <w:color w:val="000000"/>
                <w:kern w:val="0"/>
                <w:sz w:val="18"/>
                <w:szCs w:val="18"/>
                <w:u w:val="none"/>
                <w:lang w:val="en-US" w:eastAsia="zh-CN" w:bidi="ar"/>
                <w:woUserID w:val="2"/>
              </w:rPr>
              <w:t xml:space="preserve"> 120 </w:t>
            </w:r>
            <w:r>
              <w:rPr>
                <w:rStyle w:val="52"/>
                <w:rFonts w:hint="eastAsia" w:ascii="宋体" w:hAnsi="宋体" w:eastAsia="宋体" w:cs="宋体"/>
                <w:snapToGrid w:val="0"/>
                <w:color w:val="000000"/>
                <w:sz w:val="18"/>
                <w:szCs w:val="18"/>
                <w:lang w:val="en-US" w:eastAsia="zh-CN" w:bidi="ar"/>
                <w:woUserID w:val="2"/>
              </w:rPr>
              <w:t>元</w:t>
            </w:r>
          </w:p>
        </w:tc>
      </w:tr>
      <w:tr w14:paraId="6F08E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6E13E00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5B4B1A6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工程监理费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1B9EA4ED">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EE5C8DA">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BFF73FF">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F8C931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40.19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1E3B10A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40.19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3DFA5A">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根据中标及签订相关合同</w:t>
            </w:r>
          </w:p>
        </w:tc>
      </w:tr>
      <w:tr w14:paraId="248DE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3693541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32C678A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项目前期工作咨询费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53F68F24">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F890236">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F91323A">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E00545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76.46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6B1D42C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76.46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BBAC08">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国家计委计价格（1999）1283号文</w:t>
            </w:r>
          </w:p>
        </w:tc>
      </w:tr>
      <w:tr w14:paraId="2C3FE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4C815CB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5</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324ECE4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招标代理费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5066B074">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E289EA7">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87DE738">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2D0133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34.72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751C15F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34.72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80ECFF">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豫发改收费[2011]627 号</w:t>
            </w:r>
          </w:p>
        </w:tc>
      </w:tr>
      <w:tr w14:paraId="3FF8B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7698A5F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6</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0B64C83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工程造价咨服务询费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41BC5977">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15360BB">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A58BE66">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780079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23.43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5C07A48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23.43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6F257A">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参考沪发改环资〔2012〕043号</w:t>
            </w:r>
          </w:p>
        </w:tc>
      </w:tr>
      <w:tr w14:paraId="7939C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7482931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7</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2F2E208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环境影响评价费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00810017">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342DD6C">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15756E1">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012DD27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19.89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5792AD1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19.89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040571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计价格 [2002]125 号及发改价格[2015]299 号文</w:t>
            </w:r>
          </w:p>
        </w:tc>
      </w:tr>
      <w:tr w14:paraId="79CBC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717FE10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8</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3D90ED4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节能评估咨询费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155DDA5F">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9DD0D3B">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44A0728">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4D2928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25.88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5575637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25.88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6A700A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国家计委、建设部计价格（2002）10 号文及发改价格[2015]299 号文</w:t>
            </w:r>
          </w:p>
        </w:tc>
      </w:tr>
      <w:tr w14:paraId="0F860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55FD150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9</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0DE5E9A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工程保险费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33FC902A">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77533F7">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389BF24">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7D871E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23.43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2847512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23.43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F1BB1B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国家计委、建设部计价格（2002）10 号文及发改价格[2015]299 号文</w:t>
            </w:r>
          </w:p>
        </w:tc>
      </w:tr>
      <w:tr w14:paraId="5119D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1CFB813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10</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168D88F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场地准备及临时设施费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4AE3828D">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BCAE4AC">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DD6C9F3">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349679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58.58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095FCEE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58.58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3F8310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豫建监协[2015]19 号及发改价格[2015]299 号文规</w:t>
            </w:r>
          </w:p>
        </w:tc>
      </w:tr>
      <w:tr w14:paraId="12B26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64A3D212">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三</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357654A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预备费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00E51FBC">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1F3744E9">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98F8918">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A0CF188">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605.34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1896FC99">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605.34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04C4546">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4.67%</w:t>
            </w:r>
          </w:p>
        </w:tc>
      </w:tr>
      <w:tr w14:paraId="3A06C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7E7A108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3.1</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6BF99F2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基本预备费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214C80F8">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3D9FC48">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5C99CC4">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33A292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605.34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71591F5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605.34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273B152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Style w:val="52"/>
                <w:rFonts w:hint="eastAsia" w:ascii="宋体" w:hAnsi="宋体" w:eastAsia="宋体" w:cs="宋体"/>
                <w:snapToGrid w:val="0"/>
                <w:color w:val="000000"/>
                <w:sz w:val="18"/>
                <w:szCs w:val="18"/>
                <w:lang w:val="en-US" w:eastAsia="zh-CN" w:bidi="ar"/>
                <w:woUserID w:val="2"/>
              </w:rPr>
              <w:t>（一</w:t>
            </w:r>
            <w:r>
              <w:rPr>
                <w:rFonts w:hint="eastAsia" w:ascii="宋体" w:hAnsi="宋体" w:eastAsia="宋体" w:cs="宋体"/>
                <w:i w:val="0"/>
                <w:iCs w:val="0"/>
                <w:snapToGrid w:val="0"/>
                <w:color w:val="000000"/>
                <w:kern w:val="0"/>
                <w:sz w:val="18"/>
                <w:szCs w:val="18"/>
                <w:u w:val="none"/>
                <w:lang w:val="en-US" w:eastAsia="zh-CN" w:bidi="ar"/>
                <w:woUserID w:val="2"/>
              </w:rPr>
              <w:t>+</w:t>
            </w:r>
            <w:r>
              <w:rPr>
                <w:rStyle w:val="52"/>
                <w:rFonts w:hint="eastAsia" w:ascii="宋体" w:hAnsi="宋体" w:eastAsia="宋体" w:cs="宋体"/>
                <w:snapToGrid w:val="0"/>
                <w:color w:val="000000"/>
                <w:sz w:val="18"/>
                <w:szCs w:val="18"/>
                <w:lang w:val="en-US" w:eastAsia="zh-CN" w:bidi="ar"/>
                <w:woUserID w:val="2"/>
              </w:rPr>
              <w:t>二）</w:t>
            </w:r>
            <w:r>
              <w:rPr>
                <w:rFonts w:hint="eastAsia" w:ascii="宋体" w:hAnsi="宋体" w:eastAsia="宋体" w:cs="宋体"/>
                <w:i w:val="0"/>
                <w:iCs w:val="0"/>
                <w:snapToGrid w:val="0"/>
                <w:color w:val="000000"/>
                <w:kern w:val="0"/>
                <w:sz w:val="18"/>
                <w:szCs w:val="18"/>
                <w:u w:val="none"/>
                <w:lang w:val="en-US" w:eastAsia="zh-CN" w:bidi="ar"/>
                <w:woUserID w:val="2"/>
              </w:rPr>
              <w:t>*5%</w:t>
            </w:r>
          </w:p>
        </w:tc>
      </w:tr>
      <w:tr w14:paraId="0E6C0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347795B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3.2</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4B777B6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涨价预备费</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411098BA">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324A641C">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AB0A26A">
            <w:pPr>
              <w:jc w:val="center"/>
              <w:rPr>
                <w:rFonts w:hint="eastAsia" w:ascii="宋体" w:hAnsi="宋体" w:eastAsia="宋体" w:cs="宋体"/>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056B172">
            <w:pPr>
              <w:jc w:val="center"/>
              <w:rPr>
                <w:rFonts w:hint="eastAsia" w:ascii="宋体" w:hAnsi="宋体" w:eastAsia="宋体" w:cs="宋体"/>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62F2EFBE">
            <w:pPr>
              <w:jc w:val="center"/>
              <w:rPr>
                <w:rFonts w:hint="eastAsia" w:ascii="宋体" w:hAnsi="宋体" w:eastAsia="宋体" w:cs="宋体"/>
                <w:i w:val="0"/>
                <w:iCs w:val="0"/>
                <w:color w:val="000000"/>
                <w:sz w:val="18"/>
                <w:szCs w:val="18"/>
                <w:u w:val="none"/>
                <w:woUserID w:val="2"/>
              </w:rPr>
            </w:pP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4172B56">
            <w:pPr>
              <w:jc w:val="center"/>
              <w:rPr>
                <w:rFonts w:hint="eastAsia" w:ascii="宋体" w:hAnsi="宋体" w:eastAsia="宋体" w:cs="宋体"/>
                <w:i w:val="0"/>
                <w:iCs w:val="0"/>
                <w:color w:val="000000"/>
                <w:sz w:val="18"/>
                <w:szCs w:val="18"/>
                <w:u w:val="none"/>
                <w:woUserID w:val="2"/>
              </w:rPr>
            </w:pPr>
          </w:p>
        </w:tc>
      </w:tr>
      <w:tr w14:paraId="79DAD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3E45792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四</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70E52F0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建设投资合计</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3A9E313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270.00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F932B1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232.50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7437387">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11213.75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02B3B3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995.79 </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0B50233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12712.04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59403E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98.06%</w:t>
            </w:r>
          </w:p>
        </w:tc>
      </w:tr>
      <w:tr w14:paraId="03D88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6051ACF4">
            <w:pPr>
              <w:jc w:val="center"/>
              <w:rPr>
                <w:rFonts w:hint="eastAsia" w:ascii="宋体" w:hAnsi="宋体" w:eastAsia="宋体" w:cs="宋体"/>
                <w:i w:val="0"/>
                <w:iCs w:val="0"/>
                <w:color w:val="000000"/>
                <w:sz w:val="18"/>
                <w:szCs w:val="18"/>
                <w:u w:val="none"/>
                <w:woUserID w:val="2"/>
              </w:rPr>
            </w:pP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7BFBB6E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比例（%）</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287FE86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E93D70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7ABB1EF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88%</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91D1B3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7682F8C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100%</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E0303C5">
            <w:pPr>
              <w:jc w:val="center"/>
              <w:rPr>
                <w:rFonts w:hint="eastAsia" w:ascii="宋体" w:hAnsi="宋体" w:eastAsia="宋体" w:cs="宋体"/>
                <w:i w:val="0"/>
                <w:iCs w:val="0"/>
                <w:color w:val="000000"/>
                <w:sz w:val="18"/>
                <w:szCs w:val="18"/>
                <w:u w:val="none"/>
                <w:woUserID w:val="2"/>
              </w:rPr>
            </w:pPr>
          </w:p>
        </w:tc>
      </w:tr>
      <w:tr w14:paraId="01BAD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02B05506">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五</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6A262372">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建设期利息</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76BB2558">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04AB18FE">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A5D2207">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60909B5C">
            <w:pPr>
              <w:jc w:val="center"/>
              <w:rPr>
                <w:rFonts w:hint="eastAsia" w:ascii="宋体" w:hAnsi="宋体" w:eastAsia="宋体" w:cs="宋体"/>
                <w:b/>
                <w:bCs/>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2BE378F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252.00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215D23E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1.94%</w:t>
            </w:r>
          </w:p>
        </w:tc>
      </w:tr>
      <w:tr w14:paraId="61B5B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03F74543">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六</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7D8CFA5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固定资产投资</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5C8CF802">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A5E4B95">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83C18C6">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25A27D58">
            <w:pPr>
              <w:jc w:val="center"/>
              <w:rPr>
                <w:rFonts w:hint="eastAsia" w:ascii="宋体" w:hAnsi="宋体" w:eastAsia="宋体" w:cs="宋体"/>
                <w:b/>
                <w:bCs/>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468E442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12964.04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545FB9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100.00%</w:t>
            </w:r>
          </w:p>
        </w:tc>
      </w:tr>
      <w:tr w14:paraId="2BB93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top"/>
          </w:tcPr>
          <w:p w14:paraId="0229CE6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八</w:t>
            </w:r>
          </w:p>
        </w:tc>
        <w:tc>
          <w:tcPr>
            <w:tcW w:w="2246" w:type="dxa"/>
            <w:tcBorders>
              <w:top w:val="single" w:color="000000" w:sz="4" w:space="0"/>
              <w:left w:val="single" w:color="000000" w:sz="4" w:space="0"/>
              <w:bottom w:val="single" w:color="000000" w:sz="4" w:space="0"/>
              <w:right w:val="single" w:color="000000" w:sz="4" w:space="0"/>
            </w:tcBorders>
            <w:shd w:val="clear" w:color="auto" w:fill="auto"/>
            <w:vAlign w:val="top"/>
          </w:tcPr>
          <w:p w14:paraId="3E076CE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项目总投资</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top"/>
          </w:tcPr>
          <w:p w14:paraId="186BF0C9">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44CA7820">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BAA6259">
            <w:pPr>
              <w:jc w:val="center"/>
              <w:rPr>
                <w:rFonts w:hint="eastAsia" w:ascii="宋体" w:hAnsi="宋体" w:eastAsia="宋体" w:cs="宋体"/>
                <w:b/>
                <w:bCs/>
                <w:i w:val="0"/>
                <w:iCs w:val="0"/>
                <w:color w:val="000000"/>
                <w:sz w:val="18"/>
                <w:szCs w:val="18"/>
                <w:u w:val="none"/>
                <w:woUserID w:val="2"/>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top"/>
          </w:tcPr>
          <w:p w14:paraId="565A30A6">
            <w:pPr>
              <w:jc w:val="center"/>
              <w:rPr>
                <w:rFonts w:hint="eastAsia" w:ascii="宋体" w:hAnsi="宋体" w:eastAsia="宋体" w:cs="宋体"/>
                <w:b/>
                <w:bCs/>
                <w:i w:val="0"/>
                <w:iCs w:val="0"/>
                <w:color w:val="000000"/>
                <w:sz w:val="18"/>
                <w:szCs w:val="18"/>
                <w:u w:val="none"/>
                <w:woUserID w:val="2"/>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top"/>
          </w:tcPr>
          <w:p w14:paraId="6D9AFCA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12964.04 </w:t>
            </w:r>
          </w:p>
        </w:tc>
        <w:tc>
          <w:tcPr>
            <w:tcW w:w="308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4F9189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100.00%</w:t>
            </w:r>
          </w:p>
        </w:tc>
      </w:tr>
    </w:tbl>
    <w:p w14:paraId="3F12C2AC">
      <w:pPr>
        <w:rPr>
          <w:rFonts w:hint="default" w:ascii="宋体" w:hAnsi="宋体" w:eastAsia="宋体" w:cs="宋体"/>
          <w:b/>
          <w:bCs/>
          <w:i w:val="0"/>
          <w:iCs w:val="0"/>
          <w:color w:val="000000"/>
          <w:kern w:val="0"/>
          <w:sz w:val="28"/>
          <w:szCs w:val="28"/>
          <w:u w:val="none"/>
          <w:lang w:val="en-US" w:eastAsia="zh-CN" w:bidi="ar"/>
        </w:rPr>
      </w:pPr>
    </w:p>
    <w:p w14:paraId="52293D39">
      <w:pPr>
        <w:sectPr>
          <w:pgSz w:w="16838" w:h="11906" w:orient="landscape"/>
          <w:pgMar w:top="1610" w:right="1440" w:bottom="1134"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FF3D804">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宋体" w:hAnsi="宋体" w:eastAsia="宋体" w:cs="宋体"/>
          <w:b/>
          <w:bCs/>
          <w:i w:val="0"/>
          <w:iCs w:val="0"/>
          <w:color w:val="000000"/>
          <w:kern w:val="0"/>
          <w:sz w:val="28"/>
          <w:szCs w:val="28"/>
          <w:u w:val="none"/>
          <w:lang w:val="en-US" w:eastAsia="zh-CN"/>
        </w:rPr>
      </w:pPr>
      <w:bookmarkStart w:id="43" w:name="_Toc31106"/>
      <w:bookmarkStart w:id="44" w:name="_Toc15084"/>
      <w:bookmarkStart w:id="45" w:name="_Toc7729"/>
      <w:bookmarkStart w:id="46" w:name="_Toc26532"/>
      <w:bookmarkStart w:id="47" w:name="_Toc23674"/>
      <w:bookmarkStart w:id="48" w:name="_Toc364"/>
      <w:bookmarkStart w:id="49" w:name="_Toc10286"/>
      <w:r>
        <w:rPr>
          <w:rFonts w:hint="eastAsia" w:ascii="宋体" w:hAnsi="宋体" w:eastAsia="宋体" w:cs="宋体"/>
          <w:b/>
          <w:bCs/>
          <w:i w:val="0"/>
          <w:iCs w:val="0"/>
          <w:color w:val="000000"/>
          <w:kern w:val="0"/>
          <w:sz w:val="28"/>
          <w:szCs w:val="28"/>
          <w:u w:val="none"/>
          <w:lang w:val="en-US" w:eastAsia="zh-CN"/>
        </w:rPr>
        <w:t>附表2：固定资产折旧表</w:t>
      </w:r>
      <w:bookmarkEnd w:id="43"/>
      <w:bookmarkEnd w:id="44"/>
      <w:bookmarkEnd w:id="45"/>
      <w:bookmarkEnd w:id="46"/>
      <w:bookmarkEnd w:id="47"/>
      <w:bookmarkEnd w:id="48"/>
      <w:bookmarkEnd w:id="49"/>
    </w:p>
    <w:tbl>
      <w:tblPr>
        <w:tblStyle w:val="14"/>
        <w:tblW w:w="13958"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3"/>
        <w:gridCol w:w="1010"/>
        <w:gridCol w:w="843"/>
        <w:gridCol w:w="855"/>
        <w:gridCol w:w="820"/>
        <w:gridCol w:w="1053"/>
        <w:gridCol w:w="1053"/>
        <w:gridCol w:w="1053"/>
        <w:gridCol w:w="1053"/>
        <w:gridCol w:w="1053"/>
        <w:gridCol w:w="1053"/>
        <w:gridCol w:w="1053"/>
        <w:gridCol w:w="1423"/>
        <w:gridCol w:w="1053"/>
      </w:tblGrid>
      <w:tr w14:paraId="7245E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3" w:type="dxa"/>
            <w:tcBorders>
              <w:top w:val="nil"/>
              <w:left w:val="nil"/>
              <w:bottom w:val="nil"/>
              <w:right w:val="nil"/>
            </w:tcBorders>
            <w:shd w:val="clear" w:color="auto" w:fill="auto"/>
            <w:noWrap/>
            <w:vAlign w:val="center"/>
          </w:tcPr>
          <w:p w14:paraId="777E91C6">
            <w:pPr>
              <w:jc w:val="center"/>
              <w:rPr>
                <w:rFonts w:hint="eastAsia" w:ascii="宋体" w:hAnsi="宋体" w:eastAsia="宋体" w:cs="宋体"/>
                <w:i w:val="0"/>
                <w:iCs w:val="0"/>
                <w:color w:val="000000"/>
                <w:sz w:val="18"/>
                <w:szCs w:val="18"/>
                <w:u w:val="none"/>
                <w:woUserID w:val="2"/>
              </w:rPr>
            </w:pPr>
          </w:p>
        </w:tc>
        <w:tc>
          <w:tcPr>
            <w:tcW w:w="1010" w:type="dxa"/>
            <w:tcBorders>
              <w:top w:val="nil"/>
              <w:left w:val="nil"/>
              <w:bottom w:val="nil"/>
              <w:right w:val="nil"/>
            </w:tcBorders>
            <w:shd w:val="clear" w:color="auto" w:fill="auto"/>
            <w:noWrap/>
            <w:vAlign w:val="center"/>
          </w:tcPr>
          <w:p w14:paraId="783C2BB3">
            <w:pPr>
              <w:jc w:val="center"/>
              <w:rPr>
                <w:rFonts w:hint="eastAsia" w:ascii="宋体" w:hAnsi="宋体" w:eastAsia="宋体" w:cs="宋体"/>
                <w:i w:val="0"/>
                <w:iCs w:val="0"/>
                <w:color w:val="000000"/>
                <w:sz w:val="18"/>
                <w:szCs w:val="18"/>
                <w:u w:val="none"/>
                <w:woUserID w:val="2"/>
              </w:rPr>
            </w:pPr>
          </w:p>
        </w:tc>
        <w:tc>
          <w:tcPr>
            <w:tcW w:w="843" w:type="dxa"/>
            <w:tcBorders>
              <w:top w:val="nil"/>
              <w:left w:val="nil"/>
              <w:bottom w:val="nil"/>
              <w:right w:val="nil"/>
            </w:tcBorders>
            <w:shd w:val="clear" w:color="auto" w:fill="auto"/>
            <w:noWrap/>
            <w:vAlign w:val="center"/>
          </w:tcPr>
          <w:p w14:paraId="56C8EBE9">
            <w:pPr>
              <w:jc w:val="center"/>
              <w:rPr>
                <w:rFonts w:hint="eastAsia" w:ascii="宋体" w:hAnsi="宋体" w:eastAsia="宋体" w:cs="宋体"/>
                <w:i w:val="0"/>
                <w:iCs w:val="0"/>
                <w:color w:val="000000"/>
                <w:sz w:val="18"/>
                <w:szCs w:val="18"/>
                <w:u w:val="none"/>
                <w:woUserID w:val="2"/>
              </w:rPr>
            </w:pPr>
          </w:p>
        </w:tc>
        <w:tc>
          <w:tcPr>
            <w:tcW w:w="855" w:type="dxa"/>
            <w:tcBorders>
              <w:top w:val="nil"/>
              <w:left w:val="nil"/>
              <w:bottom w:val="nil"/>
              <w:right w:val="nil"/>
            </w:tcBorders>
            <w:shd w:val="clear" w:color="auto" w:fill="auto"/>
            <w:noWrap/>
            <w:vAlign w:val="center"/>
          </w:tcPr>
          <w:p w14:paraId="4A9F9B76">
            <w:pPr>
              <w:jc w:val="center"/>
              <w:rPr>
                <w:rFonts w:hint="eastAsia" w:ascii="宋体" w:hAnsi="宋体" w:eastAsia="宋体" w:cs="宋体"/>
                <w:i w:val="0"/>
                <w:iCs w:val="0"/>
                <w:color w:val="000000"/>
                <w:sz w:val="18"/>
                <w:szCs w:val="18"/>
                <w:u w:val="none"/>
                <w:woUserID w:val="2"/>
              </w:rPr>
            </w:pPr>
          </w:p>
        </w:tc>
        <w:tc>
          <w:tcPr>
            <w:tcW w:w="820" w:type="dxa"/>
            <w:tcBorders>
              <w:top w:val="nil"/>
              <w:left w:val="nil"/>
              <w:bottom w:val="nil"/>
              <w:right w:val="nil"/>
            </w:tcBorders>
            <w:shd w:val="clear" w:color="auto" w:fill="auto"/>
            <w:noWrap/>
            <w:vAlign w:val="center"/>
          </w:tcPr>
          <w:p w14:paraId="2D683C7C">
            <w:pPr>
              <w:jc w:val="center"/>
              <w:rPr>
                <w:rFonts w:hint="eastAsia" w:ascii="宋体" w:hAnsi="宋体" w:eastAsia="宋体" w:cs="宋体"/>
                <w:i w:val="0"/>
                <w:iCs w:val="0"/>
                <w:color w:val="000000"/>
                <w:sz w:val="18"/>
                <w:szCs w:val="18"/>
                <w:u w:val="none"/>
                <w:woUserID w:val="2"/>
              </w:rPr>
            </w:pPr>
          </w:p>
        </w:tc>
        <w:tc>
          <w:tcPr>
            <w:tcW w:w="1053" w:type="dxa"/>
            <w:tcBorders>
              <w:top w:val="nil"/>
              <w:left w:val="nil"/>
              <w:bottom w:val="nil"/>
              <w:right w:val="nil"/>
            </w:tcBorders>
            <w:shd w:val="clear" w:color="auto" w:fill="auto"/>
            <w:noWrap/>
            <w:vAlign w:val="center"/>
          </w:tcPr>
          <w:p w14:paraId="39DAC0A0">
            <w:pPr>
              <w:jc w:val="center"/>
              <w:rPr>
                <w:rFonts w:hint="eastAsia" w:ascii="宋体" w:hAnsi="宋体" w:eastAsia="宋体" w:cs="宋体"/>
                <w:i w:val="0"/>
                <w:iCs w:val="0"/>
                <w:color w:val="000000"/>
                <w:sz w:val="18"/>
                <w:szCs w:val="18"/>
                <w:u w:val="none"/>
                <w:woUserID w:val="2"/>
              </w:rPr>
            </w:pPr>
          </w:p>
        </w:tc>
        <w:tc>
          <w:tcPr>
            <w:tcW w:w="1053" w:type="dxa"/>
            <w:tcBorders>
              <w:top w:val="nil"/>
              <w:left w:val="nil"/>
              <w:bottom w:val="nil"/>
              <w:right w:val="nil"/>
            </w:tcBorders>
            <w:shd w:val="clear" w:color="auto" w:fill="auto"/>
            <w:noWrap/>
            <w:vAlign w:val="center"/>
          </w:tcPr>
          <w:p w14:paraId="5F49C55F">
            <w:pPr>
              <w:jc w:val="center"/>
              <w:rPr>
                <w:rFonts w:hint="eastAsia" w:ascii="宋体" w:hAnsi="宋体" w:eastAsia="宋体" w:cs="宋体"/>
                <w:i w:val="0"/>
                <w:iCs w:val="0"/>
                <w:color w:val="000000"/>
                <w:sz w:val="18"/>
                <w:szCs w:val="18"/>
                <w:u w:val="none"/>
                <w:woUserID w:val="2"/>
              </w:rPr>
            </w:pPr>
          </w:p>
        </w:tc>
        <w:tc>
          <w:tcPr>
            <w:tcW w:w="1053" w:type="dxa"/>
            <w:tcBorders>
              <w:top w:val="nil"/>
              <w:left w:val="nil"/>
              <w:bottom w:val="nil"/>
              <w:right w:val="nil"/>
            </w:tcBorders>
            <w:shd w:val="clear" w:color="auto" w:fill="auto"/>
            <w:noWrap/>
            <w:vAlign w:val="center"/>
          </w:tcPr>
          <w:p w14:paraId="5C4EDAB1">
            <w:pPr>
              <w:jc w:val="center"/>
              <w:rPr>
                <w:rFonts w:hint="eastAsia" w:ascii="宋体" w:hAnsi="宋体" w:eastAsia="宋体" w:cs="宋体"/>
                <w:i w:val="0"/>
                <w:iCs w:val="0"/>
                <w:color w:val="000000"/>
                <w:sz w:val="18"/>
                <w:szCs w:val="18"/>
                <w:u w:val="none"/>
                <w:woUserID w:val="2"/>
              </w:rPr>
            </w:pPr>
          </w:p>
        </w:tc>
        <w:tc>
          <w:tcPr>
            <w:tcW w:w="1053" w:type="dxa"/>
            <w:tcBorders>
              <w:top w:val="nil"/>
              <w:left w:val="nil"/>
              <w:bottom w:val="nil"/>
              <w:right w:val="nil"/>
            </w:tcBorders>
            <w:shd w:val="clear" w:color="auto" w:fill="auto"/>
            <w:noWrap/>
            <w:vAlign w:val="center"/>
          </w:tcPr>
          <w:p w14:paraId="1BCE3EC2">
            <w:pPr>
              <w:jc w:val="center"/>
              <w:rPr>
                <w:rFonts w:hint="eastAsia" w:ascii="宋体" w:hAnsi="宋体" w:eastAsia="宋体" w:cs="宋体"/>
                <w:i w:val="0"/>
                <w:iCs w:val="0"/>
                <w:color w:val="000000"/>
                <w:sz w:val="18"/>
                <w:szCs w:val="18"/>
                <w:u w:val="none"/>
                <w:woUserID w:val="2"/>
              </w:rPr>
            </w:pPr>
          </w:p>
        </w:tc>
        <w:tc>
          <w:tcPr>
            <w:tcW w:w="1053" w:type="dxa"/>
            <w:tcBorders>
              <w:top w:val="nil"/>
              <w:left w:val="nil"/>
              <w:bottom w:val="nil"/>
              <w:right w:val="nil"/>
            </w:tcBorders>
            <w:shd w:val="clear" w:color="auto" w:fill="auto"/>
            <w:noWrap/>
            <w:vAlign w:val="center"/>
          </w:tcPr>
          <w:p w14:paraId="74A62A4B">
            <w:pPr>
              <w:jc w:val="center"/>
              <w:rPr>
                <w:rFonts w:hint="eastAsia" w:ascii="宋体" w:hAnsi="宋体" w:eastAsia="宋体" w:cs="宋体"/>
                <w:i w:val="0"/>
                <w:iCs w:val="0"/>
                <w:color w:val="000000"/>
                <w:sz w:val="18"/>
                <w:szCs w:val="18"/>
                <w:u w:val="none"/>
                <w:woUserID w:val="2"/>
              </w:rPr>
            </w:pPr>
          </w:p>
        </w:tc>
        <w:tc>
          <w:tcPr>
            <w:tcW w:w="1053" w:type="dxa"/>
            <w:tcBorders>
              <w:top w:val="nil"/>
              <w:left w:val="nil"/>
              <w:bottom w:val="nil"/>
              <w:right w:val="nil"/>
            </w:tcBorders>
            <w:shd w:val="clear" w:color="auto" w:fill="auto"/>
            <w:noWrap/>
            <w:vAlign w:val="center"/>
          </w:tcPr>
          <w:p w14:paraId="413213FD">
            <w:pPr>
              <w:jc w:val="center"/>
              <w:rPr>
                <w:rFonts w:hint="eastAsia" w:ascii="宋体" w:hAnsi="宋体" w:eastAsia="宋体" w:cs="宋体"/>
                <w:i w:val="0"/>
                <w:iCs w:val="0"/>
                <w:color w:val="000000"/>
                <w:sz w:val="18"/>
                <w:szCs w:val="18"/>
                <w:u w:val="none"/>
                <w:woUserID w:val="2"/>
              </w:rPr>
            </w:pPr>
          </w:p>
        </w:tc>
        <w:tc>
          <w:tcPr>
            <w:tcW w:w="1053" w:type="dxa"/>
            <w:tcBorders>
              <w:top w:val="nil"/>
              <w:left w:val="nil"/>
              <w:bottom w:val="nil"/>
              <w:right w:val="nil"/>
            </w:tcBorders>
            <w:shd w:val="clear" w:color="auto" w:fill="auto"/>
            <w:noWrap/>
            <w:vAlign w:val="center"/>
          </w:tcPr>
          <w:p w14:paraId="1FE5D318">
            <w:pPr>
              <w:jc w:val="center"/>
              <w:rPr>
                <w:rFonts w:hint="eastAsia" w:ascii="宋体" w:hAnsi="宋体" w:eastAsia="宋体" w:cs="宋体"/>
                <w:i w:val="0"/>
                <w:iCs w:val="0"/>
                <w:color w:val="000000"/>
                <w:sz w:val="18"/>
                <w:szCs w:val="18"/>
                <w:u w:val="none"/>
                <w:woUserID w:val="2"/>
              </w:rPr>
            </w:pPr>
          </w:p>
        </w:tc>
        <w:tc>
          <w:tcPr>
            <w:tcW w:w="1423" w:type="dxa"/>
            <w:tcBorders>
              <w:top w:val="nil"/>
              <w:left w:val="nil"/>
              <w:bottom w:val="nil"/>
              <w:right w:val="nil"/>
            </w:tcBorders>
            <w:shd w:val="clear" w:color="auto" w:fill="auto"/>
            <w:noWrap/>
            <w:vAlign w:val="center"/>
          </w:tcPr>
          <w:p w14:paraId="1187DF5D">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单位：万元</w:t>
            </w:r>
          </w:p>
        </w:tc>
        <w:tc>
          <w:tcPr>
            <w:tcW w:w="1053" w:type="dxa"/>
            <w:tcBorders>
              <w:top w:val="nil"/>
              <w:left w:val="nil"/>
              <w:bottom w:val="nil"/>
              <w:right w:val="nil"/>
            </w:tcBorders>
            <w:shd w:val="clear" w:color="auto" w:fill="auto"/>
            <w:noWrap/>
            <w:vAlign w:val="center"/>
          </w:tcPr>
          <w:p w14:paraId="7A73687C">
            <w:pPr>
              <w:jc w:val="center"/>
              <w:rPr>
                <w:rFonts w:hint="eastAsia" w:ascii="宋体" w:hAnsi="宋体" w:eastAsia="宋体" w:cs="宋体"/>
                <w:i w:val="0"/>
                <w:iCs w:val="0"/>
                <w:color w:val="000000"/>
                <w:sz w:val="18"/>
                <w:szCs w:val="18"/>
                <w:u w:val="none"/>
                <w:woUserID w:val="2"/>
              </w:rPr>
            </w:pPr>
          </w:p>
        </w:tc>
      </w:tr>
      <w:tr w14:paraId="432C6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F46A">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序号</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0D52">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项目</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5DB6">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合计</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E62F">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残值率</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0283">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折旧年限</w:t>
            </w:r>
          </w:p>
        </w:tc>
        <w:tc>
          <w:tcPr>
            <w:tcW w:w="984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4130F">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运营期</w:t>
            </w:r>
          </w:p>
        </w:tc>
      </w:tr>
      <w:tr w14:paraId="0FB79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623F">
            <w:pPr>
              <w:jc w:val="center"/>
              <w:rPr>
                <w:rFonts w:hint="eastAsia" w:ascii="宋体" w:hAnsi="宋体" w:eastAsia="宋体" w:cs="宋体"/>
                <w:i w:val="0"/>
                <w:iCs w:val="0"/>
                <w:color w:val="000000"/>
                <w:sz w:val="18"/>
                <w:szCs w:val="18"/>
                <w:u w:val="none"/>
                <w:woUserID w:val="2"/>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4718">
            <w:pPr>
              <w:jc w:val="center"/>
              <w:rPr>
                <w:rFonts w:hint="eastAsia" w:ascii="宋体" w:hAnsi="宋体" w:eastAsia="宋体" w:cs="宋体"/>
                <w:i w:val="0"/>
                <w:iCs w:val="0"/>
                <w:color w:val="000000"/>
                <w:sz w:val="18"/>
                <w:szCs w:val="18"/>
                <w:u w:val="none"/>
                <w:woUserID w:val="2"/>
              </w:rPr>
            </w:pP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D2D8">
            <w:pPr>
              <w:jc w:val="center"/>
              <w:rPr>
                <w:rFonts w:hint="eastAsia" w:ascii="宋体" w:hAnsi="宋体" w:eastAsia="宋体" w:cs="宋体"/>
                <w:i w:val="0"/>
                <w:iCs w:val="0"/>
                <w:color w:val="000000"/>
                <w:sz w:val="18"/>
                <w:szCs w:val="18"/>
                <w:u w:val="none"/>
                <w:woUserID w:val="2"/>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7C75">
            <w:pPr>
              <w:jc w:val="center"/>
              <w:rPr>
                <w:rFonts w:hint="eastAsia" w:ascii="宋体" w:hAnsi="宋体" w:eastAsia="宋体" w:cs="宋体"/>
                <w:i w:val="0"/>
                <w:iCs w:val="0"/>
                <w:color w:val="000000"/>
                <w:sz w:val="18"/>
                <w:szCs w:val="18"/>
                <w:u w:val="none"/>
                <w:woUserID w:val="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E364">
            <w:pPr>
              <w:jc w:val="center"/>
              <w:rPr>
                <w:rFonts w:hint="eastAsia" w:ascii="宋体" w:hAnsi="宋体" w:eastAsia="宋体" w:cs="宋体"/>
                <w:i w:val="0"/>
                <w:iCs w:val="0"/>
                <w:color w:val="000000"/>
                <w:sz w:val="18"/>
                <w:szCs w:val="18"/>
                <w:u w:val="none"/>
                <w:woUserID w:val="2"/>
              </w:rPr>
            </w:pP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0A390F2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 </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132039A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 </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59A96E1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 </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237F133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 </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79BFFA4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 </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1051382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 </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4578424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 </w:t>
            </w:r>
          </w:p>
        </w:tc>
        <w:tc>
          <w:tcPr>
            <w:tcW w:w="1423" w:type="dxa"/>
            <w:tcBorders>
              <w:top w:val="nil"/>
              <w:left w:val="single" w:color="000000" w:sz="4" w:space="0"/>
              <w:bottom w:val="single" w:color="000000" w:sz="4" w:space="0"/>
              <w:right w:val="single" w:color="000000" w:sz="4" w:space="0"/>
            </w:tcBorders>
            <w:shd w:val="clear" w:color="auto" w:fill="auto"/>
            <w:vAlign w:val="center"/>
          </w:tcPr>
          <w:p w14:paraId="6B82311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 </w:t>
            </w:r>
          </w:p>
        </w:tc>
        <w:tc>
          <w:tcPr>
            <w:tcW w:w="1053" w:type="dxa"/>
            <w:tcBorders>
              <w:top w:val="nil"/>
              <w:left w:val="single" w:color="000000" w:sz="4" w:space="0"/>
              <w:bottom w:val="single" w:color="000000" w:sz="4" w:space="0"/>
              <w:right w:val="single" w:color="000000" w:sz="4" w:space="0"/>
            </w:tcBorders>
            <w:shd w:val="clear" w:color="auto" w:fill="auto"/>
            <w:vAlign w:val="center"/>
          </w:tcPr>
          <w:p w14:paraId="3940D60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 </w:t>
            </w:r>
          </w:p>
        </w:tc>
      </w:tr>
      <w:tr w14:paraId="7E114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02BE">
            <w:pPr>
              <w:keepNext w:val="0"/>
              <w:keepLines w:val="0"/>
              <w:widowControl/>
              <w:suppressLineNumbers w:val="0"/>
              <w:jc w:val="center"/>
              <w:textAlignment w:val="top"/>
              <w:rPr>
                <w:rFonts w:hint="eastAsia" w:ascii="宋体" w:hAnsi="宋体" w:eastAsia="宋体" w:cs="宋体"/>
                <w:i w:val="0"/>
                <w:iCs w:val="0"/>
                <w:color w:val="FF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E18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固定资产折旧</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3081">
            <w:pPr>
              <w:jc w:val="center"/>
              <w:rPr>
                <w:rFonts w:hint="eastAsia" w:ascii="宋体" w:hAnsi="宋体" w:eastAsia="宋体" w:cs="宋体"/>
                <w:i w:val="0"/>
                <w:iCs w:val="0"/>
                <w:color w:val="000000"/>
                <w:sz w:val="18"/>
                <w:szCs w:val="18"/>
                <w:u w:val="none"/>
                <w:woUserID w:val="2"/>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EED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0.05 </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6644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20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84AF">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6CA3">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C4C9">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B652">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AB7C">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8A28">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20DF">
            <w:pPr>
              <w:jc w:val="center"/>
              <w:rPr>
                <w:rFonts w:hint="eastAsia" w:ascii="宋体" w:hAnsi="宋体" w:eastAsia="宋体" w:cs="宋体"/>
                <w:i w:val="0"/>
                <w:iCs w:val="0"/>
                <w:color w:val="000000"/>
                <w:sz w:val="18"/>
                <w:szCs w:val="18"/>
                <w:u w:val="none"/>
                <w:woUserID w:val="2"/>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AA5E">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FA4A">
            <w:pPr>
              <w:jc w:val="center"/>
              <w:rPr>
                <w:rFonts w:hint="eastAsia" w:ascii="宋体" w:hAnsi="宋体" w:eastAsia="宋体" w:cs="宋体"/>
                <w:i w:val="0"/>
                <w:iCs w:val="0"/>
                <w:color w:val="000000"/>
                <w:sz w:val="18"/>
                <w:szCs w:val="18"/>
                <w:u w:val="none"/>
                <w:woUserID w:val="2"/>
              </w:rPr>
            </w:pPr>
          </w:p>
        </w:tc>
      </w:tr>
      <w:tr w14:paraId="31633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AC0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13A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原值</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7BD1">
            <w:pPr>
              <w:jc w:val="center"/>
              <w:rPr>
                <w:rFonts w:hint="eastAsia" w:ascii="宋体" w:hAnsi="宋体" w:eastAsia="宋体" w:cs="宋体"/>
                <w:i w:val="0"/>
                <w:iCs w:val="0"/>
                <w:color w:val="000000"/>
                <w:sz w:val="18"/>
                <w:szCs w:val="18"/>
                <w:u w:val="none"/>
                <w:woUserID w:val="2"/>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5F64">
            <w:pPr>
              <w:jc w:val="center"/>
              <w:rPr>
                <w:rFonts w:hint="eastAsia" w:ascii="宋体" w:hAnsi="宋体" w:eastAsia="宋体" w:cs="宋体"/>
                <w:i w:val="0"/>
                <w:iCs w:val="0"/>
                <w:color w:val="000000"/>
                <w:sz w:val="18"/>
                <w:szCs w:val="18"/>
                <w:u w:val="none"/>
                <w:woUserID w:val="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488A">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E0B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11797.28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7E1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11236.91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D93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10676.54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A9C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10116.16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38F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9555.79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040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8995.42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972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8435.05 </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E4F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7874.68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413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7314.31 </w:t>
            </w:r>
          </w:p>
        </w:tc>
      </w:tr>
      <w:tr w14:paraId="61EB6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585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63B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当期折旧额</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17F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5043.34 </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0CB6">
            <w:pPr>
              <w:jc w:val="center"/>
              <w:rPr>
                <w:rFonts w:hint="eastAsia" w:ascii="宋体" w:hAnsi="宋体" w:eastAsia="宋体" w:cs="宋体"/>
                <w:i w:val="0"/>
                <w:iCs w:val="0"/>
                <w:color w:val="000000"/>
                <w:sz w:val="18"/>
                <w:szCs w:val="18"/>
                <w:u w:val="none"/>
                <w:woUserID w:val="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CDAC">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7AF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0DB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F97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5B2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D44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5E4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F31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784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071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r>
      <w:tr w14:paraId="1B454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9B07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560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净值</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7A81">
            <w:pPr>
              <w:jc w:val="center"/>
              <w:rPr>
                <w:rFonts w:hint="eastAsia" w:ascii="宋体" w:hAnsi="宋体" w:eastAsia="宋体" w:cs="宋体"/>
                <w:i w:val="0"/>
                <w:iCs w:val="0"/>
                <w:color w:val="000000"/>
                <w:sz w:val="18"/>
                <w:szCs w:val="18"/>
                <w:u w:val="none"/>
                <w:woUserID w:val="2"/>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724D">
            <w:pPr>
              <w:jc w:val="center"/>
              <w:rPr>
                <w:rFonts w:hint="eastAsia" w:ascii="宋体" w:hAnsi="宋体" w:eastAsia="宋体" w:cs="宋体"/>
                <w:i w:val="0"/>
                <w:iCs w:val="0"/>
                <w:color w:val="000000"/>
                <w:sz w:val="18"/>
                <w:szCs w:val="18"/>
                <w:u w:val="none"/>
                <w:woUserID w:val="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A7A2">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2D2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11236.91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E92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10676.54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D9A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10116.16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772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9555.79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33B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8995.42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154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8435.05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BF3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7874.68 </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C7B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7314.31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E17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6753.94 </w:t>
            </w:r>
          </w:p>
        </w:tc>
      </w:tr>
      <w:tr w14:paraId="4664A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243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554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折旧费</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86A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5043.34 </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4192">
            <w:pPr>
              <w:jc w:val="center"/>
              <w:rPr>
                <w:rFonts w:hint="eastAsia" w:ascii="宋体" w:hAnsi="宋体" w:eastAsia="宋体" w:cs="宋体"/>
                <w:i w:val="0"/>
                <w:iCs w:val="0"/>
                <w:color w:val="000000"/>
                <w:sz w:val="18"/>
                <w:szCs w:val="18"/>
                <w:u w:val="none"/>
                <w:woUserID w:val="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7147">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E3A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BEF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938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EE3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132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A95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89E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0D2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7F3B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r>
      <w:tr w14:paraId="6422F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22B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0F9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无形资产摊销</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CBF1">
            <w:pPr>
              <w:jc w:val="center"/>
              <w:rPr>
                <w:rFonts w:hint="eastAsia" w:ascii="宋体" w:hAnsi="宋体" w:eastAsia="宋体" w:cs="宋体"/>
                <w:i w:val="0"/>
                <w:iCs w:val="0"/>
                <w:color w:val="000000"/>
                <w:sz w:val="18"/>
                <w:szCs w:val="18"/>
                <w:u w:val="none"/>
                <w:woUserID w:val="2"/>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F439">
            <w:pPr>
              <w:jc w:val="center"/>
              <w:rPr>
                <w:rFonts w:hint="eastAsia" w:ascii="宋体" w:hAnsi="宋体" w:eastAsia="宋体" w:cs="宋体"/>
                <w:i w:val="0"/>
                <w:iCs w:val="0"/>
                <w:color w:val="000000"/>
                <w:sz w:val="18"/>
                <w:szCs w:val="18"/>
                <w:u w:val="none"/>
                <w:woUserID w:val="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32A5">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3CAB">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0D3C">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3F4A">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1F81">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E639">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6C3C">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3749">
            <w:pPr>
              <w:jc w:val="center"/>
              <w:rPr>
                <w:rFonts w:hint="eastAsia" w:ascii="宋体" w:hAnsi="宋体" w:eastAsia="宋体" w:cs="宋体"/>
                <w:i w:val="0"/>
                <w:iCs w:val="0"/>
                <w:color w:val="000000"/>
                <w:sz w:val="18"/>
                <w:szCs w:val="18"/>
                <w:u w:val="none"/>
                <w:woUserID w:val="2"/>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6903">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66B4">
            <w:pPr>
              <w:jc w:val="center"/>
              <w:rPr>
                <w:rFonts w:hint="eastAsia" w:ascii="宋体" w:hAnsi="宋体" w:eastAsia="宋体" w:cs="宋体"/>
                <w:i w:val="0"/>
                <w:iCs w:val="0"/>
                <w:color w:val="000000"/>
                <w:sz w:val="18"/>
                <w:szCs w:val="18"/>
                <w:u w:val="none"/>
                <w:woUserID w:val="2"/>
              </w:rPr>
            </w:pPr>
          </w:p>
        </w:tc>
      </w:tr>
      <w:tr w14:paraId="5F218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D24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6779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原值</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0AEE">
            <w:pPr>
              <w:jc w:val="center"/>
              <w:rPr>
                <w:rFonts w:hint="eastAsia" w:ascii="宋体" w:hAnsi="宋体" w:eastAsia="宋体" w:cs="宋体"/>
                <w:i w:val="0"/>
                <w:iCs w:val="0"/>
                <w:color w:val="000000"/>
                <w:sz w:val="18"/>
                <w:szCs w:val="18"/>
                <w:u w:val="none"/>
                <w:woUserID w:val="2"/>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E692">
            <w:pPr>
              <w:jc w:val="center"/>
              <w:rPr>
                <w:rFonts w:hint="eastAsia" w:ascii="宋体" w:hAnsi="宋体" w:eastAsia="宋体" w:cs="宋体"/>
                <w:i w:val="0"/>
                <w:iCs w:val="0"/>
                <w:color w:val="000000"/>
                <w:sz w:val="18"/>
                <w:szCs w:val="18"/>
                <w:u w:val="none"/>
                <w:woUserID w:val="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A7AF">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2036">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95A9">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6479">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A63E">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7A80">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2ED2">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46DD">
            <w:pPr>
              <w:jc w:val="center"/>
              <w:rPr>
                <w:rFonts w:hint="eastAsia" w:ascii="宋体" w:hAnsi="宋体" w:eastAsia="宋体" w:cs="宋体"/>
                <w:i w:val="0"/>
                <w:iCs w:val="0"/>
                <w:color w:val="000000"/>
                <w:sz w:val="18"/>
                <w:szCs w:val="18"/>
                <w:u w:val="none"/>
                <w:woUserID w:val="2"/>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E75F">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FA7B">
            <w:pPr>
              <w:jc w:val="center"/>
              <w:rPr>
                <w:rFonts w:hint="eastAsia" w:ascii="宋体" w:hAnsi="宋体" w:eastAsia="宋体" w:cs="宋体"/>
                <w:i w:val="0"/>
                <w:iCs w:val="0"/>
                <w:color w:val="000000"/>
                <w:sz w:val="18"/>
                <w:szCs w:val="18"/>
                <w:u w:val="none"/>
                <w:woUserID w:val="2"/>
              </w:rPr>
            </w:pPr>
          </w:p>
        </w:tc>
      </w:tr>
      <w:tr w14:paraId="66633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C44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76B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当期折旧额</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53C4">
            <w:pPr>
              <w:jc w:val="center"/>
              <w:rPr>
                <w:rFonts w:hint="eastAsia" w:ascii="宋体" w:hAnsi="宋体" w:eastAsia="宋体" w:cs="宋体"/>
                <w:i w:val="0"/>
                <w:iCs w:val="0"/>
                <w:color w:val="000000"/>
                <w:sz w:val="18"/>
                <w:szCs w:val="18"/>
                <w:u w:val="none"/>
                <w:woUserID w:val="2"/>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FEC8">
            <w:pPr>
              <w:jc w:val="center"/>
              <w:rPr>
                <w:rFonts w:hint="eastAsia" w:ascii="宋体" w:hAnsi="宋体" w:eastAsia="宋体" w:cs="宋体"/>
                <w:i w:val="0"/>
                <w:iCs w:val="0"/>
                <w:color w:val="000000"/>
                <w:sz w:val="18"/>
                <w:szCs w:val="18"/>
                <w:u w:val="none"/>
                <w:woUserID w:val="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2ED0">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4E21">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D4D56">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9981">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9CCD">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2A7A">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288A">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9838">
            <w:pPr>
              <w:jc w:val="center"/>
              <w:rPr>
                <w:rFonts w:hint="eastAsia" w:ascii="宋体" w:hAnsi="宋体" w:eastAsia="宋体" w:cs="宋体"/>
                <w:i w:val="0"/>
                <w:iCs w:val="0"/>
                <w:color w:val="000000"/>
                <w:sz w:val="18"/>
                <w:szCs w:val="18"/>
                <w:u w:val="none"/>
                <w:woUserID w:val="2"/>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CDD3">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09AD">
            <w:pPr>
              <w:jc w:val="center"/>
              <w:rPr>
                <w:rFonts w:hint="eastAsia" w:ascii="宋体" w:hAnsi="宋体" w:eastAsia="宋体" w:cs="宋体"/>
                <w:i w:val="0"/>
                <w:iCs w:val="0"/>
                <w:color w:val="000000"/>
                <w:sz w:val="18"/>
                <w:szCs w:val="18"/>
                <w:u w:val="none"/>
                <w:woUserID w:val="2"/>
              </w:rPr>
            </w:pPr>
          </w:p>
        </w:tc>
      </w:tr>
      <w:tr w14:paraId="0A68F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AF9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51F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净值</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C631">
            <w:pPr>
              <w:jc w:val="center"/>
              <w:rPr>
                <w:rFonts w:hint="eastAsia" w:ascii="宋体" w:hAnsi="宋体" w:eastAsia="宋体" w:cs="宋体"/>
                <w:i w:val="0"/>
                <w:iCs w:val="0"/>
                <w:color w:val="000000"/>
                <w:sz w:val="18"/>
                <w:szCs w:val="18"/>
                <w:u w:val="none"/>
                <w:woUserID w:val="2"/>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6106">
            <w:pPr>
              <w:jc w:val="center"/>
              <w:rPr>
                <w:rFonts w:hint="eastAsia" w:ascii="宋体" w:hAnsi="宋体" w:eastAsia="宋体" w:cs="宋体"/>
                <w:i w:val="0"/>
                <w:iCs w:val="0"/>
                <w:color w:val="000000"/>
                <w:sz w:val="18"/>
                <w:szCs w:val="18"/>
                <w:u w:val="none"/>
                <w:woUserID w:val="2"/>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7ED3">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0C91">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CA25">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DB21">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6A0F">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D294">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792A">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66E4">
            <w:pPr>
              <w:jc w:val="center"/>
              <w:rPr>
                <w:rFonts w:hint="eastAsia" w:ascii="宋体" w:hAnsi="宋体" w:eastAsia="宋体" w:cs="宋体"/>
                <w:i w:val="0"/>
                <w:iCs w:val="0"/>
                <w:color w:val="000000"/>
                <w:sz w:val="18"/>
                <w:szCs w:val="18"/>
                <w:u w:val="none"/>
                <w:woUserID w:val="2"/>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6A18">
            <w:pPr>
              <w:jc w:val="center"/>
              <w:rPr>
                <w:rFonts w:hint="eastAsia" w:ascii="宋体" w:hAnsi="宋体" w:eastAsia="宋体" w:cs="宋体"/>
                <w:i w:val="0"/>
                <w:iCs w:val="0"/>
                <w:color w:val="000000"/>
                <w:sz w:val="18"/>
                <w:szCs w:val="18"/>
                <w:u w:val="none"/>
                <w:woUserID w:val="2"/>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8E2C">
            <w:pPr>
              <w:jc w:val="center"/>
              <w:rPr>
                <w:rFonts w:hint="eastAsia" w:ascii="宋体" w:hAnsi="宋体" w:eastAsia="宋体" w:cs="宋体"/>
                <w:i w:val="0"/>
                <w:iCs w:val="0"/>
                <w:color w:val="000000"/>
                <w:sz w:val="18"/>
                <w:szCs w:val="18"/>
                <w:u w:val="none"/>
                <w:woUserID w:val="2"/>
              </w:rPr>
            </w:pPr>
          </w:p>
        </w:tc>
      </w:tr>
    </w:tbl>
    <w:p w14:paraId="6AC5C20A">
      <w:r>
        <w:br w:type="page"/>
      </w:r>
    </w:p>
    <w:p w14:paraId="34B8857D">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宋体" w:hAnsi="宋体" w:eastAsia="宋体" w:cs="宋体"/>
          <w:b/>
          <w:bCs/>
          <w:i w:val="0"/>
          <w:iCs w:val="0"/>
          <w:color w:val="000000"/>
          <w:kern w:val="0"/>
          <w:sz w:val="28"/>
          <w:szCs w:val="28"/>
          <w:u w:val="none"/>
          <w:lang w:val="en-US" w:eastAsia="zh-CN"/>
        </w:rPr>
      </w:pPr>
      <w:bookmarkStart w:id="50" w:name="_Toc30649"/>
      <w:bookmarkStart w:id="51" w:name="_Toc28849"/>
      <w:bookmarkStart w:id="52" w:name="_Toc18692"/>
      <w:bookmarkStart w:id="53" w:name="_Toc3574"/>
      <w:bookmarkStart w:id="54" w:name="_Toc7615"/>
      <w:bookmarkStart w:id="55" w:name="_Toc28908"/>
      <w:bookmarkStart w:id="56" w:name="_Toc13708"/>
      <w:r>
        <w:rPr>
          <w:rFonts w:hint="eastAsia" w:ascii="宋体" w:hAnsi="宋体" w:eastAsia="宋体" w:cs="宋体"/>
          <w:b/>
          <w:bCs/>
          <w:i w:val="0"/>
          <w:iCs w:val="0"/>
          <w:color w:val="000000"/>
          <w:kern w:val="0"/>
          <w:sz w:val="28"/>
          <w:szCs w:val="28"/>
          <w:u w:val="none"/>
          <w:lang w:val="en-US" w:eastAsia="zh-CN"/>
        </w:rPr>
        <w:t>附表3：营业收入及税金表</w:t>
      </w:r>
      <w:bookmarkEnd w:id="50"/>
      <w:bookmarkEnd w:id="51"/>
      <w:bookmarkEnd w:id="52"/>
      <w:bookmarkEnd w:id="53"/>
      <w:bookmarkEnd w:id="54"/>
      <w:bookmarkEnd w:id="55"/>
      <w:bookmarkEnd w:id="56"/>
    </w:p>
    <w:tbl>
      <w:tblPr>
        <w:tblStyle w:val="14"/>
        <w:tblW w:w="4923" w:type="pct"/>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2"/>
        <w:gridCol w:w="1707"/>
        <w:gridCol w:w="936"/>
        <w:gridCol w:w="1180"/>
        <w:gridCol w:w="1180"/>
        <w:gridCol w:w="1180"/>
        <w:gridCol w:w="1180"/>
        <w:gridCol w:w="1180"/>
        <w:gridCol w:w="1180"/>
        <w:gridCol w:w="1180"/>
        <w:gridCol w:w="1311"/>
        <w:gridCol w:w="1200"/>
      </w:tblGrid>
      <w:tr w14:paraId="5CD02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6" w:type="pct"/>
            <w:tcBorders>
              <w:top w:val="nil"/>
              <w:left w:val="nil"/>
              <w:bottom w:val="nil"/>
              <w:right w:val="nil"/>
            </w:tcBorders>
            <w:shd w:val="clear" w:color="auto" w:fill="auto"/>
            <w:noWrap/>
            <w:vAlign w:val="center"/>
          </w:tcPr>
          <w:p w14:paraId="67AED2FB">
            <w:pPr>
              <w:rPr>
                <w:rFonts w:hint="eastAsia" w:ascii="宋体" w:hAnsi="宋体" w:eastAsia="宋体" w:cs="宋体"/>
                <w:i w:val="0"/>
                <w:iCs w:val="0"/>
                <w:color w:val="000000"/>
                <w:sz w:val="18"/>
                <w:szCs w:val="18"/>
                <w:u w:val="none"/>
                <w:woUserID w:val="2"/>
              </w:rPr>
            </w:pPr>
          </w:p>
        </w:tc>
        <w:tc>
          <w:tcPr>
            <w:tcW w:w="613" w:type="pct"/>
            <w:tcBorders>
              <w:top w:val="nil"/>
              <w:left w:val="nil"/>
              <w:bottom w:val="nil"/>
              <w:right w:val="nil"/>
            </w:tcBorders>
            <w:shd w:val="clear" w:color="auto" w:fill="auto"/>
            <w:noWrap/>
            <w:vAlign w:val="center"/>
          </w:tcPr>
          <w:p w14:paraId="193DFA4B">
            <w:pPr>
              <w:jc w:val="center"/>
              <w:rPr>
                <w:rFonts w:hint="eastAsia" w:ascii="宋体" w:hAnsi="宋体" w:eastAsia="宋体" w:cs="宋体"/>
                <w:i w:val="0"/>
                <w:iCs w:val="0"/>
                <w:color w:val="000000"/>
                <w:sz w:val="18"/>
                <w:szCs w:val="18"/>
                <w:u w:val="none"/>
                <w:woUserID w:val="2"/>
              </w:rPr>
            </w:pPr>
          </w:p>
        </w:tc>
        <w:tc>
          <w:tcPr>
            <w:tcW w:w="319" w:type="pct"/>
            <w:tcBorders>
              <w:top w:val="nil"/>
              <w:left w:val="nil"/>
              <w:bottom w:val="nil"/>
              <w:right w:val="nil"/>
            </w:tcBorders>
            <w:shd w:val="clear" w:color="auto" w:fill="auto"/>
            <w:noWrap/>
            <w:vAlign w:val="center"/>
          </w:tcPr>
          <w:p w14:paraId="3F21ED86">
            <w:pPr>
              <w:jc w:val="center"/>
              <w:rPr>
                <w:rFonts w:hint="eastAsia" w:ascii="宋体" w:hAnsi="宋体" w:eastAsia="宋体" w:cs="宋体"/>
                <w:i w:val="0"/>
                <w:iCs w:val="0"/>
                <w:color w:val="000000"/>
                <w:sz w:val="18"/>
                <w:szCs w:val="18"/>
                <w:u w:val="none"/>
                <w:woUserID w:val="2"/>
              </w:rPr>
            </w:pPr>
          </w:p>
        </w:tc>
        <w:tc>
          <w:tcPr>
            <w:tcW w:w="424" w:type="pct"/>
            <w:tcBorders>
              <w:top w:val="nil"/>
              <w:left w:val="nil"/>
              <w:bottom w:val="nil"/>
              <w:right w:val="nil"/>
            </w:tcBorders>
            <w:shd w:val="clear" w:color="auto" w:fill="auto"/>
            <w:noWrap/>
            <w:vAlign w:val="center"/>
          </w:tcPr>
          <w:p w14:paraId="3556841A">
            <w:pPr>
              <w:rPr>
                <w:rFonts w:hint="eastAsia" w:ascii="宋体" w:hAnsi="宋体" w:eastAsia="宋体" w:cs="宋体"/>
                <w:i w:val="0"/>
                <w:iCs w:val="0"/>
                <w:color w:val="000000"/>
                <w:sz w:val="18"/>
                <w:szCs w:val="18"/>
                <w:u w:val="none"/>
                <w:woUserID w:val="2"/>
              </w:rPr>
            </w:pPr>
          </w:p>
        </w:tc>
        <w:tc>
          <w:tcPr>
            <w:tcW w:w="424" w:type="pct"/>
            <w:tcBorders>
              <w:top w:val="nil"/>
              <w:left w:val="nil"/>
              <w:bottom w:val="nil"/>
              <w:right w:val="nil"/>
            </w:tcBorders>
            <w:shd w:val="clear" w:color="auto" w:fill="auto"/>
            <w:noWrap/>
            <w:vAlign w:val="center"/>
          </w:tcPr>
          <w:p w14:paraId="2CA0E9B0">
            <w:pPr>
              <w:rPr>
                <w:rFonts w:hint="eastAsia" w:ascii="宋体" w:hAnsi="宋体" w:eastAsia="宋体" w:cs="宋体"/>
                <w:i w:val="0"/>
                <w:iCs w:val="0"/>
                <w:color w:val="000000"/>
                <w:sz w:val="18"/>
                <w:szCs w:val="18"/>
                <w:u w:val="none"/>
                <w:woUserID w:val="2"/>
              </w:rPr>
            </w:pPr>
          </w:p>
        </w:tc>
        <w:tc>
          <w:tcPr>
            <w:tcW w:w="424" w:type="pct"/>
            <w:tcBorders>
              <w:top w:val="nil"/>
              <w:left w:val="nil"/>
              <w:bottom w:val="nil"/>
              <w:right w:val="nil"/>
            </w:tcBorders>
            <w:shd w:val="clear" w:color="auto" w:fill="auto"/>
            <w:noWrap/>
            <w:vAlign w:val="center"/>
          </w:tcPr>
          <w:p w14:paraId="46A49A62">
            <w:pPr>
              <w:rPr>
                <w:rFonts w:hint="eastAsia" w:ascii="宋体" w:hAnsi="宋体" w:eastAsia="宋体" w:cs="宋体"/>
                <w:i w:val="0"/>
                <w:iCs w:val="0"/>
                <w:color w:val="000000"/>
                <w:sz w:val="18"/>
                <w:szCs w:val="18"/>
                <w:u w:val="none"/>
                <w:woUserID w:val="2"/>
              </w:rPr>
            </w:pPr>
          </w:p>
        </w:tc>
        <w:tc>
          <w:tcPr>
            <w:tcW w:w="424" w:type="pct"/>
            <w:tcBorders>
              <w:top w:val="nil"/>
              <w:left w:val="nil"/>
              <w:bottom w:val="nil"/>
              <w:right w:val="nil"/>
            </w:tcBorders>
            <w:shd w:val="clear" w:color="auto" w:fill="auto"/>
            <w:noWrap/>
            <w:vAlign w:val="center"/>
          </w:tcPr>
          <w:p w14:paraId="4274D379">
            <w:pPr>
              <w:rPr>
                <w:rFonts w:hint="eastAsia" w:ascii="宋体" w:hAnsi="宋体" w:eastAsia="宋体" w:cs="宋体"/>
                <w:i w:val="0"/>
                <w:iCs w:val="0"/>
                <w:color w:val="000000"/>
                <w:sz w:val="18"/>
                <w:szCs w:val="18"/>
                <w:u w:val="none"/>
                <w:woUserID w:val="2"/>
              </w:rPr>
            </w:pPr>
          </w:p>
        </w:tc>
        <w:tc>
          <w:tcPr>
            <w:tcW w:w="424" w:type="pct"/>
            <w:tcBorders>
              <w:top w:val="nil"/>
              <w:left w:val="nil"/>
              <w:bottom w:val="nil"/>
              <w:right w:val="nil"/>
            </w:tcBorders>
            <w:shd w:val="clear" w:color="auto" w:fill="auto"/>
            <w:noWrap/>
            <w:vAlign w:val="center"/>
          </w:tcPr>
          <w:p w14:paraId="76555EF0">
            <w:pPr>
              <w:rPr>
                <w:rFonts w:hint="eastAsia" w:ascii="宋体" w:hAnsi="宋体" w:eastAsia="宋体" w:cs="宋体"/>
                <w:i w:val="0"/>
                <w:iCs w:val="0"/>
                <w:color w:val="000000"/>
                <w:sz w:val="18"/>
                <w:szCs w:val="18"/>
                <w:u w:val="none"/>
                <w:woUserID w:val="2"/>
              </w:rPr>
            </w:pPr>
          </w:p>
        </w:tc>
        <w:tc>
          <w:tcPr>
            <w:tcW w:w="424" w:type="pct"/>
            <w:tcBorders>
              <w:top w:val="nil"/>
              <w:left w:val="nil"/>
              <w:bottom w:val="nil"/>
              <w:right w:val="nil"/>
            </w:tcBorders>
            <w:shd w:val="clear" w:color="auto" w:fill="auto"/>
            <w:noWrap/>
            <w:vAlign w:val="center"/>
          </w:tcPr>
          <w:p w14:paraId="723B346B">
            <w:pPr>
              <w:rPr>
                <w:rFonts w:hint="eastAsia" w:ascii="宋体" w:hAnsi="宋体" w:eastAsia="宋体" w:cs="宋体"/>
                <w:i w:val="0"/>
                <w:iCs w:val="0"/>
                <w:color w:val="000000"/>
                <w:sz w:val="18"/>
                <w:szCs w:val="18"/>
                <w:u w:val="none"/>
                <w:woUserID w:val="2"/>
              </w:rPr>
            </w:pPr>
          </w:p>
        </w:tc>
        <w:tc>
          <w:tcPr>
            <w:tcW w:w="424" w:type="pct"/>
            <w:tcBorders>
              <w:top w:val="nil"/>
              <w:left w:val="nil"/>
              <w:bottom w:val="nil"/>
              <w:right w:val="nil"/>
            </w:tcBorders>
            <w:shd w:val="clear" w:color="auto" w:fill="auto"/>
            <w:noWrap/>
            <w:vAlign w:val="center"/>
          </w:tcPr>
          <w:p w14:paraId="67F4F8A8">
            <w:pPr>
              <w:rPr>
                <w:rFonts w:hint="eastAsia" w:ascii="宋体" w:hAnsi="宋体" w:eastAsia="宋体" w:cs="宋体"/>
                <w:i w:val="0"/>
                <w:iCs w:val="0"/>
                <w:color w:val="000000"/>
                <w:sz w:val="18"/>
                <w:szCs w:val="18"/>
                <w:u w:val="none"/>
                <w:woUserID w:val="2"/>
              </w:rPr>
            </w:pPr>
          </w:p>
        </w:tc>
        <w:tc>
          <w:tcPr>
            <w:tcW w:w="471" w:type="pct"/>
            <w:tcBorders>
              <w:top w:val="nil"/>
              <w:left w:val="nil"/>
              <w:bottom w:val="nil"/>
              <w:right w:val="nil"/>
            </w:tcBorders>
            <w:shd w:val="clear" w:color="auto" w:fill="auto"/>
            <w:noWrap/>
            <w:vAlign w:val="center"/>
          </w:tcPr>
          <w:p w14:paraId="06FAFEEB">
            <w:pPr>
              <w:keepNext w:val="0"/>
              <w:keepLines w:val="0"/>
              <w:widowControl/>
              <w:suppressLineNumbers w:val="0"/>
              <w:jc w:val="left"/>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单位：万元</w:t>
            </w:r>
          </w:p>
        </w:tc>
        <w:tc>
          <w:tcPr>
            <w:tcW w:w="424" w:type="pct"/>
            <w:tcBorders>
              <w:top w:val="nil"/>
              <w:left w:val="nil"/>
              <w:bottom w:val="nil"/>
              <w:right w:val="nil"/>
            </w:tcBorders>
            <w:shd w:val="clear" w:color="auto" w:fill="auto"/>
            <w:noWrap/>
            <w:vAlign w:val="center"/>
          </w:tcPr>
          <w:p w14:paraId="3044DC55">
            <w:pPr>
              <w:rPr>
                <w:rFonts w:hint="eastAsia" w:ascii="宋体" w:hAnsi="宋体" w:eastAsia="宋体" w:cs="宋体"/>
                <w:i w:val="0"/>
                <w:iCs w:val="0"/>
                <w:color w:val="000000"/>
                <w:sz w:val="18"/>
                <w:szCs w:val="18"/>
                <w:u w:val="none"/>
                <w:woUserID w:val="2"/>
              </w:rPr>
            </w:pPr>
          </w:p>
        </w:tc>
      </w:tr>
      <w:tr w14:paraId="6C407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6"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AFFFEAE">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序号</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268EFAFD">
            <w:pPr>
              <w:jc w:val="center"/>
              <w:rPr>
                <w:rFonts w:hint="eastAsia" w:ascii="宋体" w:hAnsi="宋体" w:eastAsia="宋体" w:cs="宋体"/>
                <w:i w:val="0"/>
                <w:iCs w:val="0"/>
                <w:color w:val="000000"/>
                <w:sz w:val="18"/>
                <w:szCs w:val="18"/>
                <w:u w:val="none"/>
                <w:woUserID w:val="2"/>
              </w:rPr>
            </w:pPr>
          </w:p>
        </w:tc>
        <w:tc>
          <w:tcPr>
            <w:tcW w:w="319" w:type="pct"/>
            <w:tcBorders>
              <w:top w:val="single" w:color="000000" w:sz="4" w:space="0"/>
              <w:left w:val="single" w:color="000000" w:sz="4" w:space="0"/>
              <w:bottom w:val="single" w:color="000000" w:sz="4" w:space="0"/>
              <w:right w:val="nil"/>
            </w:tcBorders>
            <w:shd w:val="clear" w:color="auto" w:fill="auto"/>
            <w:vAlign w:val="top"/>
          </w:tcPr>
          <w:p w14:paraId="1A26E8E2">
            <w:pPr>
              <w:jc w:val="center"/>
              <w:rPr>
                <w:rFonts w:hint="eastAsia" w:ascii="宋体" w:hAnsi="宋体" w:eastAsia="宋体" w:cs="宋体"/>
                <w:i w:val="0"/>
                <w:iCs w:val="0"/>
                <w:color w:val="000000"/>
                <w:sz w:val="18"/>
                <w:szCs w:val="18"/>
                <w:u w:val="none"/>
                <w:woUserID w:val="2"/>
              </w:rPr>
            </w:pPr>
          </w:p>
        </w:tc>
        <w:tc>
          <w:tcPr>
            <w:tcW w:w="3870" w:type="pct"/>
            <w:gridSpan w:val="9"/>
            <w:tcBorders>
              <w:top w:val="single" w:color="000000" w:sz="4" w:space="0"/>
              <w:left w:val="single" w:color="000000" w:sz="4" w:space="0"/>
              <w:bottom w:val="single" w:color="000000" w:sz="4" w:space="0"/>
              <w:right w:val="single" w:color="000000" w:sz="4" w:space="0"/>
            </w:tcBorders>
            <w:shd w:val="clear" w:color="auto" w:fill="auto"/>
            <w:vAlign w:val="top"/>
          </w:tcPr>
          <w:p w14:paraId="3D3BAE5D">
            <w:pPr>
              <w:jc w:val="center"/>
              <w:rPr>
                <w:rFonts w:hint="eastAsia" w:ascii="宋体" w:hAnsi="宋体" w:eastAsia="宋体" w:cs="宋体"/>
                <w:i w:val="0"/>
                <w:iCs w:val="0"/>
                <w:color w:val="000000"/>
                <w:sz w:val="18"/>
                <w:szCs w:val="18"/>
                <w:u w:val="none"/>
                <w:woUserID w:val="2"/>
              </w:rPr>
            </w:pPr>
          </w:p>
        </w:tc>
      </w:tr>
      <w:tr w14:paraId="7FC7B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7ECA7BD">
            <w:pPr>
              <w:jc w:val="left"/>
              <w:rPr>
                <w:rFonts w:hint="eastAsia" w:ascii="宋体" w:hAnsi="宋体" w:eastAsia="宋体" w:cs="宋体"/>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4788B13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项目</w:t>
            </w:r>
          </w:p>
        </w:tc>
        <w:tc>
          <w:tcPr>
            <w:tcW w:w="319" w:type="pct"/>
            <w:tcBorders>
              <w:top w:val="single" w:color="000000" w:sz="4" w:space="0"/>
              <w:left w:val="single" w:color="000000" w:sz="4" w:space="0"/>
              <w:bottom w:val="single" w:color="000000" w:sz="4" w:space="0"/>
              <w:right w:val="nil"/>
            </w:tcBorders>
            <w:shd w:val="clear" w:color="auto" w:fill="auto"/>
            <w:vAlign w:val="top"/>
          </w:tcPr>
          <w:p w14:paraId="37B6A6D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合计</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844DA3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236C13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7F16E2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1C5B78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5</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4FAFA6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6</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612B5B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7</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899C57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8</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21F52E1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9</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5A6AD7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10</w:t>
            </w:r>
          </w:p>
        </w:tc>
      </w:tr>
      <w:tr w14:paraId="49748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2051A0BD">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47E3E30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营业收入</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0BDC0AD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19086.95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FD38B5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2153.92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E54D62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2145.54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160837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2137.20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858365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2128.89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9D8250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2120.63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0852BA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2112.42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D5403F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2104.24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58C2CE8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2096.10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18B68D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2088.01 </w:t>
            </w:r>
          </w:p>
        </w:tc>
      </w:tr>
      <w:tr w14:paraId="669A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04990C1C">
            <w:pPr>
              <w:keepNext w:val="0"/>
              <w:keepLines w:val="0"/>
              <w:widowControl/>
              <w:suppressLineNumbers w:val="0"/>
              <w:jc w:val="left"/>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1.1</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170FC01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光伏收入</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32CA265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7941.35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A01A86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915.52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DE65DF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907.14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EE4A1C6">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898.80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AF62E4B">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890.49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9A624F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882.23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36D426D">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874.02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500928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865.84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36572A1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857.70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F36BA09">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849.61 </w:t>
            </w:r>
          </w:p>
        </w:tc>
      </w:tr>
      <w:tr w14:paraId="66B27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494ADB22">
            <w:pPr>
              <w:jc w:val="left"/>
              <w:rPr>
                <w:rFonts w:hint="eastAsia" w:ascii="宋体" w:hAnsi="宋体" w:eastAsia="宋体" w:cs="宋体"/>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427BEE2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装机容量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78C5B6D8">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4A3D4F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29700.00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E1334A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29551.50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EB19DB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29403.74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990938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29256.72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FDED9C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29110.44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5C3096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28964.89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2FA400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28820.06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2A18438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28675.96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19CF69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28532.58 </w:t>
            </w:r>
          </w:p>
        </w:tc>
      </w:tr>
      <w:tr w14:paraId="408DF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32D4A484">
            <w:pPr>
              <w:jc w:val="left"/>
              <w:rPr>
                <w:rFonts w:hint="eastAsia" w:ascii="宋体" w:hAnsi="宋体" w:eastAsia="宋体" w:cs="宋体"/>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0C7C97B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衰减值</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4D5A5F8A">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2A815F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1.00%</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793555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0.50%</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1B019B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0.50%</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715D91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0.50%</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33C361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0.50%</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81DFE0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0.50%</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546218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0.50%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7D95009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0.50%</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A89247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0.50%</w:t>
            </w:r>
          </w:p>
        </w:tc>
      </w:tr>
      <w:tr w14:paraId="23C45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64B61665">
            <w:pPr>
              <w:jc w:val="left"/>
              <w:rPr>
                <w:rFonts w:hint="eastAsia" w:ascii="宋体" w:hAnsi="宋体" w:eastAsia="宋体" w:cs="宋体"/>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6A6A7DE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1KW 光伏装机容量平均日发电量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4CE4CDF8">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0EE227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C9EC3B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831001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1C0D5E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440764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09F0CC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FB46C8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3.34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3F3C620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54033E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3.34 </w:t>
            </w:r>
          </w:p>
        </w:tc>
      </w:tr>
      <w:tr w14:paraId="2AA0D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51567C58">
            <w:pPr>
              <w:jc w:val="left"/>
              <w:rPr>
                <w:rFonts w:hint="eastAsia" w:ascii="宋体" w:hAnsi="宋体" w:eastAsia="宋体" w:cs="宋体"/>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1E67280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年发电天数</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3ADB40BB">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060B5A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360.00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BBE3B6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360.00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8A1C54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360.00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E09E06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360.00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93BAF4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360.00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85A883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360.00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49F172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360.00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356174D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360.00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801865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360.00 </w:t>
            </w:r>
          </w:p>
        </w:tc>
      </w:tr>
      <w:tr w14:paraId="491A6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76B4D66E">
            <w:pPr>
              <w:jc w:val="left"/>
              <w:rPr>
                <w:rFonts w:hint="eastAsia" w:ascii="宋体" w:hAnsi="宋体" w:eastAsia="宋体" w:cs="宋体"/>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63B8B8A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销售电价</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6F68B2AA">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6B2AF6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0.47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33C673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0.47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C4AACE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0.47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546F73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0.47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A4E84C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0.47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F4C8F0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0.47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1F1F62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0.47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77D572A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0.47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834F3B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0.47 </w:t>
            </w:r>
          </w:p>
        </w:tc>
      </w:tr>
      <w:tr w14:paraId="7F81B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02A10E81">
            <w:pPr>
              <w:keepNext w:val="0"/>
              <w:keepLines w:val="0"/>
              <w:widowControl/>
              <w:suppressLineNumbers w:val="0"/>
              <w:jc w:val="left"/>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1.2</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6637E02F">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储能收入</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02B300D8">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9331.20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D70D18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1166.40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370A029">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1166.40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3EC82C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1166.40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BBE9580">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1166.40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737E527">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1166.40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96D70E3">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1166.40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4B412D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1166.40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1CE8531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1166.40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3FD061C">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1166.40 </w:t>
            </w:r>
          </w:p>
        </w:tc>
      </w:tr>
      <w:tr w14:paraId="3A28B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6583C60A">
            <w:pPr>
              <w:jc w:val="left"/>
              <w:rPr>
                <w:rFonts w:hint="eastAsia" w:ascii="宋体" w:hAnsi="宋体" w:eastAsia="宋体" w:cs="宋体"/>
                <w:b/>
                <w:bCs/>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52C3DAD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调峰+售电</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29593AC4">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04A938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0.8</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1879EA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0.8</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88A022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0.8</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9B263D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0.8</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744789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0.8</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3B43E1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0.8</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97D74D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0.8</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16ADFB0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0.8</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D994D5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0.8</w:t>
            </w:r>
          </w:p>
        </w:tc>
      </w:tr>
      <w:tr w14:paraId="36076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00BD013F">
            <w:pPr>
              <w:jc w:val="left"/>
              <w:rPr>
                <w:rFonts w:hint="eastAsia" w:ascii="宋体" w:hAnsi="宋体" w:eastAsia="宋体" w:cs="宋体"/>
                <w:b/>
                <w:bCs/>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71F594E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360天一充一放扣能耗（万kwh/n)</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60370F97">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86484C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1458.00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D7AB8A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1458.00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33459E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1458.00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D6F6A7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1458.00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00BA0B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1458.00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A9CF37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1458.00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996D4D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1458.00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26C2BBF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1458.00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FCBA9D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1458.00 </w:t>
            </w:r>
          </w:p>
        </w:tc>
      </w:tr>
      <w:tr w14:paraId="100C8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63B50EC5">
            <w:pPr>
              <w:keepNext w:val="0"/>
              <w:keepLines w:val="0"/>
              <w:widowControl/>
              <w:suppressLineNumbers w:val="0"/>
              <w:jc w:val="left"/>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1.3</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5240723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超级芦竹收入</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45706194">
            <w:pPr>
              <w:jc w:val="center"/>
              <w:rPr>
                <w:rFonts w:hint="eastAsia" w:ascii="宋体" w:hAnsi="宋体" w:eastAsia="宋体" w:cs="宋体"/>
                <w:b/>
                <w:bCs/>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F291879">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F83D28C">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EA4A65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7A59FA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7B397DC">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E077A76">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CFAC167">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72.00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57F0E8CC">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55D2C0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 xml:space="preserve">72.00 </w:t>
            </w:r>
          </w:p>
        </w:tc>
      </w:tr>
      <w:tr w14:paraId="55478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708E9614">
            <w:pPr>
              <w:jc w:val="left"/>
              <w:rPr>
                <w:rFonts w:hint="eastAsia" w:ascii="宋体" w:hAnsi="宋体" w:eastAsia="宋体" w:cs="宋体"/>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221B766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面积</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21F704BC">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BE55F6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A560C0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2C87B5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2B8DAF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8C61C2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2BB19E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21B0A0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300.00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32C9806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2EE7B4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300.00 </w:t>
            </w:r>
          </w:p>
        </w:tc>
      </w:tr>
      <w:tr w14:paraId="70795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4C359F56">
            <w:pPr>
              <w:jc w:val="left"/>
              <w:rPr>
                <w:rFonts w:hint="eastAsia" w:ascii="宋体" w:hAnsi="宋体" w:eastAsia="宋体" w:cs="宋体"/>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284C02D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产量（吨）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2E500333">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8AF4D5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3BFA73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B47D9D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970018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669C61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3418F4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7CDE8E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5E384B9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76762A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3.00 </w:t>
            </w:r>
          </w:p>
        </w:tc>
      </w:tr>
      <w:tr w14:paraId="53CA1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33864B16">
            <w:pPr>
              <w:jc w:val="left"/>
              <w:rPr>
                <w:rFonts w:hint="eastAsia" w:ascii="宋体" w:hAnsi="宋体" w:eastAsia="宋体" w:cs="宋体"/>
                <w:i w:val="0"/>
                <w:iCs w:val="0"/>
                <w:color w:val="000000"/>
                <w:sz w:val="18"/>
                <w:szCs w:val="18"/>
                <w:u w:val="none"/>
                <w:woUserID w:val="2"/>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03053CF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每亩价格</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36D7EA52">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04C939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7B781A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E5215A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EB00CC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737CBF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FFF7D9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0B2E72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800.00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4CB3BAC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27D02D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800.00 </w:t>
            </w:r>
          </w:p>
        </w:tc>
      </w:tr>
      <w:tr w14:paraId="0FB1F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2E6BA1B0">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7E286C3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营业税金与附加</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6B8327C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204.44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CDB11D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25.92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199FB2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25.82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29A5E2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25.71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075F73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25.61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4BA82F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3ACB98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51B891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25.29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5EFD2F3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25.19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09AA8B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25.09 </w:t>
            </w:r>
          </w:p>
        </w:tc>
      </w:tr>
      <w:tr w14:paraId="142C0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78357173">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2.1</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6A8BBB1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营业税</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0F889E05">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80B57A3">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82E5638">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DF3B89C">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BE294FF">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251BB8E">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3AA2067">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69B2344">
            <w:pPr>
              <w:jc w:val="left"/>
              <w:rPr>
                <w:rFonts w:hint="eastAsia" w:ascii="宋体" w:hAnsi="宋体" w:eastAsia="宋体" w:cs="宋体"/>
                <w:i w:val="0"/>
                <w:iCs w:val="0"/>
                <w:color w:val="000000"/>
                <w:sz w:val="18"/>
                <w:szCs w:val="18"/>
                <w:u w:val="none"/>
                <w:woUserID w:val="2"/>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420F1822">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B27A9EC">
            <w:pPr>
              <w:jc w:val="left"/>
              <w:rPr>
                <w:rFonts w:hint="eastAsia" w:ascii="宋体" w:hAnsi="宋体" w:eastAsia="宋体" w:cs="宋体"/>
                <w:i w:val="0"/>
                <w:iCs w:val="0"/>
                <w:color w:val="000000"/>
                <w:sz w:val="18"/>
                <w:szCs w:val="18"/>
                <w:u w:val="none"/>
                <w:woUserID w:val="2"/>
              </w:rPr>
            </w:pPr>
          </w:p>
        </w:tc>
      </w:tr>
      <w:tr w14:paraId="75DE4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624EA8CF">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2.2</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29E95B4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消费税</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0A13FEEB">
            <w:pPr>
              <w:jc w:val="center"/>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42DE564">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41C781B">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8379443">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BBDB372">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7D053A1">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0E90A08">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71A689C">
            <w:pPr>
              <w:jc w:val="left"/>
              <w:rPr>
                <w:rFonts w:hint="eastAsia" w:ascii="宋体" w:hAnsi="宋体" w:eastAsia="宋体" w:cs="宋体"/>
                <w:i w:val="0"/>
                <w:iCs w:val="0"/>
                <w:color w:val="000000"/>
                <w:sz w:val="18"/>
                <w:szCs w:val="18"/>
                <w:u w:val="none"/>
                <w:woUserID w:val="2"/>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57FD7452">
            <w:pPr>
              <w:jc w:val="left"/>
              <w:rPr>
                <w:rFonts w:hint="eastAsia" w:ascii="宋体" w:hAnsi="宋体" w:eastAsia="宋体" w:cs="宋体"/>
                <w:i w:val="0"/>
                <w:iCs w:val="0"/>
                <w:color w:val="000000"/>
                <w:sz w:val="18"/>
                <w:szCs w:val="18"/>
                <w:u w:val="none"/>
                <w:woUserID w:val="2"/>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FC79260">
            <w:pPr>
              <w:jc w:val="left"/>
              <w:rPr>
                <w:rFonts w:hint="eastAsia" w:ascii="宋体" w:hAnsi="宋体" w:eastAsia="宋体" w:cs="宋体"/>
                <w:i w:val="0"/>
                <w:iCs w:val="0"/>
                <w:color w:val="000000"/>
                <w:sz w:val="18"/>
                <w:szCs w:val="18"/>
                <w:u w:val="none"/>
                <w:woUserID w:val="2"/>
              </w:rPr>
            </w:pPr>
          </w:p>
        </w:tc>
      </w:tr>
      <w:tr w14:paraId="789B4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3DEF6BAE">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2.3</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C242">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城市建设维护税</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3CA055F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143.11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86447E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18.15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30CD34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18.07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F22C9F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18.00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46517D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17.92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D6FC55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17.85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FFFB42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17.78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EBB1A9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17.70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43F5DC0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17.63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1AA590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17.56 </w:t>
            </w:r>
          </w:p>
        </w:tc>
      </w:tr>
      <w:tr w14:paraId="4417C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06BAD54A">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2.4</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5F24C0E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教育费附加</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40413A7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61.33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1023E6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7.78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E6F66B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7.75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43EB3E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7.71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8D109A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7.68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CDBF40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7.65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3D85BE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7.62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F2BDEA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7.59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6380255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7.56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CE5161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7.53 </w:t>
            </w:r>
          </w:p>
        </w:tc>
      </w:tr>
      <w:tr w14:paraId="5C979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22B63826">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2272197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增值税</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2A707E3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2044.39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81A99E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259.25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DDC460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258.18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F7E211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257.12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A48D58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256.06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097498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255.01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6F0695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253.96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D21BEB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252.92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260FCAD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251.88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22C3B3F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250.85 </w:t>
            </w:r>
          </w:p>
        </w:tc>
      </w:tr>
      <w:tr w14:paraId="04943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57C00E6B">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3.1</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2C5F43E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销项税额</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5EF419F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2134.98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076C34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270.65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0866AE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269.56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1B992F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268.48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885ED8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267.40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AACE49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266.32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6BFF51F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265.25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B1DEC6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264.19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09630FF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263.13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11B44F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262.08 </w:t>
            </w:r>
          </w:p>
        </w:tc>
      </w:tr>
      <w:tr w14:paraId="54FC4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top"/>
          </w:tcPr>
          <w:p w14:paraId="2422D808">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3.2</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top"/>
          </w:tcPr>
          <w:p w14:paraId="5C962C0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进项税额</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top"/>
          </w:tcPr>
          <w:p w14:paraId="66B45B7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90.60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00932F2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4D31FEF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11.38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562A00B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11.36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F9F469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11.34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7967979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11.31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390D23F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11.29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4313AB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11.27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top"/>
          </w:tcPr>
          <w:p w14:paraId="001D8F5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11.25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top"/>
          </w:tcPr>
          <w:p w14:paraId="1FA38E1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11.23 </w:t>
            </w:r>
          </w:p>
        </w:tc>
      </w:tr>
    </w:tbl>
    <w:p w14:paraId="24EB7F00">
      <w:r>
        <w:br w:type="page"/>
      </w:r>
    </w:p>
    <w:p w14:paraId="23773029">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宋体" w:hAnsi="宋体" w:eastAsia="宋体" w:cs="宋体"/>
          <w:b/>
          <w:bCs/>
          <w:i w:val="0"/>
          <w:iCs w:val="0"/>
          <w:color w:val="000000"/>
          <w:kern w:val="0"/>
          <w:sz w:val="28"/>
          <w:szCs w:val="28"/>
          <w:u w:val="none"/>
          <w:lang w:val="en-US" w:eastAsia="zh-CN"/>
        </w:rPr>
      </w:pPr>
      <w:bookmarkStart w:id="57" w:name="_Toc31142"/>
      <w:bookmarkStart w:id="58" w:name="_Toc28384"/>
      <w:bookmarkStart w:id="59" w:name="_Toc26378"/>
      <w:bookmarkStart w:id="60" w:name="_Toc8001"/>
      <w:bookmarkStart w:id="61" w:name="_Toc3464"/>
      <w:bookmarkStart w:id="62" w:name="_Toc2190"/>
      <w:bookmarkStart w:id="63" w:name="_Toc24925"/>
      <w:r>
        <w:rPr>
          <w:rFonts w:hint="eastAsia" w:ascii="宋体" w:hAnsi="宋体" w:eastAsia="宋体" w:cs="宋体"/>
          <w:b/>
          <w:bCs/>
          <w:i w:val="0"/>
          <w:iCs w:val="0"/>
          <w:color w:val="000000"/>
          <w:kern w:val="0"/>
          <w:sz w:val="28"/>
          <w:szCs w:val="28"/>
          <w:u w:val="none"/>
          <w:lang w:val="en-US" w:eastAsia="zh-CN"/>
        </w:rPr>
        <w:t>附表4：总成本费用表</w:t>
      </w:r>
      <w:bookmarkEnd w:id="57"/>
      <w:bookmarkEnd w:id="58"/>
      <w:bookmarkEnd w:id="59"/>
      <w:bookmarkEnd w:id="60"/>
      <w:bookmarkEnd w:id="61"/>
      <w:bookmarkEnd w:id="62"/>
      <w:bookmarkEnd w:id="63"/>
    </w:p>
    <w:tbl>
      <w:tblPr>
        <w:tblStyle w:val="14"/>
        <w:tblW w:w="13958"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8"/>
        <w:gridCol w:w="1808"/>
        <w:gridCol w:w="1704"/>
        <w:gridCol w:w="1102"/>
        <w:gridCol w:w="1102"/>
        <w:gridCol w:w="1102"/>
        <w:gridCol w:w="1102"/>
        <w:gridCol w:w="1102"/>
        <w:gridCol w:w="1102"/>
        <w:gridCol w:w="1102"/>
        <w:gridCol w:w="1102"/>
        <w:gridCol w:w="1102"/>
      </w:tblGrid>
      <w:tr w14:paraId="09AA8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496" w:type="dxa"/>
            <w:tcBorders>
              <w:top w:val="nil"/>
              <w:left w:val="nil"/>
              <w:bottom w:val="nil"/>
              <w:right w:val="nil"/>
            </w:tcBorders>
            <w:shd w:val="clear" w:color="auto" w:fill="auto"/>
            <w:noWrap/>
            <w:vAlign w:val="center"/>
          </w:tcPr>
          <w:p w14:paraId="2460A121">
            <w:pPr>
              <w:jc w:val="center"/>
              <w:rPr>
                <w:rFonts w:hint="eastAsia" w:ascii="宋体" w:hAnsi="宋体" w:eastAsia="宋体" w:cs="宋体"/>
                <w:i w:val="0"/>
                <w:iCs w:val="0"/>
                <w:color w:val="000000"/>
                <w:sz w:val="18"/>
                <w:szCs w:val="18"/>
                <w:u w:val="none"/>
                <w:woUserID w:val="2"/>
              </w:rPr>
            </w:pPr>
          </w:p>
        </w:tc>
        <w:tc>
          <w:tcPr>
            <w:tcW w:w="1696" w:type="dxa"/>
            <w:tcBorders>
              <w:top w:val="nil"/>
              <w:left w:val="nil"/>
              <w:bottom w:val="nil"/>
              <w:right w:val="nil"/>
            </w:tcBorders>
            <w:shd w:val="clear" w:color="auto" w:fill="auto"/>
            <w:noWrap/>
            <w:vAlign w:val="center"/>
          </w:tcPr>
          <w:p w14:paraId="793EA7AF">
            <w:pPr>
              <w:jc w:val="center"/>
              <w:rPr>
                <w:rFonts w:hint="eastAsia" w:ascii="宋体" w:hAnsi="宋体" w:eastAsia="宋体" w:cs="宋体"/>
                <w:i w:val="0"/>
                <w:iCs w:val="0"/>
                <w:color w:val="000000"/>
                <w:sz w:val="18"/>
                <w:szCs w:val="18"/>
                <w:u w:val="none"/>
                <w:woUserID w:val="2"/>
              </w:rPr>
            </w:pPr>
          </w:p>
        </w:tc>
        <w:tc>
          <w:tcPr>
            <w:tcW w:w="1599" w:type="dxa"/>
            <w:tcBorders>
              <w:top w:val="nil"/>
              <w:left w:val="nil"/>
              <w:bottom w:val="nil"/>
              <w:right w:val="nil"/>
            </w:tcBorders>
            <w:shd w:val="clear" w:color="auto" w:fill="auto"/>
            <w:noWrap/>
            <w:vAlign w:val="center"/>
          </w:tcPr>
          <w:p w14:paraId="3D19CC76">
            <w:pPr>
              <w:rPr>
                <w:rFonts w:hint="eastAsia" w:ascii="宋体" w:hAnsi="宋体" w:eastAsia="宋体" w:cs="宋体"/>
                <w:i w:val="0"/>
                <w:iCs w:val="0"/>
                <w:color w:val="000000"/>
                <w:sz w:val="18"/>
                <w:szCs w:val="18"/>
                <w:u w:val="none"/>
                <w:woUserID w:val="2"/>
              </w:rPr>
            </w:pPr>
          </w:p>
        </w:tc>
        <w:tc>
          <w:tcPr>
            <w:tcW w:w="1033" w:type="dxa"/>
            <w:tcBorders>
              <w:top w:val="nil"/>
              <w:left w:val="nil"/>
              <w:bottom w:val="nil"/>
              <w:right w:val="nil"/>
            </w:tcBorders>
            <w:shd w:val="clear" w:color="auto" w:fill="auto"/>
            <w:noWrap/>
            <w:vAlign w:val="center"/>
          </w:tcPr>
          <w:p w14:paraId="56A0A9A5">
            <w:pPr>
              <w:rPr>
                <w:rFonts w:hint="eastAsia" w:ascii="宋体" w:hAnsi="宋体" w:eastAsia="宋体" w:cs="宋体"/>
                <w:i w:val="0"/>
                <w:iCs w:val="0"/>
                <w:color w:val="000000"/>
                <w:sz w:val="18"/>
                <w:szCs w:val="18"/>
                <w:u w:val="none"/>
                <w:woUserID w:val="2"/>
              </w:rPr>
            </w:pPr>
          </w:p>
        </w:tc>
        <w:tc>
          <w:tcPr>
            <w:tcW w:w="1033" w:type="dxa"/>
            <w:tcBorders>
              <w:top w:val="nil"/>
              <w:left w:val="nil"/>
              <w:bottom w:val="nil"/>
              <w:right w:val="nil"/>
            </w:tcBorders>
            <w:shd w:val="clear" w:color="auto" w:fill="auto"/>
            <w:noWrap/>
            <w:vAlign w:val="center"/>
          </w:tcPr>
          <w:p w14:paraId="0D0E4632">
            <w:pPr>
              <w:rPr>
                <w:rFonts w:hint="eastAsia" w:ascii="宋体" w:hAnsi="宋体" w:eastAsia="宋体" w:cs="宋体"/>
                <w:i w:val="0"/>
                <w:iCs w:val="0"/>
                <w:color w:val="000000"/>
                <w:sz w:val="18"/>
                <w:szCs w:val="18"/>
                <w:u w:val="none"/>
                <w:woUserID w:val="2"/>
              </w:rPr>
            </w:pPr>
          </w:p>
        </w:tc>
        <w:tc>
          <w:tcPr>
            <w:tcW w:w="1033" w:type="dxa"/>
            <w:tcBorders>
              <w:top w:val="nil"/>
              <w:left w:val="nil"/>
              <w:bottom w:val="nil"/>
              <w:right w:val="nil"/>
            </w:tcBorders>
            <w:shd w:val="clear" w:color="auto" w:fill="auto"/>
            <w:noWrap/>
            <w:vAlign w:val="center"/>
          </w:tcPr>
          <w:p w14:paraId="44E22FBD">
            <w:pPr>
              <w:rPr>
                <w:rFonts w:hint="eastAsia" w:ascii="宋体" w:hAnsi="宋体" w:eastAsia="宋体" w:cs="宋体"/>
                <w:i w:val="0"/>
                <w:iCs w:val="0"/>
                <w:color w:val="000000"/>
                <w:sz w:val="18"/>
                <w:szCs w:val="18"/>
                <w:u w:val="none"/>
                <w:woUserID w:val="2"/>
              </w:rPr>
            </w:pPr>
          </w:p>
        </w:tc>
        <w:tc>
          <w:tcPr>
            <w:tcW w:w="1033" w:type="dxa"/>
            <w:tcBorders>
              <w:top w:val="nil"/>
              <w:left w:val="nil"/>
              <w:bottom w:val="nil"/>
              <w:right w:val="nil"/>
            </w:tcBorders>
            <w:shd w:val="clear" w:color="auto" w:fill="auto"/>
            <w:noWrap/>
            <w:vAlign w:val="center"/>
          </w:tcPr>
          <w:p w14:paraId="3A9CDA3C">
            <w:pPr>
              <w:rPr>
                <w:rFonts w:hint="eastAsia" w:ascii="宋体" w:hAnsi="宋体" w:eastAsia="宋体" w:cs="宋体"/>
                <w:i w:val="0"/>
                <w:iCs w:val="0"/>
                <w:color w:val="000000"/>
                <w:sz w:val="18"/>
                <w:szCs w:val="18"/>
                <w:u w:val="none"/>
                <w:woUserID w:val="2"/>
              </w:rPr>
            </w:pPr>
          </w:p>
        </w:tc>
        <w:tc>
          <w:tcPr>
            <w:tcW w:w="1033" w:type="dxa"/>
            <w:tcBorders>
              <w:top w:val="nil"/>
              <w:left w:val="nil"/>
              <w:bottom w:val="nil"/>
              <w:right w:val="nil"/>
            </w:tcBorders>
            <w:shd w:val="clear" w:color="auto" w:fill="auto"/>
            <w:noWrap/>
            <w:vAlign w:val="center"/>
          </w:tcPr>
          <w:p w14:paraId="73660A30">
            <w:pPr>
              <w:rPr>
                <w:rFonts w:hint="eastAsia" w:ascii="宋体" w:hAnsi="宋体" w:eastAsia="宋体" w:cs="宋体"/>
                <w:i w:val="0"/>
                <w:iCs w:val="0"/>
                <w:color w:val="000000"/>
                <w:sz w:val="18"/>
                <w:szCs w:val="18"/>
                <w:u w:val="none"/>
                <w:woUserID w:val="2"/>
              </w:rPr>
            </w:pPr>
          </w:p>
        </w:tc>
        <w:tc>
          <w:tcPr>
            <w:tcW w:w="1033" w:type="dxa"/>
            <w:tcBorders>
              <w:top w:val="nil"/>
              <w:left w:val="nil"/>
              <w:bottom w:val="nil"/>
              <w:right w:val="nil"/>
            </w:tcBorders>
            <w:shd w:val="clear" w:color="auto" w:fill="auto"/>
            <w:noWrap/>
            <w:vAlign w:val="center"/>
          </w:tcPr>
          <w:p w14:paraId="1DD56732">
            <w:pPr>
              <w:rPr>
                <w:rFonts w:hint="eastAsia" w:ascii="宋体" w:hAnsi="宋体" w:eastAsia="宋体" w:cs="宋体"/>
                <w:i w:val="0"/>
                <w:iCs w:val="0"/>
                <w:color w:val="000000"/>
                <w:sz w:val="18"/>
                <w:szCs w:val="18"/>
                <w:u w:val="none"/>
                <w:woUserID w:val="2"/>
              </w:rPr>
            </w:pPr>
          </w:p>
        </w:tc>
        <w:tc>
          <w:tcPr>
            <w:tcW w:w="1033" w:type="dxa"/>
            <w:tcBorders>
              <w:top w:val="nil"/>
              <w:left w:val="nil"/>
              <w:bottom w:val="nil"/>
              <w:right w:val="nil"/>
            </w:tcBorders>
            <w:shd w:val="clear" w:color="auto" w:fill="auto"/>
            <w:noWrap/>
            <w:vAlign w:val="center"/>
          </w:tcPr>
          <w:p w14:paraId="65E18082">
            <w:pPr>
              <w:rPr>
                <w:rFonts w:hint="eastAsia" w:ascii="宋体" w:hAnsi="宋体" w:eastAsia="宋体" w:cs="宋体"/>
                <w:i w:val="0"/>
                <w:iCs w:val="0"/>
                <w:color w:val="000000"/>
                <w:sz w:val="18"/>
                <w:szCs w:val="18"/>
                <w:u w:val="none"/>
                <w:woUserID w:val="2"/>
              </w:rPr>
            </w:pPr>
          </w:p>
        </w:tc>
        <w:tc>
          <w:tcPr>
            <w:tcW w:w="1033" w:type="dxa"/>
            <w:tcBorders>
              <w:top w:val="nil"/>
              <w:left w:val="nil"/>
              <w:bottom w:val="nil"/>
              <w:right w:val="nil"/>
            </w:tcBorders>
            <w:shd w:val="clear" w:color="auto" w:fill="auto"/>
            <w:noWrap/>
            <w:vAlign w:val="center"/>
          </w:tcPr>
          <w:p w14:paraId="232D66E8">
            <w:pPr>
              <w:keepNext w:val="0"/>
              <w:keepLines w:val="0"/>
              <w:widowControl/>
              <w:suppressLineNumbers w:val="0"/>
              <w:jc w:val="left"/>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单位：万元</w:t>
            </w:r>
          </w:p>
        </w:tc>
        <w:tc>
          <w:tcPr>
            <w:tcW w:w="1033" w:type="dxa"/>
            <w:tcBorders>
              <w:top w:val="nil"/>
              <w:left w:val="nil"/>
              <w:bottom w:val="nil"/>
              <w:right w:val="nil"/>
            </w:tcBorders>
            <w:shd w:val="clear" w:color="auto" w:fill="auto"/>
            <w:noWrap/>
            <w:vAlign w:val="center"/>
          </w:tcPr>
          <w:p w14:paraId="5717F8AD">
            <w:pPr>
              <w:rPr>
                <w:rFonts w:hint="eastAsia" w:ascii="宋体" w:hAnsi="宋体" w:eastAsia="宋体" w:cs="宋体"/>
                <w:i w:val="0"/>
                <w:iCs w:val="0"/>
                <w:color w:val="000000"/>
                <w:sz w:val="18"/>
                <w:szCs w:val="18"/>
                <w:u w:val="none"/>
                <w:woUserID w:val="2"/>
              </w:rPr>
            </w:pPr>
          </w:p>
        </w:tc>
      </w:tr>
      <w:tr w14:paraId="16D5E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41BD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序号</w:t>
            </w:r>
          </w:p>
        </w:tc>
        <w:tc>
          <w:tcPr>
            <w:tcW w:w="1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AC54E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项目</w:t>
            </w: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A142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合计</w:t>
            </w:r>
          </w:p>
        </w:tc>
        <w:tc>
          <w:tcPr>
            <w:tcW w:w="929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8BAEC38">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运营期</w:t>
            </w:r>
          </w:p>
        </w:tc>
      </w:tr>
      <w:tr w14:paraId="27E4E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D6CF2">
            <w:pPr>
              <w:jc w:val="center"/>
              <w:rPr>
                <w:rFonts w:hint="eastAsia" w:ascii="宋体" w:hAnsi="宋体" w:eastAsia="宋体" w:cs="宋体"/>
                <w:b/>
                <w:bCs/>
                <w:i w:val="0"/>
                <w:iCs w:val="0"/>
                <w:color w:val="000000"/>
                <w:sz w:val="18"/>
                <w:szCs w:val="18"/>
                <w:u w:val="none"/>
                <w:woUserID w:val="2"/>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57E78">
            <w:pPr>
              <w:jc w:val="center"/>
              <w:rPr>
                <w:rFonts w:hint="eastAsia" w:ascii="宋体" w:hAnsi="宋体" w:eastAsia="宋体" w:cs="宋体"/>
                <w:b/>
                <w:bCs/>
                <w:i w:val="0"/>
                <w:iCs w:val="0"/>
                <w:color w:val="000000"/>
                <w:sz w:val="18"/>
                <w:szCs w:val="18"/>
                <w:u w:val="none"/>
                <w:woUserID w:val="2"/>
              </w:rPr>
            </w:pP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D017D">
            <w:pPr>
              <w:jc w:val="center"/>
              <w:rPr>
                <w:rFonts w:hint="eastAsia" w:ascii="宋体" w:hAnsi="宋体" w:eastAsia="宋体" w:cs="宋体"/>
                <w:b/>
                <w:bCs/>
                <w:i w:val="0"/>
                <w:iCs w:val="0"/>
                <w:color w:val="000000"/>
                <w:sz w:val="18"/>
                <w:szCs w:val="18"/>
                <w:u w:val="none"/>
                <w:woUserID w:val="2"/>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009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64B4">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C6A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4</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6B5E">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AEDA">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6</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A391">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11D6">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11F5">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9</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8CAD">
            <w:pPr>
              <w:keepNext w:val="0"/>
              <w:keepLines w:val="0"/>
              <w:widowControl/>
              <w:suppressLineNumbers w:val="0"/>
              <w:jc w:val="center"/>
              <w:textAlignment w:val="top"/>
              <w:rPr>
                <w:rFonts w:hint="eastAsia" w:ascii="宋体" w:hAnsi="宋体" w:eastAsia="宋体" w:cs="宋体"/>
                <w:b/>
                <w:bCs/>
                <w:i w:val="0"/>
                <w:iCs w:val="0"/>
                <w:color w:val="000000"/>
                <w:sz w:val="18"/>
                <w:szCs w:val="18"/>
                <w:u w:val="none"/>
                <w:woUserID w:val="2"/>
              </w:rPr>
            </w:pPr>
            <w:r>
              <w:rPr>
                <w:rFonts w:hint="eastAsia" w:ascii="宋体" w:hAnsi="宋体" w:eastAsia="宋体" w:cs="宋体"/>
                <w:b/>
                <w:bCs/>
                <w:i w:val="0"/>
                <w:iCs w:val="0"/>
                <w:snapToGrid w:val="0"/>
                <w:color w:val="000000"/>
                <w:kern w:val="0"/>
                <w:sz w:val="18"/>
                <w:szCs w:val="18"/>
                <w:u w:val="none"/>
                <w:lang w:val="en-US" w:eastAsia="zh-CN" w:bidi="ar"/>
                <w:woUserID w:val="2"/>
              </w:rPr>
              <w:t>10</w:t>
            </w:r>
          </w:p>
        </w:tc>
      </w:tr>
      <w:tr w14:paraId="102A3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616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09A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维护费用</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C0A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381.74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8B8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43.08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6E5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42.91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23D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42.74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CDB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42.58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976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42.41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068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42.25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0BA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42.08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587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41.92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0C6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41.76 </w:t>
            </w:r>
          </w:p>
        </w:tc>
      </w:tr>
      <w:tr w14:paraId="35C5B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43E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356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外购燃料及动力费</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7DA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3AA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50E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E66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11F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43D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B35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B14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4BC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EC93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r>
      <w:tr w14:paraId="3A86D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555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098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运营水电费用</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859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986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D17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CA7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880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A0D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B40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47D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411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51E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 </w:t>
            </w:r>
          </w:p>
        </w:tc>
      </w:tr>
      <w:tr w14:paraId="77360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7F8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B8A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工资及福利费</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D40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648.00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B99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72.00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809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72.00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4D1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72.00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A4F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72.00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CEA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72.00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EA4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72.00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6F8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72.00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D31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72.00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BF8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72.00 </w:t>
            </w:r>
          </w:p>
        </w:tc>
      </w:tr>
      <w:tr w14:paraId="32D0D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187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6</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EF2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运营及管理费</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5BE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572.61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2D0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64.62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2D77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64.37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A3C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64.12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153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63.87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882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63.62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940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63.37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C03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63.13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853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62.88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1A7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62.64 </w:t>
            </w:r>
          </w:p>
        </w:tc>
      </w:tr>
      <w:tr w14:paraId="51CB9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55D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7</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03C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土地租赁费</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D3E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450.00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46E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E54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DDB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6E8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76B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78D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6F4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FC0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50.00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98F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50.00 </w:t>
            </w:r>
          </w:p>
        </w:tc>
      </w:tr>
      <w:tr w14:paraId="0F3F2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2A2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766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经营成本（1+2+3+4+5+6）</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8CD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2142.35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68C7">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239.70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5130">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239.28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2D9B4">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238.86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D5AE">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238.44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E4CE">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238.03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6F20">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237.62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56FA">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237.21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2B8F">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236.81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E0F6">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236.40 </w:t>
            </w:r>
          </w:p>
        </w:tc>
      </w:tr>
      <w:tr w14:paraId="76FFE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DCF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9</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DC8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折旧费</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9FC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5043.34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AB70">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9E15">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0ED3">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813B">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33F3">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47B0">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AF69">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738C">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B7BA">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560.37 </w:t>
            </w:r>
          </w:p>
        </w:tc>
      </w:tr>
      <w:tr w14:paraId="511AE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69F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983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摊销费</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79E1">
            <w:pPr>
              <w:jc w:val="center"/>
              <w:rPr>
                <w:rFonts w:hint="eastAsia" w:ascii="宋体" w:hAnsi="宋体" w:eastAsia="宋体" w:cs="宋体"/>
                <w:i w:val="0"/>
                <w:iCs w:val="0"/>
                <w:color w:val="000000"/>
                <w:sz w:val="18"/>
                <w:szCs w:val="18"/>
                <w:u w:val="none"/>
                <w:woUserID w:val="2"/>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7398">
            <w:pPr>
              <w:jc w:val="center"/>
              <w:rPr>
                <w:rFonts w:hint="eastAsia" w:ascii="宋体" w:hAnsi="宋体" w:eastAsia="宋体" w:cs="宋体"/>
                <w:i w:val="0"/>
                <w:iCs w:val="0"/>
                <w:color w:val="000000"/>
                <w:sz w:val="18"/>
                <w:szCs w:val="18"/>
                <w:u w:val="none"/>
                <w:woUserID w:val="2"/>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0106">
            <w:pPr>
              <w:jc w:val="center"/>
              <w:rPr>
                <w:rFonts w:hint="eastAsia" w:ascii="宋体" w:hAnsi="宋体" w:eastAsia="宋体" w:cs="宋体"/>
                <w:i w:val="0"/>
                <w:iCs w:val="0"/>
                <w:color w:val="000000"/>
                <w:sz w:val="18"/>
                <w:szCs w:val="18"/>
                <w:u w:val="none"/>
                <w:woUserID w:val="2"/>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2173">
            <w:pPr>
              <w:jc w:val="center"/>
              <w:rPr>
                <w:rFonts w:hint="eastAsia" w:ascii="宋体" w:hAnsi="宋体" w:eastAsia="宋体" w:cs="宋体"/>
                <w:i w:val="0"/>
                <w:iCs w:val="0"/>
                <w:color w:val="000000"/>
                <w:sz w:val="18"/>
                <w:szCs w:val="18"/>
                <w:u w:val="none"/>
                <w:woUserID w:val="2"/>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CF3A">
            <w:pPr>
              <w:jc w:val="center"/>
              <w:rPr>
                <w:rFonts w:hint="eastAsia" w:ascii="宋体" w:hAnsi="宋体" w:eastAsia="宋体" w:cs="宋体"/>
                <w:i w:val="0"/>
                <w:iCs w:val="0"/>
                <w:color w:val="000000"/>
                <w:sz w:val="18"/>
                <w:szCs w:val="18"/>
                <w:u w:val="none"/>
                <w:woUserID w:val="2"/>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B696">
            <w:pPr>
              <w:jc w:val="center"/>
              <w:rPr>
                <w:rFonts w:hint="eastAsia" w:ascii="宋体" w:hAnsi="宋体" w:eastAsia="宋体" w:cs="宋体"/>
                <w:i w:val="0"/>
                <w:iCs w:val="0"/>
                <w:color w:val="000000"/>
                <w:sz w:val="18"/>
                <w:szCs w:val="18"/>
                <w:u w:val="none"/>
                <w:woUserID w:val="2"/>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D1A5">
            <w:pPr>
              <w:jc w:val="center"/>
              <w:rPr>
                <w:rFonts w:hint="eastAsia" w:ascii="宋体" w:hAnsi="宋体" w:eastAsia="宋体" w:cs="宋体"/>
                <w:i w:val="0"/>
                <w:iCs w:val="0"/>
                <w:color w:val="000000"/>
                <w:sz w:val="18"/>
                <w:szCs w:val="18"/>
                <w:u w:val="none"/>
                <w:woUserID w:val="2"/>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AE8D">
            <w:pPr>
              <w:jc w:val="center"/>
              <w:rPr>
                <w:rFonts w:hint="eastAsia" w:ascii="宋体" w:hAnsi="宋体" w:eastAsia="宋体" w:cs="宋体"/>
                <w:i w:val="0"/>
                <w:iCs w:val="0"/>
                <w:color w:val="000000"/>
                <w:sz w:val="18"/>
                <w:szCs w:val="18"/>
                <w:u w:val="none"/>
                <w:woUserID w:val="2"/>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0AC4">
            <w:pPr>
              <w:jc w:val="center"/>
              <w:rPr>
                <w:rFonts w:hint="eastAsia" w:ascii="宋体" w:hAnsi="宋体" w:eastAsia="宋体" w:cs="宋体"/>
                <w:i w:val="0"/>
                <w:iCs w:val="0"/>
                <w:color w:val="000000"/>
                <w:sz w:val="18"/>
                <w:szCs w:val="18"/>
                <w:u w:val="none"/>
                <w:woUserID w:val="2"/>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56A8">
            <w:pPr>
              <w:jc w:val="center"/>
              <w:rPr>
                <w:rFonts w:hint="eastAsia" w:ascii="宋体" w:hAnsi="宋体" w:eastAsia="宋体" w:cs="宋体"/>
                <w:i w:val="0"/>
                <w:iCs w:val="0"/>
                <w:color w:val="000000"/>
                <w:sz w:val="18"/>
                <w:szCs w:val="18"/>
                <w:u w:val="none"/>
                <w:woUserID w:val="2"/>
              </w:rPr>
            </w:pPr>
          </w:p>
        </w:tc>
      </w:tr>
      <w:tr w14:paraId="6412C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A222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3A5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利息支出</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DCD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2414.16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1D8C">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481.32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0483">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433.44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E14D">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383.04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9865">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330.12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CF9C">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274.68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ACCE">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219.24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AFEA">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161.28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5B8C">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98.28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95E4">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32.76 </w:t>
            </w:r>
          </w:p>
        </w:tc>
      </w:tr>
      <w:tr w14:paraId="0B8AA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0F5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52D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总成本费用合计（6+7+8+9）</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5AA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9599.84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A983">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1281.39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3339">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1233.09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2440">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1182.27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EB24">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1128.94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6E9E">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1073.08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EA9B">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1017.23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9D5D">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958.86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21A63">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895.46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5BAD">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829.53 </w:t>
            </w:r>
          </w:p>
        </w:tc>
      </w:tr>
      <w:tr w14:paraId="22651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F61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12.1 </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5D95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其中：固定成本</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388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8480.10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442F">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1156.31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3407">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1108.18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0DCE">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1057.53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06E7">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1004.36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4512">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948.67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7FF8">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892.98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19F1">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834.78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DFDE">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771.53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249EB">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705.77 </w:t>
            </w:r>
          </w:p>
        </w:tc>
      </w:tr>
      <w:tr w14:paraId="28F27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311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12.2 </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87A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可变成本</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3F5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1119.74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53B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125.08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599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124.91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8D2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124.74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5F3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124.58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2CE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124.41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0DA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124.25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3CE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124.08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D79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123.92 </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D7A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123.76 </w:t>
            </w:r>
          </w:p>
        </w:tc>
      </w:tr>
    </w:tbl>
    <w:p w14:paraId="58BFDACB">
      <w:r>
        <w:br w:type="page"/>
      </w:r>
    </w:p>
    <w:p w14:paraId="5F592EB4">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宋体" w:hAnsi="宋体" w:eastAsia="宋体" w:cs="宋体"/>
          <w:b/>
          <w:bCs/>
          <w:i w:val="0"/>
          <w:iCs w:val="0"/>
          <w:color w:val="000000"/>
          <w:kern w:val="0"/>
          <w:sz w:val="28"/>
          <w:szCs w:val="28"/>
          <w:u w:val="none"/>
          <w:lang w:val="en-US" w:eastAsia="zh-CN"/>
        </w:rPr>
      </w:pPr>
      <w:bookmarkStart w:id="64" w:name="_Toc15509"/>
      <w:bookmarkStart w:id="65" w:name="_Toc8722"/>
      <w:bookmarkStart w:id="66" w:name="_Toc9521"/>
      <w:bookmarkStart w:id="67" w:name="_Toc22952"/>
      <w:bookmarkStart w:id="68" w:name="_Toc25353"/>
      <w:bookmarkStart w:id="69" w:name="_Toc29357"/>
      <w:bookmarkStart w:id="70" w:name="_Toc22012"/>
      <w:r>
        <w:rPr>
          <w:rFonts w:hint="eastAsia" w:ascii="宋体" w:hAnsi="宋体" w:eastAsia="宋体" w:cs="宋体"/>
          <w:b/>
          <w:bCs/>
          <w:i w:val="0"/>
          <w:iCs w:val="0"/>
          <w:color w:val="000000"/>
          <w:kern w:val="0"/>
          <w:sz w:val="28"/>
          <w:szCs w:val="28"/>
          <w:u w:val="none"/>
          <w:lang w:val="en-US" w:eastAsia="zh-CN"/>
        </w:rPr>
        <w:t>附表5：利润及利润分配表</w:t>
      </w:r>
      <w:bookmarkEnd w:id="64"/>
      <w:bookmarkEnd w:id="65"/>
      <w:bookmarkEnd w:id="66"/>
      <w:bookmarkEnd w:id="67"/>
      <w:bookmarkEnd w:id="68"/>
      <w:bookmarkEnd w:id="69"/>
      <w:bookmarkEnd w:id="70"/>
    </w:p>
    <w:tbl>
      <w:tblPr>
        <w:tblStyle w:val="14"/>
        <w:tblW w:w="13958"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6"/>
        <w:gridCol w:w="2650"/>
        <w:gridCol w:w="1086"/>
        <w:gridCol w:w="1086"/>
        <w:gridCol w:w="1086"/>
        <w:gridCol w:w="1086"/>
        <w:gridCol w:w="1086"/>
        <w:gridCol w:w="1086"/>
        <w:gridCol w:w="1086"/>
        <w:gridCol w:w="1116"/>
        <w:gridCol w:w="1087"/>
        <w:gridCol w:w="1107"/>
      </w:tblGrid>
      <w:tr w14:paraId="58FA9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 w:type="pct"/>
            <w:tcBorders>
              <w:top w:val="nil"/>
              <w:left w:val="nil"/>
              <w:bottom w:val="nil"/>
              <w:right w:val="nil"/>
            </w:tcBorders>
            <w:shd w:val="clear" w:color="auto" w:fill="auto"/>
            <w:noWrap/>
            <w:vAlign w:val="center"/>
          </w:tcPr>
          <w:p w14:paraId="7218E71B">
            <w:pPr>
              <w:rPr>
                <w:rFonts w:hint="eastAsia" w:ascii="宋体" w:hAnsi="宋体" w:eastAsia="宋体" w:cs="宋体"/>
                <w:i w:val="0"/>
                <w:iCs w:val="0"/>
                <w:color w:val="000000"/>
                <w:sz w:val="18"/>
                <w:szCs w:val="18"/>
                <w:u w:val="none"/>
                <w:woUserID w:val="2"/>
              </w:rPr>
            </w:pPr>
          </w:p>
        </w:tc>
        <w:tc>
          <w:tcPr>
            <w:tcW w:w="951" w:type="pct"/>
            <w:tcBorders>
              <w:top w:val="nil"/>
              <w:left w:val="nil"/>
              <w:bottom w:val="nil"/>
              <w:right w:val="nil"/>
            </w:tcBorders>
            <w:shd w:val="clear" w:color="auto" w:fill="auto"/>
            <w:noWrap/>
            <w:vAlign w:val="center"/>
          </w:tcPr>
          <w:p w14:paraId="4E0FE732">
            <w:pPr>
              <w:rPr>
                <w:rFonts w:hint="eastAsia" w:ascii="宋体" w:hAnsi="宋体" w:eastAsia="宋体" w:cs="宋体"/>
                <w:i w:val="0"/>
                <w:iCs w:val="0"/>
                <w:color w:val="000000"/>
                <w:sz w:val="18"/>
                <w:szCs w:val="18"/>
                <w:u w:val="none"/>
                <w:woUserID w:val="2"/>
              </w:rPr>
            </w:pPr>
          </w:p>
        </w:tc>
        <w:tc>
          <w:tcPr>
            <w:tcW w:w="391" w:type="pct"/>
            <w:tcBorders>
              <w:top w:val="nil"/>
              <w:left w:val="nil"/>
              <w:bottom w:val="nil"/>
              <w:right w:val="nil"/>
            </w:tcBorders>
            <w:shd w:val="clear" w:color="auto" w:fill="auto"/>
            <w:noWrap/>
            <w:vAlign w:val="center"/>
          </w:tcPr>
          <w:p w14:paraId="15C494FF">
            <w:pPr>
              <w:jc w:val="center"/>
              <w:rPr>
                <w:rFonts w:hint="eastAsia" w:ascii="宋体" w:hAnsi="宋体" w:eastAsia="宋体" w:cs="宋体"/>
                <w:i w:val="0"/>
                <w:iCs w:val="0"/>
                <w:color w:val="000000"/>
                <w:sz w:val="18"/>
                <w:szCs w:val="18"/>
                <w:u w:val="none"/>
                <w:woUserID w:val="2"/>
              </w:rPr>
            </w:pPr>
          </w:p>
        </w:tc>
        <w:tc>
          <w:tcPr>
            <w:tcW w:w="391" w:type="pct"/>
            <w:tcBorders>
              <w:top w:val="nil"/>
              <w:left w:val="nil"/>
              <w:bottom w:val="nil"/>
              <w:right w:val="nil"/>
            </w:tcBorders>
            <w:shd w:val="clear" w:color="auto" w:fill="auto"/>
            <w:noWrap/>
            <w:vAlign w:val="center"/>
          </w:tcPr>
          <w:p w14:paraId="07260BCB">
            <w:pPr>
              <w:rPr>
                <w:rFonts w:hint="eastAsia" w:ascii="宋体" w:hAnsi="宋体" w:eastAsia="宋体" w:cs="宋体"/>
                <w:i w:val="0"/>
                <w:iCs w:val="0"/>
                <w:color w:val="000000"/>
                <w:sz w:val="18"/>
                <w:szCs w:val="18"/>
                <w:u w:val="none"/>
                <w:woUserID w:val="2"/>
              </w:rPr>
            </w:pPr>
          </w:p>
        </w:tc>
        <w:tc>
          <w:tcPr>
            <w:tcW w:w="391" w:type="pct"/>
            <w:tcBorders>
              <w:top w:val="nil"/>
              <w:left w:val="nil"/>
              <w:bottom w:val="nil"/>
              <w:right w:val="nil"/>
            </w:tcBorders>
            <w:shd w:val="clear" w:color="auto" w:fill="auto"/>
            <w:noWrap/>
            <w:vAlign w:val="center"/>
          </w:tcPr>
          <w:p w14:paraId="77BFCBDA">
            <w:pPr>
              <w:rPr>
                <w:rFonts w:hint="eastAsia" w:ascii="宋体" w:hAnsi="宋体" w:eastAsia="宋体" w:cs="宋体"/>
                <w:i w:val="0"/>
                <w:iCs w:val="0"/>
                <w:color w:val="000000"/>
                <w:sz w:val="18"/>
                <w:szCs w:val="18"/>
                <w:u w:val="none"/>
                <w:woUserID w:val="2"/>
              </w:rPr>
            </w:pPr>
          </w:p>
        </w:tc>
        <w:tc>
          <w:tcPr>
            <w:tcW w:w="391" w:type="pct"/>
            <w:tcBorders>
              <w:top w:val="nil"/>
              <w:left w:val="nil"/>
              <w:bottom w:val="nil"/>
              <w:right w:val="nil"/>
            </w:tcBorders>
            <w:shd w:val="clear" w:color="auto" w:fill="auto"/>
            <w:noWrap/>
            <w:vAlign w:val="center"/>
          </w:tcPr>
          <w:p w14:paraId="6A3BC93C">
            <w:pPr>
              <w:rPr>
                <w:rFonts w:hint="eastAsia" w:ascii="宋体" w:hAnsi="宋体" w:eastAsia="宋体" w:cs="宋体"/>
                <w:i w:val="0"/>
                <w:iCs w:val="0"/>
                <w:color w:val="000000"/>
                <w:sz w:val="18"/>
                <w:szCs w:val="18"/>
                <w:u w:val="none"/>
                <w:woUserID w:val="2"/>
              </w:rPr>
            </w:pPr>
          </w:p>
        </w:tc>
        <w:tc>
          <w:tcPr>
            <w:tcW w:w="391" w:type="pct"/>
            <w:tcBorders>
              <w:top w:val="nil"/>
              <w:left w:val="nil"/>
              <w:bottom w:val="nil"/>
              <w:right w:val="nil"/>
            </w:tcBorders>
            <w:shd w:val="clear" w:color="auto" w:fill="auto"/>
            <w:noWrap/>
            <w:vAlign w:val="center"/>
          </w:tcPr>
          <w:p w14:paraId="222B9130">
            <w:pPr>
              <w:rPr>
                <w:rFonts w:hint="eastAsia" w:ascii="宋体" w:hAnsi="宋体" w:eastAsia="宋体" w:cs="宋体"/>
                <w:i w:val="0"/>
                <w:iCs w:val="0"/>
                <w:color w:val="000000"/>
                <w:sz w:val="18"/>
                <w:szCs w:val="18"/>
                <w:u w:val="none"/>
                <w:woUserID w:val="2"/>
              </w:rPr>
            </w:pPr>
          </w:p>
        </w:tc>
        <w:tc>
          <w:tcPr>
            <w:tcW w:w="391" w:type="pct"/>
            <w:tcBorders>
              <w:top w:val="nil"/>
              <w:left w:val="nil"/>
              <w:bottom w:val="nil"/>
              <w:right w:val="nil"/>
            </w:tcBorders>
            <w:shd w:val="clear" w:color="auto" w:fill="auto"/>
            <w:noWrap/>
            <w:vAlign w:val="center"/>
          </w:tcPr>
          <w:p w14:paraId="0815501A">
            <w:pPr>
              <w:rPr>
                <w:rFonts w:hint="eastAsia" w:ascii="宋体" w:hAnsi="宋体" w:eastAsia="宋体" w:cs="宋体"/>
                <w:i w:val="0"/>
                <w:iCs w:val="0"/>
                <w:color w:val="000000"/>
                <w:sz w:val="18"/>
                <w:szCs w:val="18"/>
                <w:u w:val="none"/>
                <w:woUserID w:val="2"/>
              </w:rPr>
            </w:pPr>
          </w:p>
        </w:tc>
        <w:tc>
          <w:tcPr>
            <w:tcW w:w="391" w:type="pct"/>
            <w:tcBorders>
              <w:top w:val="nil"/>
              <w:left w:val="nil"/>
              <w:bottom w:val="nil"/>
              <w:right w:val="nil"/>
            </w:tcBorders>
            <w:shd w:val="clear" w:color="auto" w:fill="auto"/>
            <w:noWrap/>
            <w:vAlign w:val="center"/>
          </w:tcPr>
          <w:p w14:paraId="1CAD8264">
            <w:pPr>
              <w:rPr>
                <w:rFonts w:hint="eastAsia" w:ascii="宋体" w:hAnsi="宋体" w:eastAsia="宋体" w:cs="宋体"/>
                <w:i w:val="0"/>
                <w:iCs w:val="0"/>
                <w:color w:val="000000"/>
                <w:sz w:val="18"/>
                <w:szCs w:val="18"/>
                <w:u w:val="none"/>
                <w:woUserID w:val="2"/>
              </w:rPr>
            </w:pPr>
          </w:p>
        </w:tc>
        <w:tc>
          <w:tcPr>
            <w:tcW w:w="391" w:type="pct"/>
            <w:tcBorders>
              <w:top w:val="nil"/>
              <w:left w:val="nil"/>
              <w:bottom w:val="nil"/>
              <w:right w:val="nil"/>
            </w:tcBorders>
            <w:shd w:val="clear" w:color="auto" w:fill="auto"/>
            <w:noWrap/>
            <w:vAlign w:val="center"/>
          </w:tcPr>
          <w:p w14:paraId="2A2F9888">
            <w:pPr>
              <w:keepNext w:val="0"/>
              <w:keepLines w:val="0"/>
              <w:widowControl/>
              <w:suppressLineNumbers w:val="0"/>
              <w:jc w:val="left"/>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单位：万元</w:t>
            </w:r>
          </w:p>
        </w:tc>
        <w:tc>
          <w:tcPr>
            <w:tcW w:w="391" w:type="pct"/>
            <w:tcBorders>
              <w:top w:val="nil"/>
              <w:left w:val="nil"/>
              <w:bottom w:val="nil"/>
              <w:right w:val="nil"/>
            </w:tcBorders>
            <w:shd w:val="clear" w:color="auto" w:fill="auto"/>
            <w:noWrap/>
            <w:vAlign w:val="center"/>
          </w:tcPr>
          <w:p w14:paraId="668130FA">
            <w:pPr>
              <w:rPr>
                <w:rFonts w:hint="eastAsia" w:ascii="宋体" w:hAnsi="宋体" w:eastAsia="宋体" w:cs="宋体"/>
                <w:i w:val="0"/>
                <w:iCs w:val="0"/>
                <w:color w:val="000000"/>
                <w:sz w:val="18"/>
                <w:szCs w:val="18"/>
                <w:u w:val="none"/>
                <w:woUserID w:val="2"/>
              </w:rPr>
            </w:pPr>
          </w:p>
        </w:tc>
        <w:tc>
          <w:tcPr>
            <w:tcW w:w="391" w:type="pct"/>
            <w:tcBorders>
              <w:top w:val="nil"/>
              <w:left w:val="nil"/>
              <w:bottom w:val="nil"/>
              <w:right w:val="nil"/>
            </w:tcBorders>
            <w:shd w:val="clear" w:color="auto" w:fill="auto"/>
            <w:noWrap/>
            <w:vAlign w:val="center"/>
          </w:tcPr>
          <w:p w14:paraId="6F1D8D02">
            <w:pPr>
              <w:rPr>
                <w:rFonts w:hint="eastAsia" w:ascii="宋体" w:hAnsi="宋体" w:eastAsia="宋体" w:cs="宋体"/>
                <w:i w:val="0"/>
                <w:iCs w:val="0"/>
                <w:color w:val="000000"/>
                <w:sz w:val="18"/>
                <w:szCs w:val="18"/>
                <w:u w:val="none"/>
                <w:woUserID w:val="2"/>
              </w:rPr>
            </w:pPr>
          </w:p>
        </w:tc>
      </w:tr>
      <w:tr w14:paraId="602B2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93770F">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序号</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F6706">
            <w:pPr>
              <w:jc w:val="left"/>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97383">
            <w:pPr>
              <w:jc w:val="center"/>
              <w:rPr>
                <w:rFonts w:hint="eastAsia" w:ascii="宋体" w:hAnsi="宋体" w:eastAsia="宋体" w:cs="宋体"/>
                <w:i w:val="0"/>
                <w:iCs w:val="0"/>
                <w:color w:val="000000"/>
                <w:sz w:val="18"/>
                <w:szCs w:val="18"/>
                <w:u w:val="none"/>
                <w:woUserID w:val="2"/>
              </w:rPr>
            </w:pPr>
          </w:p>
        </w:tc>
        <w:tc>
          <w:tcPr>
            <w:tcW w:w="3526"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104BD5C">
            <w:pPr>
              <w:jc w:val="center"/>
              <w:rPr>
                <w:rFonts w:hint="eastAsia" w:ascii="宋体" w:hAnsi="宋体" w:eastAsia="宋体" w:cs="宋体"/>
                <w:i w:val="0"/>
                <w:iCs w:val="0"/>
                <w:color w:val="000000"/>
                <w:sz w:val="18"/>
                <w:szCs w:val="18"/>
                <w:u w:val="none"/>
                <w:woUserID w:val="2"/>
              </w:rPr>
            </w:pPr>
          </w:p>
        </w:tc>
      </w:tr>
      <w:tr w14:paraId="2ECBA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2C03E">
            <w:pPr>
              <w:jc w:val="left"/>
              <w:rPr>
                <w:rFonts w:hint="eastAsia" w:ascii="宋体" w:hAnsi="宋体" w:eastAsia="宋体" w:cs="宋体"/>
                <w:i w:val="0"/>
                <w:iCs w:val="0"/>
                <w:color w:val="000000"/>
                <w:sz w:val="18"/>
                <w:szCs w:val="18"/>
                <w:u w:val="none"/>
                <w:woUserID w:val="2"/>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4A36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项 目</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9DF0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合计</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0800631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13CDA9A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3836F44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613815D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5</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7B1512B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6</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494A110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7</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4ACE93D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8</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43EC6AD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9</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4069900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10</w:t>
            </w:r>
          </w:p>
        </w:tc>
      </w:tr>
      <w:tr w14:paraId="3E111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BD217">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39E6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营业收入</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28B6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19086.95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12E9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2153.92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3E24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2145.54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5D63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2137.20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B20F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2128.89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ACA2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2120.63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FEEF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2112.42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D1F5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2104.24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344A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2096.10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4828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2088.01 </w:t>
            </w:r>
          </w:p>
        </w:tc>
      </w:tr>
      <w:tr w14:paraId="4A377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1CB11">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D0A8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营业税金及附加</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303A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229.52 </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461D6FF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25.92 </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4830BE5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25.82 </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0A3D58E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25.71 </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249572D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25.61 </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174C882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25.50 </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1A6F085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25.40 </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7B4EB56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25.29 </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11DA670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25.19 </w:t>
            </w:r>
          </w:p>
        </w:tc>
        <w:tc>
          <w:tcPr>
            <w:tcW w:w="391" w:type="pct"/>
            <w:tcBorders>
              <w:top w:val="nil"/>
              <w:left w:val="single" w:color="000000" w:sz="4" w:space="0"/>
              <w:bottom w:val="single" w:color="000000" w:sz="4" w:space="0"/>
              <w:right w:val="single" w:color="000000" w:sz="4" w:space="0"/>
            </w:tcBorders>
            <w:shd w:val="clear" w:color="auto" w:fill="auto"/>
            <w:vAlign w:val="center"/>
          </w:tcPr>
          <w:p w14:paraId="0B2860C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25.09 </w:t>
            </w:r>
          </w:p>
        </w:tc>
      </w:tr>
      <w:tr w14:paraId="3D48C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5EB4F">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7DF3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增值税</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AFA5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2295.24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B69C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259.25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E281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258.18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BD75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257.12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E8E8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256.06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46D0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255.01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5A8F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253.96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108A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252.92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B70A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251.88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498D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250.85 </w:t>
            </w:r>
          </w:p>
        </w:tc>
      </w:tr>
      <w:tr w14:paraId="73048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E8AFF">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24DE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总成本费用</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F76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9599.84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168E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1281.39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E2FC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1233.09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ED0E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1182.27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E93C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1128.94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0C50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1073.08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FB4D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1017.23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5671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958.86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CAF2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895.46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627C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829.53 </w:t>
            </w:r>
          </w:p>
        </w:tc>
      </w:tr>
      <w:tr w14:paraId="60AAE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A5466">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5</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17F8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补贴收入</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88A6E">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AB6A5">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E41AA">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FBC7A">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D23FE">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6F931">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F9B3A">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5C479">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24CDD">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A48DB">
            <w:pPr>
              <w:jc w:val="center"/>
              <w:rPr>
                <w:rFonts w:hint="eastAsia" w:ascii="宋体" w:hAnsi="宋体" w:eastAsia="宋体" w:cs="宋体"/>
                <w:i w:val="0"/>
                <w:iCs w:val="0"/>
                <w:color w:val="000000"/>
                <w:sz w:val="18"/>
                <w:szCs w:val="18"/>
                <w:u w:val="none"/>
                <w:woUserID w:val="2"/>
              </w:rPr>
            </w:pPr>
          </w:p>
        </w:tc>
      </w:tr>
      <w:tr w14:paraId="6281B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DD9A8">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6</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91AB9">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利润总额（1-2-3+4）</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915A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6962.35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7738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587.36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CCE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628.45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1064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672.09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AB3D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718.29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B096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767.04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C2F6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815.83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A7F5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867.16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0CB1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923.58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AD7F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982.54 </w:t>
            </w:r>
          </w:p>
        </w:tc>
      </w:tr>
      <w:tr w14:paraId="5A058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138FB">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7</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A2E53">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弥补以前年度亏损</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1CD3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0.00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56EF7">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3C769">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14837">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41E91">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6D067">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60149">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4DB9A">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1DEC4">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03147">
            <w:pPr>
              <w:jc w:val="center"/>
              <w:rPr>
                <w:rFonts w:hint="eastAsia" w:ascii="宋体" w:hAnsi="宋体" w:eastAsia="宋体" w:cs="宋体"/>
                <w:i w:val="0"/>
                <w:iCs w:val="0"/>
                <w:color w:val="000000"/>
                <w:sz w:val="18"/>
                <w:szCs w:val="18"/>
                <w:u w:val="none"/>
                <w:woUserID w:val="2"/>
              </w:rPr>
            </w:pPr>
          </w:p>
        </w:tc>
      </w:tr>
      <w:tr w14:paraId="2CD55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33336">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8</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1842E">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应纳税所得额（5-6）</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13DB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6962.35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EA43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587.36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AE91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628.45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6041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672.09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0EE4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718.29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D62E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767.04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FC48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815.83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1CC0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867.16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B779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923.58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898A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982.54 </w:t>
            </w:r>
          </w:p>
        </w:tc>
      </w:tr>
      <w:tr w14:paraId="45BDC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C3ACD">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9</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1035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所得税</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0991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1740.59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A5D1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146.84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A086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157.11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F2EF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168.02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9A35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179.57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C2A8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191.76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378B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203.96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33AE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216.79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C59F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230.89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4420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245.63 </w:t>
            </w:r>
          </w:p>
        </w:tc>
      </w:tr>
      <w:tr w14:paraId="03782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50C55">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10</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38D4F">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净利润（5-8）</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78B3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5221.76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3B18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440.52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4720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471.34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81B6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504.07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052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538.72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D91C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575.28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C887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611.87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F36C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650.37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3CC0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692.68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F2D8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736.90 </w:t>
            </w:r>
          </w:p>
        </w:tc>
      </w:tr>
      <w:tr w14:paraId="66149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CC2A2">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31941">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期初未分配利润</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C3E5B">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5138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0.00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F0A4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396.47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76A4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820.67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D771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1274.34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292C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1759.18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7D47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2276.94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181B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2827.62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1271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3412.96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76D3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4036.37 </w:t>
            </w:r>
          </w:p>
        </w:tc>
      </w:tr>
      <w:tr w14:paraId="428DF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9383E">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401C6">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可供分配的利润（9+10）</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9D59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22026.31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2206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440.52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6217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867.81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A696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1324.74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43AA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1813.06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05D1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2334.47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B0E8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2888.81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963B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3477.99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104F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4105.64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B958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4773.28 </w:t>
            </w:r>
          </w:p>
        </w:tc>
      </w:tr>
      <w:tr w14:paraId="146E0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64A19">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13</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6381B">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提取法定盈余公积金</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4BC1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522.18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1E88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44.05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806B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47.13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6BAC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50.41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3A0F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53.87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FC9B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57.53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F305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61.19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811A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65.04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2410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69.27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5D95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73.69 </w:t>
            </w:r>
          </w:p>
        </w:tc>
      </w:tr>
      <w:tr w14:paraId="0EDEA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89BB2">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14</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93DF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可供投资者分配的利润（11-12）</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798B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21504.13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D6C9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396.47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F4E1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820.67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2579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1274.34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2D87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1759.18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6EE5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2276.94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7A0D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2827.62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B219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3412.96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0223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4036.37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515F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4699.58 </w:t>
            </w:r>
          </w:p>
        </w:tc>
      </w:tr>
      <w:tr w14:paraId="658F5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39788">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15</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AF037">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应付优先股股利</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8B320">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0947B">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8BE5B">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DAEB1">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C50BA">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F7638">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8179F">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CD2B4">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11501">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F936C">
            <w:pPr>
              <w:jc w:val="center"/>
              <w:rPr>
                <w:rFonts w:hint="eastAsia" w:ascii="宋体" w:hAnsi="宋体" w:eastAsia="宋体" w:cs="宋体"/>
                <w:i w:val="0"/>
                <w:iCs w:val="0"/>
                <w:color w:val="000000"/>
                <w:sz w:val="18"/>
                <w:szCs w:val="18"/>
                <w:u w:val="none"/>
                <w:woUserID w:val="2"/>
              </w:rPr>
            </w:pPr>
          </w:p>
        </w:tc>
      </w:tr>
      <w:tr w14:paraId="6A8D5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3577D">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16</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504C5">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提取任意盈余公积金</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FC2D9">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E1344">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97DC1">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AA36B">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2D1B2">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0C689">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916EE">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A398A">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59256">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A8372">
            <w:pPr>
              <w:jc w:val="center"/>
              <w:rPr>
                <w:rFonts w:hint="eastAsia" w:ascii="宋体" w:hAnsi="宋体" w:eastAsia="宋体" w:cs="宋体"/>
                <w:i w:val="0"/>
                <w:iCs w:val="0"/>
                <w:color w:val="000000"/>
                <w:sz w:val="18"/>
                <w:szCs w:val="18"/>
                <w:u w:val="none"/>
                <w:woUserID w:val="2"/>
              </w:rPr>
            </w:pPr>
          </w:p>
        </w:tc>
      </w:tr>
      <w:tr w14:paraId="164A3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03B09">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17</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C07D0">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应付普通股股利（13-14-15）</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6BA3D">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B2D48">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AB93A">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D8738">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6A7C8">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7C2BE">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BC78D">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BC155">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7E56E">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F78E0">
            <w:pPr>
              <w:jc w:val="center"/>
              <w:rPr>
                <w:rFonts w:hint="eastAsia" w:ascii="宋体" w:hAnsi="宋体" w:eastAsia="宋体" w:cs="宋体"/>
                <w:i w:val="0"/>
                <w:iCs w:val="0"/>
                <w:color w:val="000000"/>
                <w:sz w:val="18"/>
                <w:szCs w:val="18"/>
                <w:u w:val="none"/>
                <w:woUserID w:val="2"/>
              </w:rPr>
            </w:pPr>
          </w:p>
        </w:tc>
      </w:tr>
      <w:tr w14:paraId="524E0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9CB42">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18</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39449">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各投资方利润分配</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6F055">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53CB">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CF7E1">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4DC90">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173F1">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5ECF1">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16574">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795DC">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CEB7F">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F90CE">
            <w:pPr>
              <w:jc w:val="center"/>
              <w:rPr>
                <w:rFonts w:hint="eastAsia" w:ascii="宋体" w:hAnsi="宋体" w:eastAsia="宋体" w:cs="宋体"/>
                <w:i w:val="0"/>
                <w:iCs w:val="0"/>
                <w:color w:val="000000"/>
                <w:sz w:val="18"/>
                <w:szCs w:val="18"/>
                <w:u w:val="none"/>
                <w:woUserID w:val="2"/>
              </w:rPr>
            </w:pPr>
          </w:p>
        </w:tc>
      </w:tr>
      <w:tr w14:paraId="03343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EE1C8">
            <w:pPr>
              <w:jc w:val="left"/>
              <w:rPr>
                <w:rFonts w:hint="eastAsia" w:ascii="宋体" w:hAnsi="宋体" w:eastAsia="宋体" w:cs="宋体"/>
                <w:i w:val="0"/>
                <w:iCs w:val="0"/>
                <w:color w:val="000000"/>
                <w:sz w:val="18"/>
                <w:szCs w:val="18"/>
                <w:u w:val="none"/>
                <w:woUserID w:val="2"/>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2DAE0">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其中：</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F25FD">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4266F">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71528">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DF263">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CB414">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2B9F4">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D7A98">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148AD">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85B0D">
            <w:pPr>
              <w:jc w:val="center"/>
              <w:rPr>
                <w:rFonts w:hint="eastAsia" w:ascii="宋体" w:hAnsi="宋体" w:eastAsia="宋体" w:cs="宋体"/>
                <w:i w:val="0"/>
                <w:iCs w:val="0"/>
                <w:color w:val="000000"/>
                <w:sz w:val="18"/>
                <w:szCs w:val="18"/>
                <w:u w:val="none"/>
                <w:woUserID w:val="2"/>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4C4D2">
            <w:pPr>
              <w:jc w:val="center"/>
              <w:rPr>
                <w:rFonts w:hint="eastAsia" w:ascii="宋体" w:hAnsi="宋体" w:eastAsia="宋体" w:cs="宋体"/>
                <w:i w:val="0"/>
                <w:iCs w:val="0"/>
                <w:color w:val="000000"/>
                <w:sz w:val="18"/>
                <w:szCs w:val="18"/>
                <w:u w:val="none"/>
                <w:woUserID w:val="2"/>
              </w:rPr>
            </w:pPr>
          </w:p>
        </w:tc>
      </w:tr>
      <w:tr w14:paraId="4B29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9DD5C">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19</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D66E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未分配利润（13-14-15-17）</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01C1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21504.13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C670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396.47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EDC3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820.67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8485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1274.34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D619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1759.18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E0D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2276.94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4E00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2827.62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33B3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3412.96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BE58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4036.37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B066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4699.58 </w:t>
            </w:r>
          </w:p>
        </w:tc>
      </w:tr>
      <w:tr w14:paraId="4E1A8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1F212">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20</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B81D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息税前利润（利润总额+利息支出）</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BC1E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9376.51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D0CC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1068.68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9A1F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1061.89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9845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1055.13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1ECE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1048.41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8F39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1041.72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694A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1035.07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158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1028.44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583A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1021.86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9CFA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1015.30 </w:t>
            </w:r>
          </w:p>
        </w:tc>
      </w:tr>
      <w:tr w14:paraId="28CA9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85019">
            <w:pPr>
              <w:keepNext w:val="0"/>
              <w:keepLines w:val="0"/>
              <w:widowControl/>
              <w:suppressLineNumbers w:val="0"/>
              <w:jc w:val="left"/>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21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DF1C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息税折旧摊销前利润（息税前利润+折旧+摊销）</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0E02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14419.84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9267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1629.05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CC15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1622.26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DC52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1615.50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3CE6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1608.78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FAD0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1602.09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11EB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1595.44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777B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1588.82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B877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1582.23 </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4E15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1575.67 </w:t>
            </w:r>
          </w:p>
        </w:tc>
      </w:tr>
    </w:tbl>
    <w:p w14:paraId="68507733">
      <w:pPr>
        <w:rPr>
          <w:rFonts w:hint="eastAsia" w:ascii="宋体" w:hAnsi="宋体" w:eastAsia="宋体" w:cs="宋体"/>
          <w:b/>
          <w:bCs/>
          <w:i w:val="0"/>
          <w:iCs w:val="0"/>
          <w:color w:val="000000"/>
          <w:kern w:val="0"/>
          <w:sz w:val="28"/>
          <w:szCs w:val="28"/>
          <w:u w:val="none"/>
          <w:lang w:val="en-US" w:eastAsia="zh-CN"/>
        </w:rPr>
      </w:pPr>
      <w:r>
        <w:rPr>
          <w:rFonts w:hint="eastAsia" w:ascii="宋体" w:hAnsi="宋体" w:eastAsia="宋体" w:cs="宋体"/>
          <w:b/>
          <w:bCs/>
          <w:i w:val="0"/>
          <w:iCs w:val="0"/>
          <w:color w:val="000000"/>
          <w:kern w:val="0"/>
          <w:sz w:val="28"/>
          <w:szCs w:val="28"/>
          <w:u w:val="none"/>
          <w:lang w:val="en-US" w:eastAsia="zh-CN"/>
        </w:rPr>
        <w:br w:type="page"/>
      </w:r>
    </w:p>
    <w:p w14:paraId="01CEDF21">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宋体" w:hAnsi="宋体" w:eastAsia="宋体" w:cs="宋体"/>
          <w:b/>
          <w:bCs/>
          <w:i w:val="0"/>
          <w:iCs w:val="0"/>
          <w:color w:val="000000"/>
          <w:kern w:val="0"/>
          <w:sz w:val="28"/>
          <w:szCs w:val="28"/>
          <w:u w:val="none"/>
          <w:lang w:val="en-US" w:eastAsia="zh-CN"/>
          <w:woUserID w:val="2"/>
        </w:rPr>
      </w:pPr>
      <w:bookmarkStart w:id="71" w:name="_Toc1543"/>
      <w:bookmarkStart w:id="72" w:name="_Toc30800"/>
      <w:bookmarkStart w:id="73" w:name="_Toc6371"/>
      <w:bookmarkStart w:id="74" w:name="_Toc30687"/>
      <w:bookmarkStart w:id="75" w:name="_Toc4320"/>
      <w:bookmarkStart w:id="76" w:name="_Toc10435"/>
      <w:bookmarkStart w:id="77" w:name="_Toc17924"/>
      <w:r>
        <w:rPr>
          <w:rFonts w:hint="eastAsia" w:ascii="宋体" w:hAnsi="宋体" w:eastAsia="宋体" w:cs="宋体"/>
          <w:b/>
          <w:bCs/>
          <w:i w:val="0"/>
          <w:iCs w:val="0"/>
          <w:color w:val="000000"/>
          <w:kern w:val="0"/>
          <w:sz w:val="28"/>
          <w:szCs w:val="28"/>
          <w:u w:val="none"/>
          <w:lang w:val="en-US" w:eastAsia="zh-CN"/>
        </w:rPr>
        <w:t>附表6：项目投资现金流量表</w:t>
      </w:r>
      <w:bookmarkEnd w:id="71"/>
      <w:bookmarkEnd w:id="72"/>
      <w:bookmarkEnd w:id="73"/>
      <w:bookmarkEnd w:id="74"/>
      <w:bookmarkEnd w:id="75"/>
      <w:bookmarkEnd w:id="76"/>
      <w:bookmarkEnd w:id="77"/>
    </w:p>
    <w:tbl>
      <w:tblPr>
        <w:tblStyle w:val="14"/>
        <w:tblW w:w="1406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83"/>
        <w:gridCol w:w="2907"/>
        <w:gridCol w:w="723"/>
        <w:gridCol w:w="799"/>
        <w:gridCol w:w="203"/>
        <w:gridCol w:w="507"/>
        <w:gridCol w:w="495"/>
        <w:gridCol w:w="326"/>
        <w:gridCol w:w="675"/>
        <w:gridCol w:w="56"/>
        <w:gridCol w:w="946"/>
        <w:gridCol w:w="1002"/>
        <w:gridCol w:w="960"/>
        <w:gridCol w:w="42"/>
        <w:gridCol w:w="690"/>
        <w:gridCol w:w="312"/>
        <w:gridCol w:w="419"/>
        <w:gridCol w:w="583"/>
        <w:gridCol w:w="149"/>
        <w:gridCol w:w="852"/>
        <w:gridCol w:w="1"/>
        <w:gridCol w:w="1036"/>
      </w:tblGrid>
      <w:tr w14:paraId="13BEB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6" w:type="pct"/>
            <w:tcBorders>
              <w:top w:val="nil"/>
              <w:left w:val="nil"/>
              <w:bottom w:val="nil"/>
              <w:right w:val="nil"/>
            </w:tcBorders>
            <w:shd w:val="clear" w:color="auto" w:fill="auto"/>
            <w:noWrap/>
            <w:vAlign w:val="center"/>
          </w:tcPr>
          <w:p w14:paraId="2FFF2FD3">
            <w:pPr>
              <w:jc w:val="center"/>
              <w:rPr>
                <w:rFonts w:hint="eastAsia" w:ascii="宋体" w:hAnsi="宋体" w:eastAsia="宋体" w:cs="宋体"/>
                <w:i w:val="0"/>
                <w:iCs w:val="0"/>
                <w:color w:val="000000"/>
                <w:sz w:val="22"/>
                <w:szCs w:val="22"/>
                <w:u w:val="none"/>
                <w:woUserID w:val="2"/>
              </w:rPr>
            </w:pPr>
          </w:p>
        </w:tc>
        <w:tc>
          <w:tcPr>
            <w:tcW w:w="1033" w:type="pct"/>
            <w:tcBorders>
              <w:top w:val="nil"/>
              <w:left w:val="nil"/>
              <w:bottom w:val="nil"/>
              <w:right w:val="nil"/>
            </w:tcBorders>
            <w:shd w:val="clear" w:color="auto" w:fill="auto"/>
            <w:noWrap/>
            <w:vAlign w:val="center"/>
          </w:tcPr>
          <w:p w14:paraId="12E3BC87">
            <w:pPr>
              <w:jc w:val="center"/>
              <w:rPr>
                <w:rFonts w:hint="eastAsia" w:ascii="宋体" w:hAnsi="宋体" w:eastAsia="宋体" w:cs="宋体"/>
                <w:i w:val="0"/>
                <w:iCs w:val="0"/>
                <w:color w:val="000000"/>
                <w:sz w:val="22"/>
                <w:szCs w:val="22"/>
                <w:u w:val="none"/>
                <w:woUserID w:val="2"/>
              </w:rPr>
            </w:pPr>
          </w:p>
        </w:tc>
        <w:tc>
          <w:tcPr>
            <w:tcW w:w="257" w:type="pct"/>
            <w:tcBorders>
              <w:top w:val="nil"/>
              <w:left w:val="nil"/>
              <w:bottom w:val="nil"/>
              <w:right w:val="nil"/>
            </w:tcBorders>
            <w:shd w:val="clear" w:color="auto" w:fill="auto"/>
            <w:noWrap/>
            <w:vAlign w:val="center"/>
          </w:tcPr>
          <w:p w14:paraId="07915DC9">
            <w:pPr>
              <w:jc w:val="center"/>
              <w:rPr>
                <w:rFonts w:hint="eastAsia" w:ascii="宋体" w:hAnsi="宋体" w:eastAsia="宋体" w:cs="宋体"/>
                <w:i w:val="0"/>
                <w:iCs w:val="0"/>
                <w:color w:val="000000"/>
                <w:sz w:val="22"/>
                <w:szCs w:val="22"/>
                <w:u w:val="none"/>
                <w:woUserID w:val="2"/>
              </w:rPr>
            </w:pPr>
          </w:p>
        </w:tc>
        <w:tc>
          <w:tcPr>
            <w:tcW w:w="284" w:type="pct"/>
            <w:tcBorders>
              <w:top w:val="nil"/>
              <w:left w:val="nil"/>
              <w:bottom w:val="nil"/>
              <w:right w:val="nil"/>
            </w:tcBorders>
            <w:shd w:val="clear" w:color="auto" w:fill="auto"/>
            <w:noWrap/>
            <w:vAlign w:val="center"/>
          </w:tcPr>
          <w:p w14:paraId="7286C4D4">
            <w:pPr>
              <w:jc w:val="center"/>
              <w:rPr>
                <w:rFonts w:hint="eastAsia" w:ascii="宋体" w:hAnsi="宋体" w:eastAsia="宋体" w:cs="宋体"/>
                <w:i w:val="0"/>
                <w:iCs w:val="0"/>
                <w:color w:val="000000"/>
                <w:sz w:val="22"/>
                <w:szCs w:val="22"/>
                <w:u w:val="none"/>
                <w:woUserID w:val="2"/>
              </w:rPr>
            </w:pPr>
          </w:p>
        </w:tc>
        <w:tc>
          <w:tcPr>
            <w:tcW w:w="252" w:type="pct"/>
            <w:gridSpan w:val="2"/>
            <w:tcBorders>
              <w:top w:val="nil"/>
              <w:left w:val="nil"/>
              <w:bottom w:val="nil"/>
              <w:right w:val="nil"/>
            </w:tcBorders>
            <w:shd w:val="clear" w:color="auto" w:fill="auto"/>
            <w:noWrap/>
            <w:vAlign w:val="center"/>
          </w:tcPr>
          <w:p w14:paraId="4F563573">
            <w:pPr>
              <w:jc w:val="center"/>
              <w:rPr>
                <w:rFonts w:hint="eastAsia" w:ascii="宋体" w:hAnsi="宋体" w:eastAsia="宋体" w:cs="宋体"/>
                <w:i w:val="0"/>
                <w:iCs w:val="0"/>
                <w:color w:val="000000"/>
                <w:sz w:val="22"/>
                <w:szCs w:val="22"/>
                <w:u w:val="none"/>
                <w:woUserID w:val="2"/>
              </w:rPr>
            </w:pPr>
          </w:p>
        </w:tc>
        <w:tc>
          <w:tcPr>
            <w:tcW w:w="291" w:type="pct"/>
            <w:gridSpan w:val="2"/>
            <w:tcBorders>
              <w:top w:val="nil"/>
              <w:left w:val="nil"/>
              <w:bottom w:val="nil"/>
              <w:right w:val="nil"/>
            </w:tcBorders>
            <w:shd w:val="clear" w:color="auto" w:fill="auto"/>
            <w:noWrap/>
            <w:vAlign w:val="center"/>
          </w:tcPr>
          <w:p w14:paraId="0A8A4B62">
            <w:pPr>
              <w:jc w:val="center"/>
              <w:rPr>
                <w:rFonts w:hint="eastAsia" w:ascii="宋体" w:hAnsi="宋体" w:eastAsia="宋体" w:cs="宋体"/>
                <w:i w:val="0"/>
                <w:iCs w:val="0"/>
                <w:color w:val="000000"/>
                <w:sz w:val="22"/>
                <w:szCs w:val="22"/>
                <w:u w:val="none"/>
                <w:woUserID w:val="2"/>
              </w:rPr>
            </w:pPr>
          </w:p>
        </w:tc>
        <w:tc>
          <w:tcPr>
            <w:tcW w:w="259" w:type="pct"/>
            <w:gridSpan w:val="2"/>
            <w:tcBorders>
              <w:top w:val="nil"/>
              <w:left w:val="nil"/>
              <w:bottom w:val="nil"/>
              <w:right w:val="nil"/>
            </w:tcBorders>
            <w:shd w:val="clear" w:color="auto" w:fill="auto"/>
            <w:noWrap/>
            <w:vAlign w:val="center"/>
          </w:tcPr>
          <w:p w14:paraId="0106A546">
            <w:pPr>
              <w:jc w:val="center"/>
              <w:rPr>
                <w:rFonts w:hint="eastAsia" w:ascii="宋体" w:hAnsi="宋体" w:eastAsia="宋体" w:cs="宋体"/>
                <w:i w:val="0"/>
                <w:iCs w:val="0"/>
                <w:color w:val="000000"/>
                <w:sz w:val="22"/>
                <w:szCs w:val="22"/>
                <w:u w:val="none"/>
                <w:woUserID w:val="2"/>
              </w:rPr>
            </w:pPr>
          </w:p>
        </w:tc>
        <w:tc>
          <w:tcPr>
            <w:tcW w:w="1033" w:type="pct"/>
            <w:gridSpan w:val="3"/>
            <w:tcBorders>
              <w:top w:val="nil"/>
              <w:left w:val="nil"/>
              <w:bottom w:val="nil"/>
              <w:right w:val="nil"/>
            </w:tcBorders>
            <w:shd w:val="clear" w:color="auto" w:fill="auto"/>
            <w:noWrap/>
            <w:vAlign w:val="center"/>
          </w:tcPr>
          <w:p w14:paraId="703406B0">
            <w:pPr>
              <w:jc w:val="center"/>
              <w:rPr>
                <w:rFonts w:hint="eastAsia" w:ascii="宋体" w:hAnsi="宋体" w:eastAsia="宋体" w:cs="宋体"/>
                <w:i w:val="0"/>
                <w:iCs w:val="0"/>
                <w:color w:val="000000"/>
                <w:sz w:val="22"/>
                <w:szCs w:val="22"/>
                <w:u w:val="none"/>
                <w:woUserID w:val="2"/>
              </w:rPr>
            </w:pPr>
          </w:p>
        </w:tc>
        <w:tc>
          <w:tcPr>
            <w:tcW w:w="260" w:type="pct"/>
            <w:gridSpan w:val="2"/>
            <w:tcBorders>
              <w:top w:val="nil"/>
              <w:left w:val="nil"/>
              <w:bottom w:val="nil"/>
              <w:right w:val="nil"/>
            </w:tcBorders>
            <w:shd w:val="clear" w:color="auto" w:fill="auto"/>
            <w:noWrap/>
            <w:vAlign w:val="center"/>
          </w:tcPr>
          <w:p w14:paraId="13081DFA">
            <w:pPr>
              <w:jc w:val="center"/>
              <w:rPr>
                <w:rFonts w:hint="eastAsia" w:ascii="宋体" w:hAnsi="宋体" w:eastAsia="宋体" w:cs="宋体"/>
                <w:i w:val="0"/>
                <w:iCs w:val="0"/>
                <w:color w:val="000000"/>
                <w:sz w:val="22"/>
                <w:szCs w:val="22"/>
                <w:u w:val="none"/>
                <w:woUserID w:val="2"/>
              </w:rPr>
            </w:pPr>
          </w:p>
        </w:tc>
        <w:tc>
          <w:tcPr>
            <w:tcW w:w="259" w:type="pct"/>
            <w:gridSpan w:val="2"/>
            <w:tcBorders>
              <w:top w:val="nil"/>
              <w:left w:val="nil"/>
              <w:bottom w:val="nil"/>
              <w:right w:val="nil"/>
            </w:tcBorders>
            <w:shd w:val="clear" w:color="auto" w:fill="auto"/>
            <w:noWrap/>
            <w:vAlign w:val="center"/>
          </w:tcPr>
          <w:p w14:paraId="4BACB671">
            <w:pPr>
              <w:jc w:val="center"/>
              <w:rPr>
                <w:rFonts w:hint="eastAsia" w:ascii="宋体" w:hAnsi="宋体" w:eastAsia="宋体" w:cs="宋体"/>
                <w:i w:val="0"/>
                <w:iCs w:val="0"/>
                <w:color w:val="000000"/>
                <w:sz w:val="22"/>
                <w:szCs w:val="22"/>
                <w:u w:val="none"/>
                <w:woUserID w:val="2"/>
              </w:rPr>
            </w:pPr>
          </w:p>
        </w:tc>
        <w:tc>
          <w:tcPr>
            <w:tcW w:w="260" w:type="pct"/>
            <w:gridSpan w:val="2"/>
            <w:tcBorders>
              <w:top w:val="nil"/>
              <w:left w:val="nil"/>
              <w:bottom w:val="nil"/>
              <w:right w:val="nil"/>
            </w:tcBorders>
            <w:shd w:val="clear" w:color="auto" w:fill="auto"/>
            <w:noWrap/>
            <w:vAlign w:val="center"/>
          </w:tcPr>
          <w:p w14:paraId="00AAC5EA">
            <w:pPr>
              <w:jc w:val="center"/>
              <w:rPr>
                <w:rFonts w:hint="eastAsia" w:ascii="宋体" w:hAnsi="宋体" w:eastAsia="宋体" w:cs="宋体"/>
                <w:i w:val="0"/>
                <w:iCs w:val="0"/>
                <w:color w:val="000000"/>
                <w:sz w:val="22"/>
                <w:szCs w:val="22"/>
                <w:u w:val="none"/>
                <w:woUserID w:val="2"/>
              </w:rPr>
            </w:pPr>
          </w:p>
        </w:tc>
        <w:tc>
          <w:tcPr>
            <w:tcW w:w="302" w:type="pct"/>
            <w:tcBorders>
              <w:top w:val="nil"/>
              <w:left w:val="nil"/>
              <w:bottom w:val="nil"/>
              <w:right w:val="nil"/>
            </w:tcBorders>
            <w:shd w:val="clear" w:color="auto" w:fill="auto"/>
            <w:noWrap/>
            <w:vAlign w:val="center"/>
          </w:tcPr>
          <w:p w14:paraId="2A94DDD5">
            <w:pPr>
              <w:jc w:val="center"/>
              <w:rPr>
                <w:rFonts w:hint="eastAsia" w:ascii="宋体" w:hAnsi="宋体" w:eastAsia="宋体" w:cs="宋体"/>
                <w:i w:val="0"/>
                <w:iCs w:val="0"/>
                <w:color w:val="000000"/>
                <w:sz w:val="22"/>
                <w:szCs w:val="22"/>
                <w:u w:val="none"/>
                <w:woUserID w:val="2"/>
              </w:rPr>
            </w:pPr>
          </w:p>
        </w:tc>
        <w:tc>
          <w:tcPr>
            <w:tcW w:w="368" w:type="pct"/>
            <w:gridSpan w:val="2"/>
            <w:tcBorders>
              <w:top w:val="nil"/>
              <w:left w:val="nil"/>
              <w:bottom w:val="nil"/>
              <w:right w:val="nil"/>
            </w:tcBorders>
            <w:shd w:val="clear" w:color="auto" w:fill="auto"/>
            <w:noWrap/>
            <w:vAlign w:val="center"/>
          </w:tcPr>
          <w:p w14:paraId="5A782672">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单位：万元</w:t>
            </w:r>
          </w:p>
        </w:tc>
      </w:tr>
      <w:tr w14:paraId="5E9ED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3071F2">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序号</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42CBF">
            <w:pPr>
              <w:jc w:val="center"/>
              <w:rPr>
                <w:rFonts w:hint="eastAsia" w:ascii="宋体" w:hAnsi="宋体" w:eastAsia="宋体" w:cs="宋体"/>
                <w:i w:val="0"/>
                <w:iCs w:val="0"/>
                <w:color w:val="000000"/>
                <w:sz w:val="16"/>
                <w:szCs w:val="16"/>
                <w:u w:val="none"/>
                <w:woUserID w:val="2"/>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022B9">
            <w:pPr>
              <w:jc w:val="center"/>
              <w:rPr>
                <w:rFonts w:hint="eastAsia" w:ascii="宋体" w:hAnsi="宋体" w:eastAsia="宋体" w:cs="宋体"/>
                <w:i w:val="0"/>
                <w:iCs w:val="0"/>
                <w:color w:val="000000"/>
                <w:sz w:val="16"/>
                <w:szCs w:val="16"/>
                <w:u w:val="none"/>
                <w:woUserID w:val="2"/>
              </w:rPr>
            </w:pPr>
          </w:p>
        </w:tc>
        <w:tc>
          <w:tcPr>
            <w:tcW w:w="3573"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282E871">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计算期</w:t>
            </w:r>
          </w:p>
        </w:tc>
      </w:tr>
      <w:tr w14:paraId="42174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AA741">
            <w:pPr>
              <w:jc w:val="center"/>
              <w:rPr>
                <w:rFonts w:hint="eastAsia" w:ascii="宋体" w:hAnsi="宋体" w:eastAsia="宋体" w:cs="宋体"/>
                <w:i w:val="0"/>
                <w:iCs w:val="0"/>
                <w:color w:val="000000"/>
                <w:sz w:val="16"/>
                <w:szCs w:val="16"/>
                <w:u w:val="none"/>
                <w:woUserID w:val="2"/>
              </w:rPr>
            </w:pP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7AA9A">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项</w:t>
            </w:r>
            <w:r>
              <w:rPr>
                <w:rFonts w:ascii="Arial" w:hAnsi="Arial" w:eastAsia="宋体" w:cs="Arial"/>
                <w:i w:val="0"/>
                <w:iCs w:val="0"/>
                <w:snapToGrid w:val="0"/>
                <w:color w:val="000000"/>
                <w:kern w:val="0"/>
                <w:sz w:val="16"/>
                <w:szCs w:val="16"/>
                <w:u w:val="none"/>
                <w:lang w:val="en-US" w:eastAsia="zh-CN" w:bidi="ar"/>
                <w:woUserID w:val="2"/>
              </w:rPr>
              <w:t xml:space="preserve"> </w:t>
            </w:r>
            <w:r>
              <w:rPr>
                <w:rFonts w:hint="eastAsia" w:ascii="宋体" w:hAnsi="宋体" w:eastAsia="宋体" w:cs="宋体"/>
                <w:i w:val="0"/>
                <w:iCs w:val="0"/>
                <w:snapToGrid w:val="0"/>
                <w:color w:val="000000"/>
                <w:kern w:val="0"/>
                <w:sz w:val="16"/>
                <w:szCs w:val="16"/>
                <w:u w:val="none"/>
                <w:lang w:val="en-US" w:eastAsia="zh-CN" w:bidi="ar"/>
                <w:woUserID w:val="2"/>
              </w:rPr>
              <w:t>目</w:t>
            </w:r>
          </w:p>
        </w:tc>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E6BD8">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合计</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2578A2">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1</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78D0A">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2</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A06E99">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3</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9F591">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4</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F0C9B">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5</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02AC4">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6</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599582">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7</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B0F35B">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8</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48A47C">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9</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3C09">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10</w:t>
            </w:r>
          </w:p>
        </w:tc>
      </w:tr>
      <w:tr w14:paraId="7939B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8FC79">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1</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1E9E8">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现金流入</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05D45">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26984.98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B99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1144.08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72A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2153.92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3FE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2145.54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E4A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2137.20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8D83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2128.89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0AAF1">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2120.63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2F86E">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2112.42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657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2104.24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ECD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2096.10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39DB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8841.95 </w:t>
            </w:r>
          </w:p>
        </w:tc>
      </w:tr>
      <w:tr w14:paraId="151C2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C2A7A">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1.1</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CC757">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营业收入</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9A4D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19086.95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B9ED9">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D1E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2153.92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30DE">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2145.54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6D2F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2137.20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6C3CF">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2128.89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5AF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2120.63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005D">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2112.42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2E285">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2104.24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80E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2096.10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69D4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2088.01 </w:t>
            </w:r>
          </w:p>
        </w:tc>
      </w:tr>
      <w:tr w14:paraId="477D9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5B891">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1.2</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C630">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留抵退税</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769A">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86B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1144.08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075F3">
            <w:pPr>
              <w:jc w:val="center"/>
              <w:rPr>
                <w:rFonts w:hint="eastAsia" w:ascii="宋体" w:hAnsi="宋体" w:eastAsia="宋体" w:cs="宋体"/>
                <w:i w:val="0"/>
                <w:iCs w:val="0"/>
                <w:color w:val="000000"/>
                <w:sz w:val="16"/>
                <w:szCs w:val="16"/>
                <w:u w:val="none"/>
                <w:woUserID w:val="2"/>
              </w:rPr>
            </w:pP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58CDF">
            <w:pPr>
              <w:jc w:val="center"/>
              <w:rPr>
                <w:rFonts w:hint="eastAsia" w:ascii="宋体" w:hAnsi="宋体" w:eastAsia="宋体" w:cs="宋体"/>
                <w:i w:val="0"/>
                <w:iCs w:val="0"/>
                <w:color w:val="FF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D89D">
            <w:pPr>
              <w:jc w:val="center"/>
              <w:rPr>
                <w:rFonts w:hint="eastAsia" w:ascii="宋体" w:hAnsi="宋体" w:eastAsia="宋体" w:cs="宋体"/>
                <w:i w:val="0"/>
                <w:iCs w:val="0"/>
                <w:color w:val="000000"/>
                <w:sz w:val="16"/>
                <w:szCs w:val="16"/>
                <w:u w:val="none"/>
                <w:woUserID w:val="2"/>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3085B">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802D">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235C">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1EC0">
            <w:pPr>
              <w:jc w:val="center"/>
              <w:rPr>
                <w:rFonts w:hint="eastAsia" w:ascii="宋体" w:hAnsi="宋体" w:eastAsia="宋体" w:cs="宋体"/>
                <w:i w:val="0"/>
                <w:iCs w:val="0"/>
                <w:color w:val="000000"/>
                <w:sz w:val="16"/>
                <w:szCs w:val="16"/>
                <w:u w:val="none"/>
                <w:woUserID w:val="2"/>
              </w:rPr>
            </w:pP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D7A6">
            <w:pPr>
              <w:jc w:val="center"/>
              <w:rPr>
                <w:rFonts w:hint="eastAsia" w:ascii="宋体" w:hAnsi="宋体" w:eastAsia="宋体" w:cs="宋体"/>
                <w:i w:val="0"/>
                <w:iCs w:val="0"/>
                <w:color w:val="000000"/>
                <w:sz w:val="16"/>
                <w:szCs w:val="16"/>
                <w:u w:val="none"/>
                <w:woUserID w:val="2"/>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5F136">
            <w:pPr>
              <w:jc w:val="center"/>
              <w:rPr>
                <w:rFonts w:hint="eastAsia" w:ascii="宋体" w:hAnsi="宋体" w:eastAsia="宋体" w:cs="宋体"/>
                <w:i w:val="0"/>
                <w:iCs w:val="0"/>
                <w:color w:val="000000"/>
                <w:sz w:val="16"/>
                <w:szCs w:val="16"/>
                <w:u w:val="none"/>
                <w:woUserID w:val="2"/>
              </w:rPr>
            </w:pPr>
          </w:p>
        </w:tc>
      </w:tr>
      <w:tr w14:paraId="0252D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A275">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1.3</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5AC58">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回收固定资产余值</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2DA2">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6753.94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47019">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A1CD">
            <w:pPr>
              <w:jc w:val="center"/>
              <w:rPr>
                <w:rFonts w:hint="eastAsia" w:ascii="宋体" w:hAnsi="宋体" w:eastAsia="宋体" w:cs="宋体"/>
                <w:i w:val="0"/>
                <w:iCs w:val="0"/>
                <w:color w:val="000000"/>
                <w:sz w:val="16"/>
                <w:szCs w:val="16"/>
                <w:u w:val="none"/>
                <w:woUserID w:val="2"/>
              </w:rPr>
            </w:pP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B389">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9F52">
            <w:pPr>
              <w:jc w:val="center"/>
              <w:rPr>
                <w:rFonts w:hint="eastAsia" w:ascii="宋体" w:hAnsi="宋体" w:eastAsia="宋体" w:cs="宋体"/>
                <w:i w:val="0"/>
                <w:iCs w:val="0"/>
                <w:color w:val="000000"/>
                <w:sz w:val="16"/>
                <w:szCs w:val="16"/>
                <w:u w:val="none"/>
                <w:woUserID w:val="2"/>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C03C6">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43913">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C833">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75EA2">
            <w:pPr>
              <w:jc w:val="center"/>
              <w:rPr>
                <w:rFonts w:hint="eastAsia" w:ascii="宋体" w:hAnsi="宋体" w:eastAsia="宋体" w:cs="宋体"/>
                <w:i w:val="0"/>
                <w:iCs w:val="0"/>
                <w:color w:val="000000"/>
                <w:sz w:val="16"/>
                <w:szCs w:val="16"/>
                <w:u w:val="none"/>
                <w:woUserID w:val="2"/>
              </w:rPr>
            </w:pP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2033F">
            <w:pPr>
              <w:jc w:val="center"/>
              <w:rPr>
                <w:rFonts w:hint="eastAsia" w:ascii="宋体" w:hAnsi="宋体" w:eastAsia="宋体" w:cs="宋体"/>
                <w:i w:val="0"/>
                <w:iCs w:val="0"/>
                <w:color w:val="000000"/>
                <w:sz w:val="16"/>
                <w:szCs w:val="16"/>
                <w:u w:val="none"/>
                <w:woUserID w:val="2"/>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E493D">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6753.94 </w:t>
            </w:r>
          </w:p>
        </w:tc>
      </w:tr>
      <w:tr w14:paraId="3287A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09B46">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1.4</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2EF11">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回收流动资金</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5EE6E">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0609A">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01AF0">
            <w:pPr>
              <w:jc w:val="center"/>
              <w:rPr>
                <w:rFonts w:hint="eastAsia" w:ascii="宋体" w:hAnsi="宋体" w:eastAsia="宋体" w:cs="宋体"/>
                <w:i w:val="0"/>
                <w:iCs w:val="0"/>
                <w:color w:val="000000"/>
                <w:sz w:val="16"/>
                <w:szCs w:val="16"/>
                <w:u w:val="none"/>
                <w:woUserID w:val="2"/>
              </w:rPr>
            </w:pP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3BCE8">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1163">
            <w:pPr>
              <w:jc w:val="center"/>
              <w:rPr>
                <w:rFonts w:hint="eastAsia" w:ascii="宋体" w:hAnsi="宋体" w:eastAsia="宋体" w:cs="宋体"/>
                <w:i w:val="0"/>
                <w:iCs w:val="0"/>
                <w:color w:val="000000"/>
                <w:sz w:val="16"/>
                <w:szCs w:val="16"/>
                <w:u w:val="none"/>
                <w:woUserID w:val="2"/>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A9F8D">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8068C">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0082">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69EDF">
            <w:pPr>
              <w:jc w:val="center"/>
              <w:rPr>
                <w:rFonts w:hint="eastAsia" w:ascii="宋体" w:hAnsi="宋体" w:eastAsia="宋体" w:cs="宋体"/>
                <w:i w:val="0"/>
                <w:iCs w:val="0"/>
                <w:color w:val="000000"/>
                <w:sz w:val="16"/>
                <w:szCs w:val="16"/>
                <w:u w:val="none"/>
                <w:woUserID w:val="2"/>
              </w:rPr>
            </w:pP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B170">
            <w:pPr>
              <w:jc w:val="center"/>
              <w:rPr>
                <w:rFonts w:hint="eastAsia" w:ascii="宋体" w:hAnsi="宋体" w:eastAsia="宋体" w:cs="宋体"/>
                <w:i w:val="0"/>
                <w:iCs w:val="0"/>
                <w:color w:val="000000"/>
                <w:sz w:val="16"/>
                <w:szCs w:val="16"/>
                <w:u w:val="none"/>
                <w:woUserID w:val="2"/>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348A">
            <w:pPr>
              <w:jc w:val="center"/>
              <w:rPr>
                <w:rFonts w:hint="eastAsia" w:ascii="宋体" w:hAnsi="宋体" w:eastAsia="宋体" w:cs="宋体"/>
                <w:i w:val="0"/>
                <w:iCs w:val="0"/>
                <w:color w:val="000000"/>
                <w:sz w:val="16"/>
                <w:szCs w:val="16"/>
                <w:u w:val="none"/>
                <w:woUserID w:val="2"/>
              </w:rPr>
            </w:pPr>
          </w:p>
        </w:tc>
      </w:tr>
      <w:tr w14:paraId="2EE7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58214">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2</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A6B74">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现金流出</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DCE4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17379.15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A572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12712.04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ACBBE">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524.87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2351">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523.28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853B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521.69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1A0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520.11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98F1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518.54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8E6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516.98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1A1F">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515.42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090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513.88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178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512.34 </w:t>
            </w:r>
          </w:p>
        </w:tc>
      </w:tr>
      <w:tr w14:paraId="26D78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DD5B5">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2.1</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E5F41">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建设投资</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35C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12712.04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EBC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12712.04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1140">
            <w:pPr>
              <w:jc w:val="center"/>
              <w:rPr>
                <w:rFonts w:hint="eastAsia" w:ascii="宋体" w:hAnsi="宋体" w:eastAsia="宋体" w:cs="宋体"/>
                <w:i w:val="0"/>
                <w:iCs w:val="0"/>
                <w:color w:val="000000"/>
                <w:sz w:val="16"/>
                <w:szCs w:val="16"/>
                <w:u w:val="none"/>
                <w:woUserID w:val="2"/>
              </w:rPr>
            </w:pP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8C2E">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9E25">
            <w:pPr>
              <w:jc w:val="center"/>
              <w:rPr>
                <w:rFonts w:hint="eastAsia" w:ascii="宋体" w:hAnsi="宋体" w:eastAsia="宋体" w:cs="宋体"/>
                <w:i w:val="0"/>
                <w:iCs w:val="0"/>
                <w:color w:val="000000"/>
                <w:sz w:val="16"/>
                <w:szCs w:val="16"/>
                <w:u w:val="none"/>
                <w:woUserID w:val="2"/>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C3EC">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BD50A">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AE94">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52F85">
            <w:pPr>
              <w:jc w:val="center"/>
              <w:rPr>
                <w:rFonts w:hint="eastAsia" w:ascii="宋体" w:hAnsi="宋体" w:eastAsia="宋体" w:cs="宋体"/>
                <w:i w:val="0"/>
                <w:iCs w:val="0"/>
                <w:color w:val="000000"/>
                <w:sz w:val="16"/>
                <w:szCs w:val="16"/>
                <w:u w:val="none"/>
                <w:woUserID w:val="2"/>
              </w:rPr>
            </w:pP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28A8D">
            <w:pPr>
              <w:jc w:val="center"/>
              <w:rPr>
                <w:rFonts w:hint="eastAsia" w:ascii="宋体" w:hAnsi="宋体" w:eastAsia="宋体" w:cs="宋体"/>
                <w:i w:val="0"/>
                <w:iCs w:val="0"/>
                <w:color w:val="000000"/>
                <w:sz w:val="16"/>
                <w:szCs w:val="16"/>
                <w:u w:val="none"/>
                <w:woUserID w:val="2"/>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8206">
            <w:pPr>
              <w:jc w:val="center"/>
              <w:rPr>
                <w:rFonts w:hint="eastAsia" w:ascii="宋体" w:hAnsi="宋体" w:eastAsia="宋体" w:cs="宋体"/>
                <w:i w:val="0"/>
                <w:iCs w:val="0"/>
                <w:color w:val="000000"/>
                <w:sz w:val="16"/>
                <w:szCs w:val="16"/>
                <w:u w:val="none"/>
                <w:woUserID w:val="2"/>
              </w:rPr>
            </w:pPr>
          </w:p>
        </w:tc>
      </w:tr>
      <w:tr w14:paraId="6B555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1FD2F">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2.2</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71C9">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流动资金</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4BE">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2B8A">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34D2D">
            <w:pPr>
              <w:jc w:val="center"/>
              <w:rPr>
                <w:rFonts w:hint="eastAsia" w:ascii="宋体" w:hAnsi="宋体" w:eastAsia="宋体" w:cs="宋体"/>
                <w:i w:val="0"/>
                <w:iCs w:val="0"/>
                <w:color w:val="000000"/>
                <w:sz w:val="16"/>
                <w:szCs w:val="16"/>
                <w:u w:val="none"/>
                <w:woUserID w:val="2"/>
              </w:rPr>
            </w:pP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51AA8">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EA3A">
            <w:pPr>
              <w:jc w:val="center"/>
              <w:rPr>
                <w:rFonts w:hint="eastAsia" w:ascii="宋体" w:hAnsi="宋体" w:eastAsia="宋体" w:cs="宋体"/>
                <w:i w:val="0"/>
                <w:iCs w:val="0"/>
                <w:color w:val="000000"/>
                <w:sz w:val="16"/>
                <w:szCs w:val="16"/>
                <w:u w:val="none"/>
                <w:woUserID w:val="2"/>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2AE6D">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F29F1">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B3C9C">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E8B">
            <w:pPr>
              <w:jc w:val="center"/>
              <w:rPr>
                <w:rFonts w:hint="eastAsia" w:ascii="宋体" w:hAnsi="宋体" w:eastAsia="宋体" w:cs="宋体"/>
                <w:i w:val="0"/>
                <w:iCs w:val="0"/>
                <w:color w:val="000000"/>
                <w:sz w:val="16"/>
                <w:szCs w:val="16"/>
                <w:u w:val="none"/>
                <w:woUserID w:val="2"/>
              </w:rPr>
            </w:pP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33CC1">
            <w:pPr>
              <w:jc w:val="center"/>
              <w:rPr>
                <w:rFonts w:hint="eastAsia" w:ascii="宋体" w:hAnsi="宋体" w:eastAsia="宋体" w:cs="宋体"/>
                <w:i w:val="0"/>
                <w:iCs w:val="0"/>
                <w:color w:val="000000"/>
                <w:sz w:val="16"/>
                <w:szCs w:val="16"/>
                <w:u w:val="none"/>
                <w:woUserID w:val="2"/>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F9005">
            <w:pPr>
              <w:jc w:val="center"/>
              <w:rPr>
                <w:rFonts w:hint="eastAsia" w:ascii="宋体" w:hAnsi="宋体" w:eastAsia="宋体" w:cs="宋体"/>
                <w:i w:val="0"/>
                <w:iCs w:val="0"/>
                <w:color w:val="000000"/>
                <w:sz w:val="16"/>
                <w:szCs w:val="16"/>
                <w:u w:val="none"/>
                <w:woUserID w:val="2"/>
              </w:rPr>
            </w:pPr>
          </w:p>
        </w:tc>
      </w:tr>
      <w:tr w14:paraId="7DAE8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7E2EB">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2.3</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479B6">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经营成本</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6CA1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2142.35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54A8">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F5E6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239.70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E033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239.28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27F7">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238.86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D112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238.44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6D906">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238.03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DCB2">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237.62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2A5F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237.21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6E4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236.81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E21F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236.40 </w:t>
            </w:r>
          </w:p>
        </w:tc>
      </w:tr>
      <w:tr w14:paraId="256BF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63D29">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2.4</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86882">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营业税金及附加</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B3F1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229.52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C75B">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701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25.92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40A2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25.82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D72D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25.71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6EE67">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25.61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17EE2">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25.50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6C50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25.40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DA4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25.29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CED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25.19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3BDF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25.09 </w:t>
            </w:r>
          </w:p>
        </w:tc>
      </w:tr>
      <w:tr w14:paraId="236F9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2A482">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2.5</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BC5F3">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增值税</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588D">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2295.24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02999">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DC19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259.25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23D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258.18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272C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257.12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1D56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256.06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43CD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255.01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2D5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253.96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1BD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252.92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AA2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251.88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4FB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250.85 </w:t>
            </w:r>
          </w:p>
        </w:tc>
      </w:tr>
      <w:tr w14:paraId="442EA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A941B">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2.6</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67F68">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维持运营投资</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6EBF3">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F0F29">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0E00">
            <w:pPr>
              <w:jc w:val="center"/>
              <w:rPr>
                <w:rFonts w:hint="eastAsia" w:ascii="宋体" w:hAnsi="宋体" w:eastAsia="宋体" w:cs="宋体"/>
                <w:i w:val="0"/>
                <w:iCs w:val="0"/>
                <w:color w:val="000000"/>
                <w:sz w:val="16"/>
                <w:szCs w:val="16"/>
                <w:u w:val="none"/>
                <w:woUserID w:val="2"/>
              </w:rPr>
            </w:pP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2EB2">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85FF5">
            <w:pPr>
              <w:jc w:val="center"/>
              <w:rPr>
                <w:rFonts w:hint="eastAsia" w:ascii="宋体" w:hAnsi="宋体" w:eastAsia="宋体" w:cs="宋体"/>
                <w:i w:val="0"/>
                <w:iCs w:val="0"/>
                <w:color w:val="000000"/>
                <w:sz w:val="16"/>
                <w:szCs w:val="16"/>
                <w:u w:val="none"/>
                <w:woUserID w:val="2"/>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98DEC">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51A6">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F220A">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0376">
            <w:pPr>
              <w:jc w:val="center"/>
              <w:rPr>
                <w:rFonts w:hint="eastAsia" w:ascii="宋体" w:hAnsi="宋体" w:eastAsia="宋体" w:cs="宋体"/>
                <w:i w:val="0"/>
                <w:iCs w:val="0"/>
                <w:color w:val="000000"/>
                <w:sz w:val="16"/>
                <w:szCs w:val="16"/>
                <w:u w:val="none"/>
                <w:woUserID w:val="2"/>
              </w:rPr>
            </w:pP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E989A">
            <w:pPr>
              <w:jc w:val="center"/>
              <w:rPr>
                <w:rFonts w:hint="eastAsia" w:ascii="宋体" w:hAnsi="宋体" w:eastAsia="宋体" w:cs="宋体"/>
                <w:i w:val="0"/>
                <w:iCs w:val="0"/>
                <w:color w:val="000000"/>
                <w:sz w:val="16"/>
                <w:szCs w:val="16"/>
                <w:u w:val="none"/>
                <w:woUserID w:val="2"/>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4CBD">
            <w:pPr>
              <w:jc w:val="center"/>
              <w:rPr>
                <w:rFonts w:hint="eastAsia" w:ascii="宋体" w:hAnsi="宋体" w:eastAsia="宋体" w:cs="宋体"/>
                <w:i w:val="0"/>
                <w:iCs w:val="0"/>
                <w:color w:val="000000"/>
                <w:sz w:val="16"/>
                <w:szCs w:val="16"/>
                <w:u w:val="none"/>
                <w:woUserID w:val="2"/>
              </w:rPr>
            </w:pPr>
          </w:p>
        </w:tc>
      </w:tr>
      <w:tr w14:paraId="46ABE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2A01D">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3</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17374">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所得税前净现金流量（1-2）</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E0E4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9605.83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96B55">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-11567.96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60D9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1629.05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3F4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1622.26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8626D">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1615.50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BF4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1608.78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C461">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1602.09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C7915">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1595.44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AE6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1588.82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F9C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1582.23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4E2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8329.61 </w:t>
            </w:r>
          </w:p>
        </w:tc>
      </w:tr>
      <w:tr w14:paraId="17EA5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D7D8A">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4</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4F0E6">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累计所得税前净现金流量</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6C551">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56F8E">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-11567.96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EAC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-9938.90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FA7D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-8316.64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8966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-6701.14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148F">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-5092.36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0276">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-3490.26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A3B9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-1894.82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CB11">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-306.01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BEE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1276.22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910E">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9605.83 </w:t>
            </w:r>
          </w:p>
        </w:tc>
      </w:tr>
      <w:tr w14:paraId="773A1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02F38">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5</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1E451">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所得税前净现金流量现值</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2DFC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3989.77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287D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-11017.10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DDF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1477.60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BF9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1401.37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0268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1329.08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E40E">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1260.52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BB5F">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1195.51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2586">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1133.85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032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1075.37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2E15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1019.92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387E">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5113.66 </w:t>
            </w:r>
          </w:p>
        </w:tc>
      </w:tr>
      <w:tr w14:paraId="43991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D3FB4">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6</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DDBFA">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累计所得税前净现金流量现值</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9183">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CB66">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-11017.10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281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-9539.50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6E67">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-8138.13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E666">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-6809.05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5BF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-5548.53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5DD7F">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-4353.02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926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-3219.18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A79C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-2143.80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F90F">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-1123.89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217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3989.77 </w:t>
            </w:r>
          </w:p>
        </w:tc>
      </w:tr>
      <w:tr w14:paraId="522F9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6C55E">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7</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BAC29">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调整所得税</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1F71">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1740.59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548B">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4CCD7">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146.84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8C07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157.11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E8C6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168.02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C0C3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179.57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127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191.76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32B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203.96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F1B51">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216.79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5E61">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230.89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1207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245.63 </w:t>
            </w:r>
          </w:p>
        </w:tc>
      </w:tr>
      <w:tr w14:paraId="4D2EF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31A4D">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8</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DF63C">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所得税后净现金流量（3-5）</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B89E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7865.24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D05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-11567.96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2A2F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1482.21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F9A5">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1465.15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CA0A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1447.48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C733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1429.21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C3172">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1410.33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DEEE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1391.48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B03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1372.02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85E2">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1351.33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8263D">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8083.98 </w:t>
            </w:r>
          </w:p>
        </w:tc>
      </w:tr>
      <w:tr w14:paraId="2F7C9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3629C">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9</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C1177">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累计所得税后净现金流量</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9F8AF">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38D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-11567.96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F47D">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-10085.75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4DB12">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-8620.60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7A84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-7173.11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1C2E">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-5743.91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8D532">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-4333.57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CE59">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-2942.09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360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-1570.07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CAE75">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-218.74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8F5E">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7865.24 </w:t>
            </w:r>
          </w:p>
        </w:tc>
      </w:tr>
      <w:tr w14:paraId="391F6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C790C">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10</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C2C15">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所得税后净现金流量现值</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9F594">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2707.52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47D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-11017.10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605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1344.41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BA1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1265.65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7FD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1190.85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D137">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1119.82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D5D0D">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1052.41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5DFA">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988.90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A69D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928.64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FF00F">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871.08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3575">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4962.86 </w:t>
            </w:r>
          </w:p>
        </w:tc>
      </w:tr>
      <w:tr w14:paraId="7745D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4710E">
            <w:pPr>
              <w:keepNext w:val="0"/>
              <w:keepLines w:val="0"/>
              <w:widowControl/>
              <w:suppressLineNumbers w:val="0"/>
              <w:jc w:val="center"/>
              <w:textAlignment w:val="top"/>
              <w:rPr>
                <w:rFonts w:hint="default" w:ascii="Times New Roman" w:hAnsi="Times New Roman" w:eastAsia="宋体" w:cs="Times New Roman"/>
                <w:i w:val="0"/>
                <w:iCs w:val="0"/>
                <w:color w:val="000000"/>
                <w:sz w:val="16"/>
                <w:szCs w:val="16"/>
                <w:u w:val="none"/>
                <w:woUserID w:val="2"/>
              </w:rPr>
            </w:pPr>
            <w:r>
              <w:rPr>
                <w:rFonts w:hint="default" w:ascii="Times New Roman" w:hAnsi="Times New Roman" w:eastAsia="宋体" w:cs="Times New Roman"/>
                <w:i w:val="0"/>
                <w:iCs w:val="0"/>
                <w:snapToGrid w:val="0"/>
                <w:color w:val="000000"/>
                <w:kern w:val="0"/>
                <w:sz w:val="16"/>
                <w:szCs w:val="16"/>
                <w:u w:val="none"/>
                <w:lang w:val="en-US" w:eastAsia="zh-CN" w:bidi="ar"/>
                <w:woUserID w:val="2"/>
              </w:rPr>
              <w:t>11</w:t>
            </w:r>
          </w:p>
        </w:tc>
        <w:tc>
          <w:tcPr>
            <w:tcW w:w="10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763A0">
            <w:pPr>
              <w:keepNext w:val="0"/>
              <w:keepLines w:val="0"/>
              <w:widowControl/>
              <w:suppressLineNumbers w:val="0"/>
              <w:jc w:val="center"/>
              <w:textAlignment w:val="top"/>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累计所得税后净现金流量现值</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BDCF">
            <w:pPr>
              <w:jc w:val="center"/>
              <w:rPr>
                <w:rFonts w:hint="eastAsia" w:ascii="宋体" w:hAnsi="宋体" w:eastAsia="宋体" w:cs="宋体"/>
                <w:i w:val="0"/>
                <w:iCs w:val="0"/>
                <w:color w:val="000000"/>
                <w:sz w:val="16"/>
                <w:szCs w:val="16"/>
                <w:u w:val="none"/>
                <w:woUserID w:val="2"/>
              </w:rPr>
            </w:pP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E28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-11017.10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6E3E6">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-9672.69 </w:t>
            </w:r>
          </w:p>
        </w:tc>
        <w:tc>
          <w:tcPr>
            <w:tcW w:w="3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52E9D">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-8407.04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849E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-7216.19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0425">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-6096.37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3E83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-5043.96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4C41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-4055.06 </w:t>
            </w:r>
          </w:p>
        </w:tc>
        <w:tc>
          <w:tcPr>
            <w:tcW w:w="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7197">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-3126.42 </w:t>
            </w:r>
          </w:p>
        </w:tc>
        <w:tc>
          <w:tcPr>
            <w:tcW w:w="35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17E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-2255.34 </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61F4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2707.52 </w:t>
            </w:r>
          </w:p>
        </w:tc>
      </w:tr>
      <w:tr w14:paraId="6768B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6" w:type="pct"/>
            <w:tcBorders>
              <w:top w:val="nil"/>
              <w:left w:val="nil"/>
              <w:bottom w:val="nil"/>
              <w:right w:val="nil"/>
            </w:tcBorders>
            <w:shd w:val="clear" w:color="auto" w:fill="auto"/>
            <w:noWrap/>
            <w:vAlign w:val="center"/>
          </w:tcPr>
          <w:p w14:paraId="4E73DBCF">
            <w:pPr>
              <w:jc w:val="center"/>
              <w:rPr>
                <w:rFonts w:hint="eastAsia" w:ascii="宋体" w:hAnsi="宋体" w:eastAsia="宋体" w:cs="宋体"/>
                <w:i w:val="0"/>
                <w:iCs w:val="0"/>
                <w:color w:val="000000"/>
                <w:sz w:val="22"/>
                <w:szCs w:val="22"/>
                <w:u w:val="none"/>
                <w:woUserID w:val="2"/>
              </w:rPr>
            </w:pPr>
          </w:p>
        </w:tc>
        <w:tc>
          <w:tcPr>
            <w:tcW w:w="1033" w:type="pct"/>
            <w:tcBorders>
              <w:top w:val="nil"/>
              <w:left w:val="nil"/>
              <w:bottom w:val="nil"/>
              <w:right w:val="nil"/>
            </w:tcBorders>
            <w:shd w:val="clear" w:color="auto" w:fill="auto"/>
            <w:noWrap/>
            <w:vAlign w:val="center"/>
          </w:tcPr>
          <w:p w14:paraId="5F720647">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计算指标：</w:t>
            </w:r>
          </w:p>
        </w:tc>
        <w:tc>
          <w:tcPr>
            <w:tcW w:w="257" w:type="pct"/>
            <w:tcBorders>
              <w:top w:val="nil"/>
              <w:left w:val="nil"/>
              <w:bottom w:val="nil"/>
              <w:right w:val="nil"/>
            </w:tcBorders>
            <w:shd w:val="clear" w:color="auto" w:fill="auto"/>
            <w:noWrap/>
            <w:vAlign w:val="center"/>
          </w:tcPr>
          <w:p w14:paraId="5B975B06">
            <w:pPr>
              <w:jc w:val="center"/>
              <w:rPr>
                <w:rFonts w:hint="eastAsia" w:ascii="宋体" w:hAnsi="宋体" w:eastAsia="宋体" w:cs="宋体"/>
                <w:i w:val="0"/>
                <w:iCs w:val="0"/>
                <w:color w:val="000000"/>
                <w:sz w:val="22"/>
                <w:szCs w:val="22"/>
                <w:u w:val="none"/>
                <w:woUserID w:val="2"/>
              </w:rPr>
            </w:pPr>
          </w:p>
        </w:tc>
        <w:tc>
          <w:tcPr>
            <w:tcW w:w="284" w:type="pct"/>
            <w:tcBorders>
              <w:top w:val="nil"/>
              <w:left w:val="nil"/>
              <w:bottom w:val="nil"/>
              <w:right w:val="nil"/>
            </w:tcBorders>
            <w:shd w:val="clear" w:color="auto" w:fill="auto"/>
            <w:noWrap/>
            <w:vAlign w:val="center"/>
          </w:tcPr>
          <w:p w14:paraId="015AB10B">
            <w:pPr>
              <w:jc w:val="center"/>
              <w:rPr>
                <w:rFonts w:hint="eastAsia" w:ascii="宋体" w:hAnsi="宋体" w:eastAsia="宋体" w:cs="宋体"/>
                <w:i w:val="0"/>
                <w:iCs w:val="0"/>
                <w:color w:val="000000"/>
                <w:sz w:val="22"/>
                <w:szCs w:val="22"/>
                <w:u w:val="none"/>
                <w:woUserID w:val="2"/>
              </w:rPr>
            </w:pPr>
          </w:p>
        </w:tc>
        <w:tc>
          <w:tcPr>
            <w:tcW w:w="252" w:type="pct"/>
            <w:gridSpan w:val="2"/>
            <w:tcBorders>
              <w:top w:val="nil"/>
              <w:left w:val="nil"/>
              <w:bottom w:val="nil"/>
              <w:right w:val="nil"/>
            </w:tcBorders>
            <w:shd w:val="clear" w:color="auto" w:fill="auto"/>
            <w:noWrap/>
            <w:vAlign w:val="center"/>
          </w:tcPr>
          <w:p w14:paraId="5B877514">
            <w:pPr>
              <w:jc w:val="center"/>
              <w:rPr>
                <w:rFonts w:hint="eastAsia" w:ascii="宋体" w:hAnsi="宋体" w:eastAsia="宋体" w:cs="宋体"/>
                <w:i w:val="0"/>
                <w:iCs w:val="0"/>
                <w:color w:val="000000"/>
                <w:sz w:val="22"/>
                <w:szCs w:val="22"/>
                <w:u w:val="none"/>
                <w:woUserID w:val="2"/>
              </w:rPr>
            </w:pPr>
          </w:p>
        </w:tc>
        <w:tc>
          <w:tcPr>
            <w:tcW w:w="291" w:type="pct"/>
            <w:gridSpan w:val="2"/>
            <w:tcBorders>
              <w:top w:val="nil"/>
              <w:left w:val="nil"/>
              <w:bottom w:val="nil"/>
              <w:right w:val="nil"/>
            </w:tcBorders>
            <w:shd w:val="clear" w:color="auto" w:fill="auto"/>
            <w:noWrap/>
            <w:vAlign w:val="center"/>
          </w:tcPr>
          <w:p w14:paraId="01CF96D0">
            <w:pPr>
              <w:jc w:val="center"/>
              <w:rPr>
                <w:rFonts w:hint="eastAsia" w:ascii="宋体" w:hAnsi="宋体" w:eastAsia="宋体" w:cs="宋体"/>
                <w:i w:val="0"/>
                <w:iCs w:val="0"/>
                <w:color w:val="000000"/>
                <w:sz w:val="22"/>
                <w:szCs w:val="22"/>
                <w:u w:val="none"/>
                <w:woUserID w:val="2"/>
              </w:rPr>
            </w:pPr>
          </w:p>
        </w:tc>
        <w:tc>
          <w:tcPr>
            <w:tcW w:w="259" w:type="pct"/>
            <w:gridSpan w:val="2"/>
            <w:tcBorders>
              <w:top w:val="nil"/>
              <w:left w:val="nil"/>
              <w:bottom w:val="nil"/>
              <w:right w:val="nil"/>
            </w:tcBorders>
            <w:shd w:val="clear" w:color="auto" w:fill="auto"/>
            <w:noWrap/>
            <w:vAlign w:val="center"/>
          </w:tcPr>
          <w:p w14:paraId="0CB1CAEE">
            <w:pPr>
              <w:jc w:val="center"/>
              <w:rPr>
                <w:rFonts w:hint="eastAsia" w:ascii="宋体" w:hAnsi="宋体" w:eastAsia="宋体" w:cs="宋体"/>
                <w:i w:val="0"/>
                <w:iCs w:val="0"/>
                <w:color w:val="000000"/>
                <w:sz w:val="22"/>
                <w:szCs w:val="22"/>
                <w:u w:val="none"/>
                <w:woUserID w:val="2"/>
              </w:rPr>
            </w:pPr>
          </w:p>
        </w:tc>
        <w:tc>
          <w:tcPr>
            <w:tcW w:w="1033" w:type="pct"/>
            <w:gridSpan w:val="3"/>
            <w:tcBorders>
              <w:top w:val="nil"/>
              <w:left w:val="nil"/>
              <w:bottom w:val="nil"/>
              <w:right w:val="nil"/>
            </w:tcBorders>
            <w:shd w:val="clear" w:color="auto" w:fill="auto"/>
            <w:noWrap/>
            <w:vAlign w:val="center"/>
          </w:tcPr>
          <w:p w14:paraId="141C5E98">
            <w:pPr>
              <w:jc w:val="center"/>
              <w:rPr>
                <w:rFonts w:hint="eastAsia" w:ascii="宋体" w:hAnsi="宋体" w:eastAsia="宋体" w:cs="宋体"/>
                <w:i w:val="0"/>
                <w:iCs w:val="0"/>
                <w:color w:val="000000"/>
                <w:sz w:val="22"/>
                <w:szCs w:val="22"/>
                <w:u w:val="none"/>
                <w:woUserID w:val="2"/>
              </w:rPr>
            </w:pPr>
          </w:p>
        </w:tc>
        <w:tc>
          <w:tcPr>
            <w:tcW w:w="260" w:type="pct"/>
            <w:gridSpan w:val="2"/>
            <w:tcBorders>
              <w:top w:val="nil"/>
              <w:left w:val="nil"/>
              <w:bottom w:val="nil"/>
              <w:right w:val="nil"/>
            </w:tcBorders>
            <w:shd w:val="clear" w:color="auto" w:fill="auto"/>
            <w:noWrap/>
            <w:vAlign w:val="center"/>
          </w:tcPr>
          <w:p w14:paraId="5916F179">
            <w:pPr>
              <w:jc w:val="center"/>
              <w:rPr>
                <w:rFonts w:hint="eastAsia" w:ascii="宋体" w:hAnsi="宋体" w:eastAsia="宋体" w:cs="宋体"/>
                <w:i w:val="0"/>
                <w:iCs w:val="0"/>
                <w:color w:val="000000"/>
                <w:sz w:val="22"/>
                <w:szCs w:val="22"/>
                <w:u w:val="none"/>
                <w:woUserID w:val="2"/>
              </w:rPr>
            </w:pPr>
          </w:p>
        </w:tc>
        <w:tc>
          <w:tcPr>
            <w:tcW w:w="259" w:type="pct"/>
            <w:gridSpan w:val="2"/>
            <w:tcBorders>
              <w:top w:val="nil"/>
              <w:left w:val="nil"/>
              <w:bottom w:val="nil"/>
              <w:right w:val="nil"/>
            </w:tcBorders>
            <w:shd w:val="clear" w:color="auto" w:fill="auto"/>
            <w:noWrap/>
            <w:vAlign w:val="center"/>
          </w:tcPr>
          <w:p w14:paraId="60B6A05C">
            <w:pPr>
              <w:jc w:val="center"/>
              <w:rPr>
                <w:rFonts w:hint="eastAsia" w:ascii="宋体" w:hAnsi="宋体" w:eastAsia="宋体" w:cs="宋体"/>
                <w:i w:val="0"/>
                <w:iCs w:val="0"/>
                <w:color w:val="000000"/>
                <w:sz w:val="22"/>
                <w:szCs w:val="22"/>
                <w:u w:val="none"/>
                <w:woUserID w:val="2"/>
              </w:rPr>
            </w:pPr>
          </w:p>
        </w:tc>
        <w:tc>
          <w:tcPr>
            <w:tcW w:w="260" w:type="pct"/>
            <w:gridSpan w:val="2"/>
            <w:tcBorders>
              <w:top w:val="nil"/>
              <w:left w:val="nil"/>
              <w:bottom w:val="nil"/>
              <w:right w:val="nil"/>
            </w:tcBorders>
            <w:shd w:val="clear" w:color="auto" w:fill="auto"/>
            <w:noWrap/>
            <w:vAlign w:val="center"/>
          </w:tcPr>
          <w:p w14:paraId="232A1E99">
            <w:pPr>
              <w:jc w:val="center"/>
              <w:rPr>
                <w:rFonts w:hint="eastAsia" w:ascii="宋体" w:hAnsi="宋体" w:eastAsia="宋体" w:cs="宋体"/>
                <w:i w:val="0"/>
                <w:iCs w:val="0"/>
                <w:color w:val="000000"/>
                <w:sz w:val="22"/>
                <w:szCs w:val="22"/>
                <w:u w:val="none"/>
                <w:woUserID w:val="2"/>
              </w:rPr>
            </w:pPr>
          </w:p>
        </w:tc>
        <w:tc>
          <w:tcPr>
            <w:tcW w:w="302" w:type="pct"/>
            <w:tcBorders>
              <w:top w:val="nil"/>
              <w:left w:val="nil"/>
              <w:bottom w:val="nil"/>
              <w:right w:val="nil"/>
            </w:tcBorders>
            <w:shd w:val="clear" w:color="auto" w:fill="auto"/>
            <w:noWrap/>
            <w:vAlign w:val="center"/>
          </w:tcPr>
          <w:p w14:paraId="5BA47AF8">
            <w:pPr>
              <w:jc w:val="center"/>
              <w:rPr>
                <w:rFonts w:hint="eastAsia" w:ascii="宋体" w:hAnsi="宋体" w:eastAsia="宋体" w:cs="宋体"/>
                <w:i w:val="0"/>
                <w:iCs w:val="0"/>
                <w:color w:val="000000"/>
                <w:sz w:val="22"/>
                <w:szCs w:val="22"/>
                <w:u w:val="none"/>
                <w:woUserID w:val="2"/>
              </w:rPr>
            </w:pPr>
          </w:p>
        </w:tc>
        <w:tc>
          <w:tcPr>
            <w:tcW w:w="368" w:type="pct"/>
            <w:gridSpan w:val="2"/>
            <w:tcBorders>
              <w:top w:val="nil"/>
              <w:left w:val="nil"/>
              <w:bottom w:val="nil"/>
              <w:right w:val="nil"/>
            </w:tcBorders>
            <w:shd w:val="clear" w:color="auto" w:fill="auto"/>
            <w:noWrap/>
            <w:vAlign w:val="center"/>
          </w:tcPr>
          <w:p w14:paraId="745BFE79">
            <w:pPr>
              <w:jc w:val="center"/>
              <w:rPr>
                <w:rFonts w:hint="eastAsia" w:ascii="宋体" w:hAnsi="宋体" w:eastAsia="宋体" w:cs="宋体"/>
                <w:i w:val="0"/>
                <w:iCs w:val="0"/>
                <w:color w:val="000000"/>
                <w:sz w:val="22"/>
                <w:szCs w:val="22"/>
                <w:u w:val="none"/>
                <w:woUserID w:val="2"/>
              </w:rPr>
            </w:pPr>
          </w:p>
        </w:tc>
      </w:tr>
      <w:tr w14:paraId="7FBCE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6" w:type="pct"/>
            <w:tcBorders>
              <w:top w:val="nil"/>
              <w:left w:val="nil"/>
              <w:bottom w:val="nil"/>
              <w:right w:val="nil"/>
            </w:tcBorders>
            <w:shd w:val="clear" w:color="auto" w:fill="auto"/>
            <w:noWrap/>
            <w:vAlign w:val="center"/>
          </w:tcPr>
          <w:p w14:paraId="054ED9CD">
            <w:pPr>
              <w:jc w:val="center"/>
              <w:rPr>
                <w:rFonts w:hint="eastAsia" w:ascii="宋体" w:hAnsi="宋体" w:eastAsia="宋体" w:cs="宋体"/>
                <w:i w:val="0"/>
                <w:iCs w:val="0"/>
                <w:color w:val="000000"/>
                <w:sz w:val="22"/>
                <w:szCs w:val="22"/>
                <w:u w:val="none"/>
                <w:woUserID w:val="2"/>
              </w:rPr>
            </w:pPr>
          </w:p>
        </w:tc>
        <w:tc>
          <w:tcPr>
            <w:tcW w:w="1033" w:type="pct"/>
            <w:tcBorders>
              <w:top w:val="nil"/>
              <w:left w:val="nil"/>
              <w:bottom w:val="nil"/>
              <w:right w:val="nil"/>
            </w:tcBorders>
            <w:shd w:val="clear" w:color="auto" w:fill="auto"/>
            <w:noWrap/>
            <w:vAlign w:val="center"/>
          </w:tcPr>
          <w:p w14:paraId="12C5C72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项目投资财务内部收益率（</w:t>
            </w:r>
            <w:r>
              <w:rPr>
                <w:rFonts w:hint="default" w:ascii="Times New Roman" w:hAnsi="Times New Roman" w:eastAsia="宋体" w:cs="Times New Roman"/>
                <w:i w:val="0"/>
                <w:iCs w:val="0"/>
                <w:snapToGrid w:val="0"/>
                <w:color w:val="000000"/>
                <w:kern w:val="0"/>
                <w:sz w:val="16"/>
                <w:szCs w:val="16"/>
                <w:u w:val="none"/>
                <w:lang w:val="en-US" w:eastAsia="zh-CN" w:bidi="ar"/>
                <w:woUserID w:val="2"/>
              </w:rPr>
              <w:t>%</w:t>
            </w:r>
            <w:r>
              <w:rPr>
                <w:rFonts w:hint="eastAsia" w:ascii="宋体" w:hAnsi="宋体" w:eastAsia="宋体" w:cs="宋体"/>
                <w:i w:val="0"/>
                <w:iCs w:val="0"/>
                <w:snapToGrid w:val="0"/>
                <w:color w:val="000000"/>
                <w:kern w:val="0"/>
                <w:sz w:val="16"/>
                <w:szCs w:val="16"/>
                <w:u w:val="none"/>
                <w:lang w:val="en-US" w:eastAsia="zh-CN" w:bidi="ar"/>
                <w:woUserID w:val="2"/>
              </w:rPr>
              <w:t>）（所得税前）</w:t>
            </w:r>
          </w:p>
        </w:tc>
        <w:tc>
          <w:tcPr>
            <w:tcW w:w="257" w:type="pct"/>
            <w:tcBorders>
              <w:top w:val="nil"/>
              <w:left w:val="nil"/>
              <w:bottom w:val="nil"/>
              <w:right w:val="nil"/>
            </w:tcBorders>
            <w:shd w:val="clear" w:color="auto" w:fill="auto"/>
            <w:noWrap/>
            <w:vAlign w:val="center"/>
          </w:tcPr>
          <w:p w14:paraId="4CD8169C">
            <w:pPr>
              <w:jc w:val="center"/>
              <w:rPr>
                <w:rFonts w:hint="eastAsia" w:ascii="宋体" w:hAnsi="宋体" w:eastAsia="宋体" w:cs="宋体"/>
                <w:i w:val="0"/>
                <w:iCs w:val="0"/>
                <w:color w:val="000000"/>
                <w:sz w:val="16"/>
                <w:szCs w:val="16"/>
                <w:u w:val="none"/>
                <w:woUserID w:val="2"/>
              </w:rPr>
            </w:pPr>
          </w:p>
        </w:tc>
        <w:tc>
          <w:tcPr>
            <w:tcW w:w="284" w:type="pct"/>
            <w:tcBorders>
              <w:top w:val="nil"/>
              <w:left w:val="nil"/>
              <w:bottom w:val="nil"/>
              <w:right w:val="nil"/>
            </w:tcBorders>
            <w:shd w:val="clear" w:color="auto" w:fill="auto"/>
            <w:noWrap/>
            <w:vAlign w:val="center"/>
          </w:tcPr>
          <w:p w14:paraId="5AB3BDC6">
            <w:pPr>
              <w:jc w:val="center"/>
              <w:rPr>
                <w:rFonts w:hint="eastAsia" w:ascii="宋体" w:hAnsi="宋体" w:eastAsia="宋体" w:cs="宋体"/>
                <w:i w:val="0"/>
                <w:iCs w:val="0"/>
                <w:color w:val="000000"/>
                <w:sz w:val="16"/>
                <w:szCs w:val="16"/>
                <w:u w:val="none"/>
                <w:woUserID w:val="2"/>
              </w:rPr>
            </w:pPr>
          </w:p>
        </w:tc>
        <w:tc>
          <w:tcPr>
            <w:tcW w:w="252" w:type="pct"/>
            <w:gridSpan w:val="2"/>
            <w:tcBorders>
              <w:top w:val="nil"/>
              <w:left w:val="nil"/>
              <w:bottom w:val="nil"/>
              <w:right w:val="nil"/>
            </w:tcBorders>
            <w:shd w:val="clear" w:color="auto" w:fill="auto"/>
            <w:noWrap/>
            <w:vAlign w:val="center"/>
          </w:tcPr>
          <w:p w14:paraId="74AE4140">
            <w:pPr>
              <w:jc w:val="center"/>
              <w:rPr>
                <w:rFonts w:hint="eastAsia" w:ascii="宋体" w:hAnsi="宋体" w:eastAsia="宋体" w:cs="宋体"/>
                <w:i w:val="0"/>
                <w:iCs w:val="0"/>
                <w:color w:val="000000"/>
                <w:sz w:val="16"/>
                <w:szCs w:val="16"/>
                <w:u w:val="none"/>
                <w:woUserID w:val="2"/>
              </w:rPr>
            </w:pPr>
          </w:p>
        </w:tc>
        <w:tc>
          <w:tcPr>
            <w:tcW w:w="291" w:type="pct"/>
            <w:gridSpan w:val="2"/>
            <w:tcBorders>
              <w:top w:val="nil"/>
              <w:left w:val="nil"/>
              <w:bottom w:val="nil"/>
              <w:right w:val="nil"/>
            </w:tcBorders>
            <w:shd w:val="clear" w:color="auto" w:fill="auto"/>
            <w:noWrap/>
            <w:vAlign w:val="center"/>
          </w:tcPr>
          <w:p w14:paraId="5E6E4B60">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10.94%</w:t>
            </w:r>
          </w:p>
        </w:tc>
        <w:tc>
          <w:tcPr>
            <w:tcW w:w="259" w:type="pct"/>
            <w:gridSpan w:val="2"/>
            <w:tcBorders>
              <w:top w:val="nil"/>
              <w:left w:val="nil"/>
              <w:bottom w:val="nil"/>
              <w:right w:val="nil"/>
            </w:tcBorders>
            <w:shd w:val="clear" w:color="auto" w:fill="auto"/>
            <w:noWrap/>
            <w:vAlign w:val="center"/>
          </w:tcPr>
          <w:p w14:paraId="2BC3C436">
            <w:pPr>
              <w:jc w:val="center"/>
              <w:rPr>
                <w:rFonts w:hint="eastAsia" w:ascii="宋体" w:hAnsi="宋体" w:eastAsia="宋体" w:cs="宋体"/>
                <w:i w:val="0"/>
                <w:iCs w:val="0"/>
                <w:color w:val="000000"/>
                <w:sz w:val="16"/>
                <w:szCs w:val="16"/>
                <w:u w:val="none"/>
                <w:woUserID w:val="2"/>
              </w:rPr>
            </w:pPr>
          </w:p>
        </w:tc>
        <w:tc>
          <w:tcPr>
            <w:tcW w:w="1033" w:type="pct"/>
            <w:gridSpan w:val="3"/>
            <w:tcBorders>
              <w:top w:val="nil"/>
              <w:left w:val="nil"/>
              <w:bottom w:val="nil"/>
              <w:right w:val="nil"/>
            </w:tcBorders>
            <w:shd w:val="clear" w:color="auto" w:fill="auto"/>
            <w:noWrap/>
            <w:vAlign w:val="center"/>
          </w:tcPr>
          <w:p w14:paraId="01E640B3">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项目投资财务内部收益率（</w:t>
            </w:r>
            <w:r>
              <w:rPr>
                <w:rFonts w:hint="default" w:ascii="Times New Roman" w:hAnsi="Times New Roman" w:eastAsia="宋体" w:cs="Times New Roman"/>
                <w:i w:val="0"/>
                <w:iCs w:val="0"/>
                <w:snapToGrid w:val="0"/>
                <w:color w:val="000000"/>
                <w:kern w:val="0"/>
                <w:sz w:val="16"/>
                <w:szCs w:val="16"/>
                <w:u w:val="none"/>
                <w:lang w:val="en-US" w:eastAsia="zh-CN" w:bidi="ar"/>
                <w:woUserID w:val="2"/>
              </w:rPr>
              <w:t>%</w:t>
            </w:r>
            <w:r>
              <w:rPr>
                <w:rFonts w:hint="eastAsia" w:ascii="宋体" w:hAnsi="宋体" w:eastAsia="宋体" w:cs="宋体"/>
                <w:i w:val="0"/>
                <w:iCs w:val="0"/>
                <w:snapToGrid w:val="0"/>
                <w:color w:val="000000"/>
                <w:kern w:val="0"/>
                <w:sz w:val="16"/>
                <w:szCs w:val="16"/>
                <w:u w:val="none"/>
                <w:lang w:val="en-US" w:eastAsia="zh-CN" w:bidi="ar"/>
                <w:woUserID w:val="2"/>
              </w:rPr>
              <w:t>）（所得税后）</w:t>
            </w:r>
          </w:p>
        </w:tc>
        <w:tc>
          <w:tcPr>
            <w:tcW w:w="260" w:type="pct"/>
            <w:gridSpan w:val="2"/>
            <w:tcBorders>
              <w:top w:val="nil"/>
              <w:left w:val="nil"/>
              <w:bottom w:val="nil"/>
              <w:right w:val="nil"/>
            </w:tcBorders>
            <w:shd w:val="clear" w:color="auto" w:fill="auto"/>
            <w:noWrap/>
            <w:vAlign w:val="center"/>
          </w:tcPr>
          <w:p w14:paraId="09714BEC">
            <w:pPr>
              <w:jc w:val="center"/>
              <w:rPr>
                <w:rFonts w:hint="eastAsia" w:ascii="宋体" w:hAnsi="宋体" w:eastAsia="宋体" w:cs="宋体"/>
                <w:i w:val="0"/>
                <w:iCs w:val="0"/>
                <w:color w:val="000000"/>
                <w:sz w:val="22"/>
                <w:szCs w:val="22"/>
                <w:u w:val="none"/>
                <w:woUserID w:val="2"/>
              </w:rPr>
            </w:pPr>
          </w:p>
        </w:tc>
        <w:tc>
          <w:tcPr>
            <w:tcW w:w="259" w:type="pct"/>
            <w:gridSpan w:val="2"/>
            <w:tcBorders>
              <w:top w:val="nil"/>
              <w:left w:val="nil"/>
              <w:bottom w:val="nil"/>
              <w:right w:val="nil"/>
            </w:tcBorders>
            <w:shd w:val="clear" w:color="auto" w:fill="auto"/>
            <w:noWrap/>
            <w:vAlign w:val="center"/>
          </w:tcPr>
          <w:p w14:paraId="13430830">
            <w:pPr>
              <w:jc w:val="center"/>
              <w:rPr>
                <w:rFonts w:hint="eastAsia" w:ascii="宋体" w:hAnsi="宋体" w:eastAsia="宋体" w:cs="宋体"/>
                <w:i w:val="0"/>
                <w:iCs w:val="0"/>
                <w:color w:val="000000"/>
                <w:sz w:val="22"/>
                <w:szCs w:val="22"/>
                <w:u w:val="none"/>
                <w:woUserID w:val="2"/>
              </w:rPr>
            </w:pPr>
          </w:p>
        </w:tc>
        <w:tc>
          <w:tcPr>
            <w:tcW w:w="260" w:type="pct"/>
            <w:gridSpan w:val="2"/>
            <w:tcBorders>
              <w:top w:val="nil"/>
              <w:left w:val="nil"/>
              <w:bottom w:val="nil"/>
              <w:right w:val="nil"/>
            </w:tcBorders>
            <w:shd w:val="clear" w:color="auto" w:fill="auto"/>
            <w:noWrap/>
            <w:vAlign w:val="center"/>
          </w:tcPr>
          <w:p w14:paraId="147EBFC0">
            <w:pPr>
              <w:jc w:val="center"/>
              <w:rPr>
                <w:rFonts w:hint="eastAsia" w:ascii="宋体" w:hAnsi="宋体" w:eastAsia="宋体" w:cs="宋体"/>
                <w:i w:val="0"/>
                <w:iCs w:val="0"/>
                <w:color w:val="000000"/>
                <w:sz w:val="22"/>
                <w:szCs w:val="22"/>
                <w:u w:val="none"/>
                <w:woUserID w:val="2"/>
              </w:rPr>
            </w:pPr>
          </w:p>
        </w:tc>
        <w:tc>
          <w:tcPr>
            <w:tcW w:w="302" w:type="pct"/>
            <w:tcBorders>
              <w:top w:val="nil"/>
              <w:left w:val="nil"/>
              <w:bottom w:val="nil"/>
              <w:right w:val="nil"/>
            </w:tcBorders>
            <w:shd w:val="clear" w:color="auto" w:fill="auto"/>
            <w:noWrap/>
            <w:vAlign w:val="center"/>
          </w:tcPr>
          <w:p w14:paraId="744DAC57">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9.09%</w:t>
            </w:r>
          </w:p>
        </w:tc>
        <w:tc>
          <w:tcPr>
            <w:tcW w:w="368" w:type="pct"/>
            <w:gridSpan w:val="2"/>
            <w:tcBorders>
              <w:top w:val="nil"/>
              <w:left w:val="nil"/>
              <w:bottom w:val="nil"/>
              <w:right w:val="nil"/>
            </w:tcBorders>
            <w:shd w:val="clear" w:color="auto" w:fill="auto"/>
            <w:noWrap/>
            <w:vAlign w:val="center"/>
          </w:tcPr>
          <w:p w14:paraId="26D57043">
            <w:pPr>
              <w:jc w:val="center"/>
              <w:rPr>
                <w:rFonts w:hint="eastAsia" w:ascii="宋体" w:hAnsi="宋体" w:eastAsia="宋体" w:cs="宋体"/>
                <w:i w:val="0"/>
                <w:iCs w:val="0"/>
                <w:color w:val="000000"/>
                <w:sz w:val="22"/>
                <w:szCs w:val="22"/>
                <w:u w:val="none"/>
                <w:woUserID w:val="2"/>
              </w:rPr>
            </w:pPr>
          </w:p>
        </w:tc>
      </w:tr>
      <w:tr w14:paraId="1E471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6" w:type="pct"/>
            <w:tcBorders>
              <w:top w:val="nil"/>
              <w:left w:val="nil"/>
              <w:bottom w:val="nil"/>
              <w:right w:val="nil"/>
            </w:tcBorders>
            <w:shd w:val="clear" w:color="auto" w:fill="auto"/>
            <w:noWrap/>
            <w:vAlign w:val="center"/>
          </w:tcPr>
          <w:p w14:paraId="2AC3A632">
            <w:pPr>
              <w:jc w:val="center"/>
              <w:rPr>
                <w:rFonts w:hint="eastAsia" w:ascii="宋体" w:hAnsi="宋体" w:eastAsia="宋体" w:cs="宋体"/>
                <w:i w:val="0"/>
                <w:iCs w:val="0"/>
                <w:color w:val="000000"/>
                <w:sz w:val="22"/>
                <w:szCs w:val="22"/>
                <w:u w:val="none"/>
                <w:woUserID w:val="2"/>
              </w:rPr>
            </w:pPr>
          </w:p>
        </w:tc>
        <w:tc>
          <w:tcPr>
            <w:tcW w:w="1033" w:type="pct"/>
            <w:tcBorders>
              <w:top w:val="nil"/>
              <w:left w:val="nil"/>
              <w:bottom w:val="nil"/>
              <w:right w:val="nil"/>
            </w:tcBorders>
            <w:shd w:val="clear" w:color="auto" w:fill="auto"/>
            <w:noWrap/>
            <w:vAlign w:val="center"/>
          </w:tcPr>
          <w:p w14:paraId="6DFA9DED">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项目投资财务净现值（所得税前）（</w:t>
            </w:r>
            <w:r>
              <w:rPr>
                <w:rFonts w:hint="default" w:ascii="Times New Roman" w:hAnsi="Times New Roman" w:eastAsia="宋体" w:cs="Times New Roman"/>
                <w:i w:val="0"/>
                <w:iCs w:val="0"/>
                <w:snapToGrid w:val="0"/>
                <w:color w:val="000000"/>
                <w:kern w:val="0"/>
                <w:sz w:val="16"/>
                <w:szCs w:val="16"/>
                <w:u w:val="none"/>
                <w:lang w:val="en-US" w:eastAsia="zh-CN" w:bidi="ar"/>
                <w:woUserID w:val="2"/>
              </w:rPr>
              <w:t>ic=</w:t>
            </w:r>
            <w:r>
              <w:rPr>
                <w:rFonts w:ascii="Arial" w:hAnsi="Arial" w:eastAsia="宋体" w:cs="Arial"/>
                <w:i w:val="0"/>
                <w:iCs w:val="0"/>
                <w:snapToGrid w:val="0"/>
                <w:color w:val="000000"/>
                <w:kern w:val="0"/>
                <w:sz w:val="16"/>
                <w:szCs w:val="16"/>
                <w:u w:val="none"/>
                <w:lang w:val="en-US" w:eastAsia="zh-CN" w:bidi="ar"/>
                <w:woUserID w:val="2"/>
              </w:rPr>
              <w:t xml:space="preserve"> </w:t>
            </w:r>
            <w:r>
              <w:rPr>
                <w:rFonts w:hint="default" w:ascii="Times New Roman" w:hAnsi="Times New Roman" w:eastAsia="宋体" w:cs="Times New Roman"/>
                <w:i w:val="0"/>
                <w:iCs w:val="0"/>
                <w:snapToGrid w:val="0"/>
                <w:color w:val="000000"/>
                <w:kern w:val="0"/>
                <w:sz w:val="16"/>
                <w:szCs w:val="16"/>
                <w:u w:val="none"/>
                <w:lang w:val="en-US" w:eastAsia="zh-CN" w:bidi="ar"/>
                <w:woUserID w:val="2"/>
              </w:rPr>
              <w:t>5%</w:t>
            </w:r>
          </w:p>
        </w:tc>
        <w:tc>
          <w:tcPr>
            <w:tcW w:w="257" w:type="pct"/>
            <w:tcBorders>
              <w:top w:val="nil"/>
              <w:left w:val="nil"/>
              <w:bottom w:val="nil"/>
              <w:right w:val="nil"/>
            </w:tcBorders>
            <w:shd w:val="clear" w:color="auto" w:fill="auto"/>
            <w:noWrap/>
            <w:vAlign w:val="center"/>
          </w:tcPr>
          <w:p w14:paraId="2906130C">
            <w:pPr>
              <w:jc w:val="center"/>
              <w:rPr>
                <w:rFonts w:hint="eastAsia" w:ascii="宋体" w:hAnsi="宋体" w:eastAsia="宋体" w:cs="宋体"/>
                <w:i w:val="0"/>
                <w:iCs w:val="0"/>
                <w:color w:val="000000"/>
                <w:sz w:val="16"/>
                <w:szCs w:val="16"/>
                <w:u w:val="none"/>
                <w:woUserID w:val="2"/>
              </w:rPr>
            </w:pPr>
          </w:p>
        </w:tc>
        <w:tc>
          <w:tcPr>
            <w:tcW w:w="284" w:type="pct"/>
            <w:tcBorders>
              <w:top w:val="nil"/>
              <w:left w:val="nil"/>
              <w:bottom w:val="nil"/>
              <w:right w:val="nil"/>
            </w:tcBorders>
            <w:shd w:val="clear" w:color="auto" w:fill="auto"/>
            <w:noWrap/>
            <w:vAlign w:val="center"/>
          </w:tcPr>
          <w:p w14:paraId="5211DD75">
            <w:pPr>
              <w:jc w:val="center"/>
              <w:rPr>
                <w:rFonts w:hint="eastAsia" w:ascii="宋体" w:hAnsi="宋体" w:eastAsia="宋体" w:cs="宋体"/>
                <w:i w:val="0"/>
                <w:iCs w:val="0"/>
                <w:color w:val="000000"/>
                <w:sz w:val="16"/>
                <w:szCs w:val="16"/>
                <w:u w:val="none"/>
                <w:woUserID w:val="2"/>
              </w:rPr>
            </w:pPr>
          </w:p>
        </w:tc>
        <w:tc>
          <w:tcPr>
            <w:tcW w:w="252" w:type="pct"/>
            <w:gridSpan w:val="2"/>
            <w:tcBorders>
              <w:top w:val="nil"/>
              <w:left w:val="nil"/>
              <w:bottom w:val="nil"/>
              <w:right w:val="nil"/>
            </w:tcBorders>
            <w:shd w:val="clear" w:color="auto" w:fill="auto"/>
            <w:noWrap/>
            <w:vAlign w:val="center"/>
          </w:tcPr>
          <w:p w14:paraId="236AD743">
            <w:pPr>
              <w:jc w:val="center"/>
              <w:rPr>
                <w:rFonts w:hint="eastAsia" w:ascii="宋体" w:hAnsi="宋体" w:eastAsia="宋体" w:cs="宋体"/>
                <w:i w:val="0"/>
                <w:iCs w:val="0"/>
                <w:color w:val="000000"/>
                <w:sz w:val="16"/>
                <w:szCs w:val="16"/>
                <w:u w:val="none"/>
                <w:woUserID w:val="2"/>
              </w:rPr>
            </w:pPr>
          </w:p>
        </w:tc>
        <w:tc>
          <w:tcPr>
            <w:tcW w:w="291" w:type="pct"/>
            <w:gridSpan w:val="2"/>
            <w:tcBorders>
              <w:top w:val="nil"/>
              <w:left w:val="nil"/>
              <w:bottom w:val="nil"/>
              <w:right w:val="nil"/>
            </w:tcBorders>
            <w:shd w:val="clear" w:color="auto" w:fill="auto"/>
            <w:noWrap/>
            <w:vAlign w:val="center"/>
          </w:tcPr>
          <w:p w14:paraId="3DA2C7EC">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3989.77 </w:t>
            </w:r>
          </w:p>
        </w:tc>
        <w:tc>
          <w:tcPr>
            <w:tcW w:w="259" w:type="pct"/>
            <w:gridSpan w:val="2"/>
            <w:tcBorders>
              <w:top w:val="nil"/>
              <w:left w:val="nil"/>
              <w:bottom w:val="nil"/>
              <w:right w:val="nil"/>
            </w:tcBorders>
            <w:shd w:val="clear" w:color="auto" w:fill="auto"/>
            <w:noWrap/>
            <w:vAlign w:val="center"/>
          </w:tcPr>
          <w:p w14:paraId="6631D439">
            <w:pPr>
              <w:jc w:val="center"/>
              <w:rPr>
                <w:rFonts w:hint="eastAsia" w:ascii="宋体" w:hAnsi="宋体" w:eastAsia="宋体" w:cs="宋体"/>
                <w:i w:val="0"/>
                <w:iCs w:val="0"/>
                <w:color w:val="000000"/>
                <w:sz w:val="22"/>
                <w:szCs w:val="22"/>
                <w:u w:val="none"/>
                <w:woUserID w:val="2"/>
              </w:rPr>
            </w:pPr>
          </w:p>
        </w:tc>
        <w:tc>
          <w:tcPr>
            <w:tcW w:w="1033" w:type="pct"/>
            <w:gridSpan w:val="3"/>
            <w:tcBorders>
              <w:top w:val="nil"/>
              <w:left w:val="nil"/>
              <w:bottom w:val="nil"/>
              <w:right w:val="nil"/>
            </w:tcBorders>
            <w:shd w:val="clear" w:color="auto" w:fill="auto"/>
            <w:noWrap/>
            <w:vAlign w:val="center"/>
          </w:tcPr>
          <w:p w14:paraId="441F540B">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项目投资财务净现值（所得税后）（</w:t>
            </w:r>
            <w:r>
              <w:rPr>
                <w:rFonts w:hint="default" w:ascii="Times New Roman" w:hAnsi="Times New Roman" w:eastAsia="宋体" w:cs="Times New Roman"/>
                <w:i w:val="0"/>
                <w:iCs w:val="0"/>
                <w:snapToGrid w:val="0"/>
                <w:color w:val="000000"/>
                <w:kern w:val="0"/>
                <w:sz w:val="16"/>
                <w:szCs w:val="16"/>
                <w:u w:val="none"/>
                <w:lang w:val="en-US" w:eastAsia="zh-CN" w:bidi="ar"/>
                <w:woUserID w:val="2"/>
              </w:rPr>
              <w:t>ic= 5%</w:t>
            </w:r>
          </w:p>
        </w:tc>
        <w:tc>
          <w:tcPr>
            <w:tcW w:w="260" w:type="pct"/>
            <w:gridSpan w:val="2"/>
            <w:tcBorders>
              <w:top w:val="nil"/>
              <w:left w:val="nil"/>
              <w:bottom w:val="nil"/>
              <w:right w:val="nil"/>
            </w:tcBorders>
            <w:shd w:val="clear" w:color="auto" w:fill="auto"/>
            <w:noWrap/>
            <w:vAlign w:val="center"/>
          </w:tcPr>
          <w:p w14:paraId="6EB8D75C">
            <w:pPr>
              <w:jc w:val="center"/>
              <w:rPr>
                <w:rFonts w:hint="eastAsia" w:ascii="宋体" w:hAnsi="宋体" w:eastAsia="宋体" w:cs="宋体"/>
                <w:i w:val="0"/>
                <w:iCs w:val="0"/>
                <w:color w:val="000000"/>
                <w:sz w:val="22"/>
                <w:szCs w:val="22"/>
                <w:u w:val="none"/>
                <w:woUserID w:val="2"/>
              </w:rPr>
            </w:pPr>
          </w:p>
        </w:tc>
        <w:tc>
          <w:tcPr>
            <w:tcW w:w="259" w:type="pct"/>
            <w:gridSpan w:val="2"/>
            <w:tcBorders>
              <w:top w:val="nil"/>
              <w:left w:val="nil"/>
              <w:bottom w:val="nil"/>
              <w:right w:val="nil"/>
            </w:tcBorders>
            <w:shd w:val="clear" w:color="auto" w:fill="auto"/>
            <w:noWrap/>
            <w:vAlign w:val="center"/>
          </w:tcPr>
          <w:p w14:paraId="51009E6C">
            <w:pPr>
              <w:jc w:val="center"/>
              <w:rPr>
                <w:rFonts w:hint="eastAsia" w:ascii="宋体" w:hAnsi="宋体" w:eastAsia="宋体" w:cs="宋体"/>
                <w:i w:val="0"/>
                <w:iCs w:val="0"/>
                <w:color w:val="000000"/>
                <w:sz w:val="22"/>
                <w:szCs w:val="22"/>
                <w:u w:val="none"/>
                <w:woUserID w:val="2"/>
              </w:rPr>
            </w:pPr>
          </w:p>
        </w:tc>
        <w:tc>
          <w:tcPr>
            <w:tcW w:w="260" w:type="pct"/>
            <w:gridSpan w:val="2"/>
            <w:tcBorders>
              <w:top w:val="nil"/>
              <w:left w:val="nil"/>
              <w:bottom w:val="nil"/>
              <w:right w:val="nil"/>
            </w:tcBorders>
            <w:shd w:val="clear" w:color="auto" w:fill="auto"/>
            <w:noWrap/>
            <w:vAlign w:val="center"/>
          </w:tcPr>
          <w:p w14:paraId="529DD86D">
            <w:pPr>
              <w:jc w:val="center"/>
              <w:rPr>
                <w:rFonts w:hint="eastAsia" w:ascii="宋体" w:hAnsi="宋体" w:eastAsia="宋体" w:cs="宋体"/>
                <w:i w:val="0"/>
                <w:iCs w:val="0"/>
                <w:color w:val="000000"/>
                <w:sz w:val="22"/>
                <w:szCs w:val="22"/>
                <w:u w:val="none"/>
                <w:woUserID w:val="2"/>
              </w:rPr>
            </w:pPr>
          </w:p>
        </w:tc>
        <w:tc>
          <w:tcPr>
            <w:tcW w:w="302" w:type="pct"/>
            <w:tcBorders>
              <w:top w:val="nil"/>
              <w:left w:val="nil"/>
              <w:bottom w:val="nil"/>
              <w:right w:val="nil"/>
            </w:tcBorders>
            <w:shd w:val="clear" w:color="auto" w:fill="auto"/>
            <w:noWrap/>
            <w:vAlign w:val="center"/>
          </w:tcPr>
          <w:p w14:paraId="6D26878D">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2707.52 </w:t>
            </w:r>
          </w:p>
        </w:tc>
        <w:tc>
          <w:tcPr>
            <w:tcW w:w="368" w:type="pct"/>
            <w:gridSpan w:val="2"/>
            <w:tcBorders>
              <w:top w:val="nil"/>
              <w:left w:val="nil"/>
              <w:bottom w:val="nil"/>
              <w:right w:val="nil"/>
            </w:tcBorders>
            <w:shd w:val="clear" w:color="auto" w:fill="auto"/>
            <w:noWrap/>
            <w:vAlign w:val="center"/>
          </w:tcPr>
          <w:p w14:paraId="03143F50">
            <w:pPr>
              <w:jc w:val="center"/>
              <w:rPr>
                <w:rFonts w:hint="eastAsia" w:ascii="宋体" w:hAnsi="宋体" w:eastAsia="宋体" w:cs="宋体"/>
                <w:i w:val="0"/>
                <w:iCs w:val="0"/>
                <w:color w:val="000000"/>
                <w:sz w:val="22"/>
                <w:szCs w:val="22"/>
                <w:u w:val="none"/>
                <w:woUserID w:val="2"/>
              </w:rPr>
            </w:pPr>
          </w:p>
        </w:tc>
      </w:tr>
      <w:tr w14:paraId="5F9C2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6" w:type="pct"/>
            <w:tcBorders>
              <w:top w:val="nil"/>
              <w:left w:val="nil"/>
              <w:bottom w:val="nil"/>
              <w:right w:val="nil"/>
            </w:tcBorders>
            <w:shd w:val="clear" w:color="auto" w:fill="auto"/>
            <w:noWrap/>
            <w:vAlign w:val="center"/>
          </w:tcPr>
          <w:p w14:paraId="75AA0978">
            <w:pPr>
              <w:jc w:val="center"/>
              <w:rPr>
                <w:rFonts w:hint="eastAsia" w:ascii="宋体" w:hAnsi="宋体" w:eastAsia="宋体" w:cs="宋体"/>
                <w:i w:val="0"/>
                <w:iCs w:val="0"/>
                <w:color w:val="000000"/>
                <w:sz w:val="22"/>
                <w:szCs w:val="22"/>
                <w:u w:val="none"/>
                <w:woUserID w:val="2"/>
              </w:rPr>
            </w:pPr>
          </w:p>
        </w:tc>
        <w:tc>
          <w:tcPr>
            <w:tcW w:w="1033" w:type="pct"/>
            <w:tcBorders>
              <w:top w:val="nil"/>
              <w:left w:val="nil"/>
              <w:bottom w:val="nil"/>
              <w:right w:val="nil"/>
            </w:tcBorders>
            <w:shd w:val="clear" w:color="auto" w:fill="auto"/>
            <w:noWrap/>
            <w:vAlign w:val="center"/>
          </w:tcPr>
          <w:p w14:paraId="3F457DAF">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项目投资回收期（年）（所得税前）</w:t>
            </w:r>
          </w:p>
        </w:tc>
        <w:tc>
          <w:tcPr>
            <w:tcW w:w="257" w:type="pct"/>
            <w:tcBorders>
              <w:top w:val="nil"/>
              <w:left w:val="nil"/>
              <w:bottom w:val="nil"/>
              <w:right w:val="nil"/>
            </w:tcBorders>
            <w:shd w:val="clear" w:color="auto" w:fill="auto"/>
            <w:noWrap/>
            <w:vAlign w:val="center"/>
          </w:tcPr>
          <w:p w14:paraId="3DFC9B0A">
            <w:pPr>
              <w:jc w:val="center"/>
              <w:rPr>
                <w:rFonts w:hint="eastAsia" w:ascii="宋体" w:hAnsi="宋体" w:eastAsia="宋体" w:cs="宋体"/>
                <w:i w:val="0"/>
                <w:iCs w:val="0"/>
                <w:color w:val="000000"/>
                <w:sz w:val="16"/>
                <w:szCs w:val="16"/>
                <w:u w:val="none"/>
                <w:woUserID w:val="2"/>
              </w:rPr>
            </w:pPr>
          </w:p>
        </w:tc>
        <w:tc>
          <w:tcPr>
            <w:tcW w:w="284" w:type="pct"/>
            <w:tcBorders>
              <w:top w:val="nil"/>
              <w:left w:val="nil"/>
              <w:bottom w:val="nil"/>
              <w:right w:val="nil"/>
            </w:tcBorders>
            <w:shd w:val="clear" w:color="auto" w:fill="auto"/>
            <w:noWrap/>
            <w:vAlign w:val="center"/>
          </w:tcPr>
          <w:p w14:paraId="59CA9D81">
            <w:pPr>
              <w:jc w:val="center"/>
              <w:rPr>
                <w:rFonts w:hint="eastAsia" w:ascii="宋体" w:hAnsi="宋体" w:eastAsia="宋体" w:cs="宋体"/>
                <w:i w:val="0"/>
                <w:iCs w:val="0"/>
                <w:color w:val="000000"/>
                <w:sz w:val="16"/>
                <w:szCs w:val="16"/>
                <w:u w:val="none"/>
                <w:woUserID w:val="2"/>
              </w:rPr>
            </w:pPr>
          </w:p>
        </w:tc>
        <w:tc>
          <w:tcPr>
            <w:tcW w:w="252" w:type="pct"/>
            <w:gridSpan w:val="2"/>
            <w:tcBorders>
              <w:top w:val="nil"/>
              <w:left w:val="nil"/>
              <w:bottom w:val="nil"/>
              <w:right w:val="nil"/>
            </w:tcBorders>
            <w:shd w:val="clear" w:color="auto" w:fill="auto"/>
            <w:noWrap/>
            <w:vAlign w:val="center"/>
          </w:tcPr>
          <w:p w14:paraId="5F411D0A">
            <w:pPr>
              <w:jc w:val="center"/>
              <w:rPr>
                <w:rFonts w:hint="eastAsia" w:ascii="宋体" w:hAnsi="宋体" w:eastAsia="宋体" w:cs="宋体"/>
                <w:i w:val="0"/>
                <w:iCs w:val="0"/>
                <w:color w:val="000000"/>
                <w:sz w:val="16"/>
                <w:szCs w:val="16"/>
                <w:u w:val="none"/>
                <w:woUserID w:val="2"/>
              </w:rPr>
            </w:pPr>
          </w:p>
        </w:tc>
        <w:tc>
          <w:tcPr>
            <w:tcW w:w="291" w:type="pct"/>
            <w:gridSpan w:val="2"/>
            <w:tcBorders>
              <w:top w:val="nil"/>
              <w:left w:val="nil"/>
              <w:bottom w:val="nil"/>
              <w:right w:val="nil"/>
            </w:tcBorders>
            <w:shd w:val="clear" w:color="auto" w:fill="auto"/>
            <w:noWrap/>
            <w:vAlign w:val="center"/>
          </w:tcPr>
          <w:p w14:paraId="47478F76">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9.22 </w:t>
            </w:r>
          </w:p>
        </w:tc>
        <w:tc>
          <w:tcPr>
            <w:tcW w:w="259" w:type="pct"/>
            <w:gridSpan w:val="2"/>
            <w:tcBorders>
              <w:top w:val="nil"/>
              <w:left w:val="nil"/>
              <w:bottom w:val="nil"/>
              <w:right w:val="nil"/>
            </w:tcBorders>
            <w:shd w:val="clear" w:color="auto" w:fill="auto"/>
            <w:noWrap/>
            <w:vAlign w:val="center"/>
          </w:tcPr>
          <w:p w14:paraId="192FF347">
            <w:pPr>
              <w:jc w:val="center"/>
              <w:rPr>
                <w:rFonts w:hint="eastAsia" w:ascii="宋体" w:hAnsi="宋体" w:eastAsia="宋体" w:cs="宋体"/>
                <w:i w:val="0"/>
                <w:iCs w:val="0"/>
                <w:color w:val="000000"/>
                <w:sz w:val="22"/>
                <w:szCs w:val="22"/>
                <w:u w:val="none"/>
                <w:woUserID w:val="2"/>
              </w:rPr>
            </w:pPr>
          </w:p>
        </w:tc>
        <w:tc>
          <w:tcPr>
            <w:tcW w:w="1033" w:type="pct"/>
            <w:gridSpan w:val="3"/>
            <w:tcBorders>
              <w:top w:val="nil"/>
              <w:left w:val="nil"/>
              <w:bottom w:val="nil"/>
              <w:right w:val="nil"/>
            </w:tcBorders>
            <w:shd w:val="clear" w:color="auto" w:fill="auto"/>
            <w:noWrap/>
            <w:vAlign w:val="center"/>
          </w:tcPr>
          <w:p w14:paraId="222C37D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项目投资回收期（年）（所得税后）</w:t>
            </w:r>
          </w:p>
        </w:tc>
        <w:tc>
          <w:tcPr>
            <w:tcW w:w="260" w:type="pct"/>
            <w:gridSpan w:val="2"/>
            <w:tcBorders>
              <w:top w:val="nil"/>
              <w:left w:val="nil"/>
              <w:bottom w:val="nil"/>
              <w:right w:val="nil"/>
            </w:tcBorders>
            <w:shd w:val="clear" w:color="auto" w:fill="auto"/>
            <w:noWrap/>
            <w:vAlign w:val="center"/>
          </w:tcPr>
          <w:p w14:paraId="719B9695">
            <w:pPr>
              <w:jc w:val="center"/>
              <w:rPr>
                <w:rFonts w:hint="eastAsia" w:ascii="宋体" w:hAnsi="宋体" w:eastAsia="宋体" w:cs="宋体"/>
                <w:i w:val="0"/>
                <w:iCs w:val="0"/>
                <w:color w:val="000000"/>
                <w:sz w:val="22"/>
                <w:szCs w:val="22"/>
                <w:u w:val="none"/>
                <w:woUserID w:val="2"/>
              </w:rPr>
            </w:pPr>
          </w:p>
        </w:tc>
        <w:tc>
          <w:tcPr>
            <w:tcW w:w="259" w:type="pct"/>
            <w:gridSpan w:val="2"/>
            <w:tcBorders>
              <w:top w:val="nil"/>
              <w:left w:val="nil"/>
              <w:bottom w:val="nil"/>
              <w:right w:val="nil"/>
            </w:tcBorders>
            <w:shd w:val="clear" w:color="auto" w:fill="auto"/>
            <w:noWrap/>
            <w:vAlign w:val="center"/>
          </w:tcPr>
          <w:p w14:paraId="76BA9F03">
            <w:pPr>
              <w:jc w:val="center"/>
              <w:rPr>
                <w:rFonts w:hint="eastAsia" w:ascii="宋体" w:hAnsi="宋体" w:eastAsia="宋体" w:cs="宋体"/>
                <w:i w:val="0"/>
                <w:iCs w:val="0"/>
                <w:color w:val="000000"/>
                <w:sz w:val="22"/>
                <w:szCs w:val="22"/>
                <w:u w:val="none"/>
                <w:woUserID w:val="2"/>
              </w:rPr>
            </w:pPr>
          </w:p>
        </w:tc>
        <w:tc>
          <w:tcPr>
            <w:tcW w:w="260" w:type="pct"/>
            <w:gridSpan w:val="2"/>
            <w:tcBorders>
              <w:top w:val="nil"/>
              <w:left w:val="nil"/>
              <w:bottom w:val="nil"/>
              <w:right w:val="nil"/>
            </w:tcBorders>
            <w:shd w:val="clear" w:color="auto" w:fill="auto"/>
            <w:noWrap/>
            <w:vAlign w:val="center"/>
          </w:tcPr>
          <w:p w14:paraId="65BF8CE3">
            <w:pPr>
              <w:jc w:val="center"/>
              <w:rPr>
                <w:rFonts w:hint="eastAsia" w:ascii="宋体" w:hAnsi="宋体" w:eastAsia="宋体" w:cs="宋体"/>
                <w:i w:val="0"/>
                <w:iCs w:val="0"/>
                <w:color w:val="000000"/>
                <w:sz w:val="22"/>
                <w:szCs w:val="22"/>
                <w:u w:val="none"/>
                <w:woUserID w:val="2"/>
              </w:rPr>
            </w:pPr>
          </w:p>
        </w:tc>
        <w:tc>
          <w:tcPr>
            <w:tcW w:w="302" w:type="pct"/>
            <w:tcBorders>
              <w:top w:val="nil"/>
              <w:left w:val="nil"/>
              <w:bottom w:val="nil"/>
              <w:right w:val="nil"/>
            </w:tcBorders>
            <w:shd w:val="clear" w:color="auto" w:fill="auto"/>
            <w:noWrap/>
            <w:vAlign w:val="center"/>
          </w:tcPr>
          <w:p w14:paraId="33086878">
            <w:pPr>
              <w:keepNext w:val="0"/>
              <w:keepLines w:val="0"/>
              <w:widowControl/>
              <w:suppressLineNumbers w:val="0"/>
              <w:jc w:val="center"/>
              <w:textAlignment w:val="center"/>
              <w:rPr>
                <w:rFonts w:hint="eastAsia" w:ascii="宋体" w:hAnsi="宋体" w:eastAsia="宋体" w:cs="宋体"/>
                <w:i w:val="0"/>
                <w:iCs w:val="0"/>
                <w:color w:val="000000"/>
                <w:sz w:val="16"/>
                <w:szCs w:val="16"/>
                <w:u w:val="none"/>
                <w:woUserID w:val="2"/>
              </w:rPr>
            </w:pPr>
            <w:r>
              <w:rPr>
                <w:rFonts w:hint="eastAsia" w:ascii="宋体" w:hAnsi="宋体" w:eastAsia="宋体" w:cs="宋体"/>
                <w:i w:val="0"/>
                <w:iCs w:val="0"/>
                <w:snapToGrid w:val="0"/>
                <w:color w:val="000000"/>
                <w:kern w:val="0"/>
                <w:sz w:val="16"/>
                <w:szCs w:val="16"/>
                <w:u w:val="none"/>
                <w:lang w:val="en-US" w:eastAsia="zh-CN" w:bidi="ar"/>
                <w:woUserID w:val="2"/>
              </w:rPr>
              <w:t xml:space="preserve">9.45 </w:t>
            </w:r>
          </w:p>
        </w:tc>
        <w:tc>
          <w:tcPr>
            <w:tcW w:w="368" w:type="pct"/>
            <w:gridSpan w:val="2"/>
            <w:tcBorders>
              <w:top w:val="nil"/>
              <w:left w:val="nil"/>
              <w:bottom w:val="nil"/>
              <w:right w:val="nil"/>
            </w:tcBorders>
            <w:shd w:val="clear" w:color="auto" w:fill="auto"/>
            <w:noWrap/>
            <w:vAlign w:val="center"/>
          </w:tcPr>
          <w:p w14:paraId="5733E7FB">
            <w:pPr>
              <w:jc w:val="center"/>
              <w:rPr>
                <w:rFonts w:hint="eastAsia" w:ascii="宋体" w:hAnsi="宋体" w:eastAsia="宋体" w:cs="宋体"/>
                <w:i w:val="0"/>
                <w:iCs w:val="0"/>
                <w:color w:val="000000"/>
                <w:sz w:val="22"/>
                <w:szCs w:val="22"/>
                <w:u w:val="none"/>
                <w:woUserID w:val="2"/>
              </w:rPr>
            </w:pPr>
          </w:p>
        </w:tc>
      </w:tr>
    </w:tbl>
    <w:p w14:paraId="4DC510C2">
      <w:pPr>
        <w:keepNext w:val="0"/>
        <w:keepLines w:val="0"/>
        <w:pageBreakBefore w:val="0"/>
        <w:widowControl/>
        <w:kinsoku w:val="0"/>
        <w:wordWrap/>
        <w:overflowPunct/>
        <w:topLinePunct w:val="0"/>
        <w:autoSpaceDE w:val="0"/>
        <w:autoSpaceDN w:val="0"/>
        <w:bidi w:val="0"/>
        <w:adjustRightInd w:val="0"/>
        <w:snapToGrid w:val="0"/>
        <w:textAlignment w:val="baseline"/>
        <w:outlineLvl w:val="0"/>
      </w:pPr>
      <w:r>
        <w:br w:type="page"/>
      </w:r>
    </w:p>
    <w:p w14:paraId="1F9ED215">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宋体" w:hAnsi="宋体" w:eastAsia="宋体" w:cs="宋体"/>
          <w:b/>
          <w:bCs/>
          <w:i w:val="0"/>
          <w:iCs w:val="0"/>
          <w:color w:val="000000"/>
          <w:kern w:val="0"/>
          <w:sz w:val="28"/>
          <w:szCs w:val="28"/>
          <w:u w:val="none"/>
          <w:lang w:val="en-US" w:eastAsia="zh-CN"/>
        </w:rPr>
      </w:pPr>
      <w:bookmarkStart w:id="78" w:name="_Toc9701"/>
      <w:bookmarkStart w:id="79" w:name="_Toc24801"/>
      <w:bookmarkStart w:id="80" w:name="_Toc8901"/>
      <w:bookmarkStart w:id="81" w:name="_Toc4955"/>
      <w:bookmarkStart w:id="82" w:name="_Toc4422"/>
      <w:bookmarkStart w:id="83" w:name="_Toc19937"/>
      <w:bookmarkStart w:id="84" w:name="_Toc27094"/>
      <w:r>
        <w:rPr>
          <w:rFonts w:hint="eastAsia" w:ascii="宋体" w:hAnsi="宋体" w:eastAsia="宋体" w:cs="宋体"/>
          <w:b/>
          <w:bCs/>
          <w:i w:val="0"/>
          <w:iCs w:val="0"/>
          <w:color w:val="000000"/>
          <w:kern w:val="0"/>
          <w:sz w:val="28"/>
          <w:szCs w:val="28"/>
          <w:u w:val="none"/>
          <w:lang w:val="en-US" w:eastAsia="zh-CN"/>
        </w:rPr>
        <w:t>附表7：还本付息表</w:t>
      </w:r>
      <w:bookmarkEnd w:id="78"/>
      <w:bookmarkEnd w:id="79"/>
      <w:bookmarkEnd w:id="80"/>
      <w:bookmarkEnd w:id="81"/>
      <w:bookmarkEnd w:id="82"/>
      <w:bookmarkEnd w:id="83"/>
      <w:bookmarkEnd w:id="84"/>
    </w:p>
    <w:tbl>
      <w:tblPr>
        <w:tblStyle w:val="14"/>
        <w:tblW w:w="13958"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3"/>
        <w:gridCol w:w="1220"/>
        <w:gridCol w:w="1186"/>
        <w:gridCol w:w="1102"/>
        <w:gridCol w:w="1103"/>
        <w:gridCol w:w="1103"/>
        <w:gridCol w:w="1103"/>
        <w:gridCol w:w="1103"/>
        <w:gridCol w:w="1103"/>
        <w:gridCol w:w="1103"/>
        <w:gridCol w:w="1103"/>
        <w:gridCol w:w="1103"/>
        <w:gridCol w:w="1103"/>
      </w:tblGrid>
      <w:tr w14:paraId="4438D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496" w:type="dxa"/>
            <w:tcBorders>
              <w:top w:val="nil"/>
              <w:left w:val="nil"/>
              <w:bottom w:val="nil"/>
              <w:right w:val="nil"/>
            </w:tcBorders>
            <w:shd w:val="clear" w:color="auto" w:fill="auto"/>
            <w:noWrap/>
            <w:vAlign w:val="center"/>
          </w:tcPr>
          <w:p w14:paraId="53BED596">
            <w:pPr>
              <w:jc w:val="center"/>
              <w:rPr>
                <w:rFonts w:hint="eastAsia" w:ascii="宋体" w:hAnsi="宋体" w:eastAsia="宋体" w:cs="宋体"/>
                <w:i w:val="0"/>
                <w:iCs w:val="0"/>
                <w:color w:val="000000"/>
                <w:sz w:val="18"/>
                <w:szCs w:val="18"/>
                <w:u w:val="none"/>
                <w:woUserID w:val="2"/>
              </w:rPr>
            </w:pPr>
          </w:p>
        </w:tc>
        <w:tc>
          <w:tcPr>
            <w:tcW w:w="1156" w:type="dxa"/>
            <w:tcBorders>
              <w:top w:val="nil"/>
              <w:left w:val="nil"/>
              <w:bottom w:val="nil"/>
              <w:right w:val="nil"/>
            </w:tcBorders>
            <w:shd w:val="clear" w:color="auto" w:fill="auto"/>
            <w:noWrap/>
            <w:vAlign w:val="center"/>
          </w:tcPr>
          <w:p w14:paraId="2E9A03C5">
            <w:pPr>
              <w:jc w:val="center"/>
              <w:rPr>
                <w:rFonts w:hint="eastAsia" w:ascii="宋体" w:hAnsi="宋体" w:eastAsia="宋体" w:cs="宋体"/>
                <w:i w:val="0"/>
                <w:iCs w:val="0"/>
                <w:color w:val="000000"/>
                <w:sz w:val="18"/>
                <w:szCs w:val="18"/>
                <w:u w:val="none"/>
                <w:woUserID w:val="2"/>
              </w:rPr>
            </w:pPr>
          </w:p>
        </w:tc>
        <w:tc>
          <w:tcPr>
            <w:tcW w:w="1124" w:type="dxa"/>
            <w:tcBorders>
              <w:top w:val="nil"/>
              <w:left w:val="nil"/>
              <w:bottom w:val="nil"/>
              <w:right w:val="nil"/>
            </w:tcBorders>
            <w:shd w:val="clear" w:color="auto" w:fill="auto"/>
            <w:noWrap/>
            <w:vAlign w:val="center"/>
          </w:tcPr>
          <w:p w14:paraId="051FB723">
            <w:pPr>
              <w:jc w:val="center"/>
              <w:rPr>
                <w:rFonts w:hint="eastAsia" w:ascii="宋体" w:hAnsi="宋体" w:eastAsia="宋体" w:cs="宋体"/>
                <w:i w:val="0"/>
                <w:iCs w:val="0"/>
                <w:color w:val="000000"/>
                <w:sz w:val="18"/>
                <w:szCs w:val="18"/>
                <w:u w:val="none"/>
                <w:woUserID w:val="2"/>
              </w:rPr>
            </w:pPr>
          </w:p>
        </w:tc>
        <w:tc>
          <w:tcPr>
            <w:tcW w:w="1044" w:type="dxa"/>
            <w:tcBorders>
              <w:top w:val="nil"/>
              <w:left w:val="nil"/>
              <w:bottom w:val="nil"/>
              <w:right w:val="nil"/>
            </w:tcBorders>
            <w:shd w:val="clear" w:color="auto" w:fill="auto"/>
            <w:noWrap/>
            <w:vAlign w:val="center"/>
          </w:tcPr>
          <w:p w14:paraId="58921BB8">
            <w:pPr>
              <w:jc w:val="center"/>
              <w:rPr>
                <w:rFonts w:hint="eastAsia" w:ascii="宋体" w:hAnsi="宋体" w:eastAsia="宋体" w:cs="宋体"/>
                <w:i w:val="0"/>
                <w:iCs w:val="0"/>
                <w:color w:val="FF0000"/>
                <w:sz w:val="18"/>
                <w:szCs w:val="18"/>
                <w:u w:val="none"/>
                <w:woUserID w:val="2"/>
              </w:rPr>
            </w:pPr>
          </w:p>
        </w:tc>
        <w:tc>
          <w:tcPr>
            <w:tcW w:w="1044" w:type="dxa"/>
            <w:tcBorders>
              <w:top w:val="nil"/>
              <w:left w:val="nil"/>
              <w:bottom w:val="nil"/>
              <w:right w:val="nil"/>
            </w:tcBorders>
            <w:shd w:val="clear" w:color="auto" w:fill="auto"/>
            <w:noWrap/>
            <w:vAlign w:val="center"/>
          </w:tcPr>
          <w:p w14:paraId="30153E72">
            <w:pPr>
              <w:jc w:val="center"/>
              <w:rPr>
                <w:rFonts w:hint="eastAsia" w:ascii="宋体" w:hAnsi="宋体" w:eastAsia="宋体" w:cs="宋体"/>
                <w:i w:val="0"/>
                <w:iCs w:val="0"/>
                <w:color w:val="FF0000"/>
                <w:sz w:val="18"/>
                <w:szCs w:val="18"/>
                <w:u w:val="none"/>
                <w:woUserID w:val="2"/>
              </w:rPr>
            </w:pPr>
          </w:p>
        </w:tc>
        <w:tc>
          <w:tcPr>
            <w:tcW w:w="1044" w:type="dxa"/>
            <w:tcBorders>
              <w:top w:val="nil"/>
              <w:left w:val="nil"/>
              <w:bottom w:val="nil"/>
              <w:right w:val="nil"/>
            </w:tcBorders>
            <w:shd w:val="clear" w:color="auto" w:fill="auto"/>
            <w:noWrap/>
            <w:vAlign w:val="center"/>
          </w:tcPr>
          <w:p w14:paraId="21B86BA1">
            <w:pPr>
              <w:jc w:val="center"/>
              <w:rPr>
                <w:rFonts w:hint="eastAsia" w:ascii="宋体" w:hAnsi="宋体" w:eastAsia="宋体" w:cs="宋体"/>
                <w:i w:val="0"/>
                <w:iCs w:val="0"/>
                <w:color w:val="000000"/>
                <w:sz w:val="18"/>
                <w:szCs w:val="18"/>
                <w:u w:val="none"/>
                <w:woUserID w:val="2"/>
              </w:rPr>
            </w:pPr>
          </w:p>
        </w:tc>
        <w:tc>
          <w:tcPr>
            <w:tcW w:w="1044" w:type="dxa"/>
            <w:tcBorders>
              <w:top w:val="nil"/>
              <w:left w:val="nil"/>
              <w:bottom w:val="nil"/>
              <w:right w:val="nil"/>
            </w:tcBorders>
            <w:shd w:val="clear" w:color="auto" w:fill="auto"/>
            <w:noWrap/>
            <w:vAlign w:val="center"/>
          </w:tcPr>
          <w:p w14:paraId="154B420B">
            <w:pPr>
              <w:jc w:val="center"/>
              <w:rPr>
                <w:rFonts w:hint="eastAsia" w:ascii="宋体" w:hAnsi="宋体" w:eastAsia="宋体" w:cs="宋体"/>
                <w:i w:val="0"/>
                <w:iCs w:val="0"/>
                <w:color w:val="000000"/>
                <w:sz w:val="18"/>
                <w:szCs w:val="18"/>
                <w:u w:val="none"/>
                <w:woUserID w:val="2"/>
              </w:rPr>
            </w:pPr>
          </w:p>
        </w:tc>
        <w:tc>
          <w:tcPr>
            <w:tcW w:w="1044" w:type="dxa"/>
            <w:tcBorders>
              <w:top w:val="nil"/>
              <w:left w:val="nil"/>
              <w:bottom w:val="nil"/>
              <w:right w:val="nil"/>
            </w:tcBorders>
            <w:shd w:val="clear" w:color="auto" w:fill="auto"/>
            <w:noWrap/>
            <w:vAlign w:val="center"/>
          </w:tcPr>
          <w:p w14:paraId="1D67935E">
            <w:pPr>
              <w:jc w:val="center"/>
              <w:rPr>
                <w:rFonts w:hint="eastAsia" w:ascii="宋体" w:hAnsi="宋体" w:eastAsia="宋体" w:cs="宋体"/>
                <w:i w:val="0"/>
                <w:iCs w:val="0"/>
                <w:color w:val="000000"/>
                <w:sz w:val="18"/>
                <w:szCs w:val="18"/>
                <w:u w:val="none"/>
                <w:woUserID w:val="2"/>
              </w:rPr>
            </w:pPr>
          </w:p>
        </w:tc>
        <w:tc>
          <w:tcPr>
            <w:tcW w:w="1044" w:type="dxa"/>
            <w:tcBorders>
              <w:top w:val="nil"/>
              <w:left w:val="nil"/>
              <w:bottom w:val="nil"/>
              <w:right w:val="nil"/>
            </w:tcBorders>
            <w:shd w:val="clear" w:color="auto" w:fill="auto"/>
            <w:noWrap/>
            <w:vAlign w:val="center"/>
          </w:tcPr>
          <w:p w14:paraId="4FE8EB4D">
            <w:pPr>
              <w:jc w:val="center"/>
              <w:rPr>
                <w:rFonts w:hint="eastAsia" w:ascii="宋体" w:hAnsi="宋体" w:eastAsia="宋体" w:cs="宋体"/>
                <w:i w:val="0"/>
                <w:iCs w:val="0"/>
                <w:color w:val="000000"/>
                <w:sz w:val="18"/>
                <w:szCs w:val="18"/>
                <w:u w:val="none"/>
                <w:woUserID w:val="2"/>
              </w:rPr>
            </w:pPr>
          </w:p>
        </w:tc>
        <w:tc>
          <w:tcPr>
            <w:tcW w:w="1044" w:type="dxa"/>
            <w:tcBorders>
              <w:top w:val="nil"/>
              <w:left w:val="nil"/>
              <w:bottom w:val="nil"/>
              <w:right w:val="nil"/>
            </w:tcBorders>
            <w:shd w:val="clear" w:color="auto" w:fill="auto"/>
            <w:noWrap/>
            <w:vAlign w:val="center"/>
          </w:tcPr>
          <w:p w14:paraId="765C6578">
            <w:pPr>
              <w:jc w:val="center"/>
              <w:rPr>
                <w:rFonts w:hint="eastAsia" w:ascii="宋体" w:hAnsi="宋体" w:eastAsia="宋体" w:cs="宋体"/>
                <w:i w:val="0"/>
                <w:iCs w:val="0"/>
                <w:color w:val="000000"/>
                <w:sz w:val="18"/>
                <w:szCs w:val="18"/>
                <w:u w:val="none"/>
                <w:woUserID w:val="2"/>
              </w:rPr>
            </w:pPr>
          </w:p>
        </w:tc>
        <w:tc>
          <w:tcPr>
            <w:tcW w:w="1044" w:type="dxa"/>
            <w:tcBorders>
              <w:top w:val="nil"/>
              <w:left w:val="nil"/>
              <w:bottom w:val="nil"/>
              <w:right w:val="nil"/>
            </w:tcBorders>
            <w:shd w:val="clear" w:color="auto" w:fill="auto"/>
            <w:noWrap/>
            <w:vAlign w:val="center"/>
          </w:tcPr>
          <w:p w14:paraId="0FC0B06B">
            <w:pPr>
              <w:jc w:val="center"/>
              <w:rPr>
                <w:rFonts w:hint="eastAsia" w:ascii="宋体" w:hAnsi="宋体" w:eastAsia="宋体" w:cs="宋体"/>
                <w:i w:val="0"/>
                <w:iCs w:val="0"/>
                <w:color w:val="000000"/>
                <w:sz w:val="18"/>
                <w:szCs w:val="18"/>
                <w:u w:val="none"/>
                <w:woUserID w:val="2"/>
              </w:rPr>
            </w:pPr>
          </w:p>
        </w:tc>
        <w:tc>
          <w:tcPr>
            <w:tcW w:w="1044" w:type="dxa"/>
            <w:tcBorders>
              <w:top w:val="nil"/>
              <w:left w:val="nil"/>
              <w:bottom w:val="nil"/>
              <w:right w:val="nil"/>
            </w:tcBorders>
            <w:shd w:val="clear" w:color="auto" w:fill="auto"/>
            <w:noWrap/>
            <w:vAlign w:val="center"/>
          </w:tcPr>
          <w:p w14:paraId="6A539691">
            <w:pPr>
              <w:jc w:val="center"/>
              <w:rPr>
                <w:rFonts w:hint="eastAsia" w:ascii="宋体" w:hAnsi="宋体" w:eastAsia="宋体" w:cs="宋体"/>
                <w:i w:val="0"/>
                <w:iCs w:val="0"/>
                <w:color w:val="000000"/>
                <w:sz w:val="18"/>
                <w:szCs w:val="18"/>
                <w:u w:val="none"/>
                <w:woUserID w:val="2"/>
              </w:rPr>
            </w:pPr>
          </w:p>
        </w:tc>
        <w:tc>
          <w:tcPr>
            <w:tcW w:w="1044" w:type="dxa"/>
            <w:tcBorders>
              <w:top w:val="nil"/>
              <w:left w:val="nil"/>
              <w:bottom w:val="nil"/>
              <w:right w:val="nil"/>
            </w:tcBorders>
            <w:shd w:val="clear" w:color="auto" w:fill="auto"/>
            <w:noWrap/>
            <w:vAlign w:val="center"/>
          </w:tcPr>
          <w:p w14:paraId="0F09E842">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单位：万元</w:t>
            </w:r>
          </w:p>
        </w:tc>
      </w:tr>
      <w:tr w14:paraId="5D72C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4DEA9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序号</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00F6">
            <w:pPr>
              <w:jc w:val="center"/>
              <w:rPr>
                <w:rFonts w:hint="eastAsia" w:ascii="宋体" w:hAnsi="宋体" w:eastAsia="宋体" w:cs="宋体"/>
                <w:i w:val="0"/>
                <w:iCs w:val="0"/>
                <w:color w:val="000000"/>
                <w:sz w:val="18"/>
                <w:szCs w:val="18"/>
                <w:u w:val="none"/>
                <w:woUserID w:val="2"/>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9F86">
            <w:pPr>
              <w:jc w:val="center"/>
              <w:rPr>
                <w:rFonts w:hint="eastAsia" w:ascii="宋体" w:hAnsi="宋体" w:eastAsia="宋体" w:cs="宋体"/>
                <w:i w:val="0"/>
                <w:iCs w:val="0"/>
                <w:color w:val="000000"/>
                <w:sz w:val="18"/>
                <w:szCs w:val="18"/>
                <w:u w:val="none"/>
                <w:woUserID w:val="2"/>
              </w:rPr>
            </w:pPr>
          </w:p>
        </w:tc>
        <w:tc>
          <w:tcPr>
            <w:tcW w:w="1044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A25C8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计算期</w:t>
            </w:r>
          </w:p>
        </w:tc>
      </w:tr>
      <w:tr w14:paraId="08D74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85678">
            <w:pPr>
              <w:jc w:val="center"/>
              <w:rPr>
                <w:rFonts w:hint="eastAsia" w:ascii="宋体" w:hAnsi="宋体" w:eastAsia="宋体" w:cs="宋体"/>
                <w:i w:val="0"/>
                <w:iCs w:val="0"/>
                <w:color w:val="000000"/>
                <w:sz w:val="18"/>
                <w:szCs w:val="18"/>
                <w:u w:val="none"/>
                <w:woUserID w:val="2"/>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442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项 目</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F85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合计</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A8E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95A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80E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8BA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404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054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BBB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83E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562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0DA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 </w:t>
            </w:r>
          </w:p>
        </w:tc>
      </w:tr>
      <w:tr w14:paraId="42E3C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A00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 </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0D7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建设投资借款</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A57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1FE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3F86">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5B02">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6ADE">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5B85">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EE33">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F44E">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A3FD">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68A2">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8350">
            <w:pPr>
              <w:jc w:val="center"/>
              <w:rPr>
                <w:rFonts w:hint="eastAsia" w:ascii="宋体" w:hAnsi="宋体" w:eastAsia="宋体" w:cs="宋体"/>
                <w:i w:val="0"/>
                <w:iCs w:val="0"/>
                <w:color w:val="000000"/>
                <w:sz w:val="18"/>
                <w:szCs w:val="18"/>
                <w:u w:val="none"/>
                <w:woUserID w:val="2"/>
              </w:rPr>
            </w:pPr>
          </w:p>
        </w:tc>
      </w:tr>
      <w:tr w14:paraId="55880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F34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 </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DD7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期初借款余额</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275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52900.00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2D3B">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CB4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9C4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9100.00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9D0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8100.00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57B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7100.00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F5F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6000.00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4EF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4900.00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528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3800.00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AAA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133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1300.00 </w:t>
            </w:r>
          </w:p>
        </w:tc>
      </w:tr>
      <w:tr w14:paraId="3CD92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AB8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 </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1B5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当期还本付息</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95F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12666.16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B13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252.00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315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1381.32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323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1433.44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D45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1383.04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DAD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1430.12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5DB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1374.68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7E6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1319.24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26C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1361.28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633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1398.28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BED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1332.76 </w:t>
            </w:r>
          </w:p>
        </w:tc>
      </w:tr>
      <w:tr w14:paraId="1A1E4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39A7">
            <w:pPr>
              <w:jc w:val="center"/>
              <w:rPr>
                <w:rFonts w:hint="eastAsia" w:ascii="宋体" w:hAnsi="宋体" w:eastAsia="宋体" w:cs="宋体"/>
                <w:i w:val="0"/>
                <w:iCs w:val="0"/>
                <w:color w:val="000000"/>
                <w:sz w:val="18"/>
                <w:szCs w:val="18"/>
                <w:u w:val="none"/>
                <w:woUserID w:val="2"/>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7FD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其中：还本</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0B0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7883">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D94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6D8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30F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E52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253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D05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BA8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5A1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8805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1300.00 </w:t>
            </w:r>
          </w:p>
        </w:tc>
      </w:tr>
      <w:tr w14:paraId="5CEAB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6EC0">
            <w:pPr>
              <w:jc w:val="center"/>
              <w:rPr>
                <w:rFonts w:hint="eastAsia" w:ascii="宋体" w:hAnsi="宋体" w:eastAsia="宋体" w:cs="宋体"/>
                <w:i w:val="0"/>
                <w:iCs w:val="0"/>
                <w:color w:val="000000"/>
                <w:sz w:val="18"/>
                <w:szCs w:val="18"/>
                <w:u w:val="none"/>
                <w:woUserID w:val="2"/>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318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付息</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FE9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2666.16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499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252.00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EFE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481.32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140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433.44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620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383.04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D74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330.12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BAA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274.68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E2C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219.24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494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161.28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E38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98.28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6D1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32.76 </w:t>
            </w:r>
          </w:p>
        </w:tc>
      </w:tr>
      <w:tr w14:paraId="053A3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162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 </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8D8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期末借款余额</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A82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52900.00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E78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10000.00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F589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9100.00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EC5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8100.00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882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7100.00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782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6000.00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5D02">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4900.00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250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3800.00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2D3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2600.00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1DD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1300.00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9CA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0.00 </w:t>
            </w:r>
          </w:p>
        </w:tc>
      </w:tr>
      <w:tr w14:paraId="7477E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680F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 </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BB9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可用于还本付息的资金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ABE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14419.84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FA67">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CAF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1629.05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1C4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1622.26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6E3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1615.50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6BF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1608.78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D24B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1602.09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421C">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1595.44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166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1588.82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FB6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1582.23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40D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1575.67 </w:t>
            </w:r>
          </w:p>
        </w:tc>
      </w:tr>
      <w:tr w14:paraId="15AF3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61CB6">
            <w:pPr>
              <w:keepNext w:val="0"/>
              <w:keepLines w:val="0"/>
              <w:widowControl/>
              <w:suppressLineNumbers w:val="0"/>
              <w:jc w:val="center"/>
              <w:textAlignment w:val="center"/>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指标</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717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利息备付率</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717B">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5.41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6F5E">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993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3.38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D46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3.74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ED5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4.22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64E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4.87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26D5">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5.83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D938">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7.28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E3C1">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9.85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2E9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16.10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DA94">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48.10 </w:t>
            </w:r>
          </w:p>
        </w:tc>
      </w:tr>
      <w:tr w14:paraId="3B6C9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0FB2F">
            <w:pPr>
              <w:jc w:val="center"/>
              <w:rPr>
                <w:rFonts w:hint="eastAsia" w:ascii="宋体" w:hAnsi="宋体" w:eastAsia="宋体" w:cs="宋体"/>
                <w:i w:val="0"/>
                <w:iCs w:val="0"/>
                <w:color w:val="000000"/>
                <w:sz w:val="18"/>
                <w:szCs w:val="18"/>
                <w:u w:val="none"/>
                <w:woUserID w:val="2"/>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F60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偿债备付率</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7966">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1.14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3EDC">
            <w:pPr>
              <w:jc w:val="center"/>
              <w:rPr>
                <w:rFonts w:hint="eastAsia" w:ascii="宋体" w:hAnsi="宋体" w:eastAsia="宋体" w:cs="宋体"/>
                <w:i w:val="0"/>
                <w:iCs w:val="0"/>
                <w:color w:val="000000"/>
                <w:sz w:val="18"/>
                <w:szCs w:val="18"/>
                <w:u w:val="none"/>
                <w:woUserID w:val="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FF53">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1.18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F39E">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1.13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09E9">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1.17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66C7">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1.12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759A">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1.17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A76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1.21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B240">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1.17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E74D">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1.13 </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3BAF">
            <w:pPr>
              <w:keepNext w:val="0"/>
              <w:keepLines w:val="0"/>
              <w:widowControl/>
              <w:suppressLineNumbers w:val="0"/>
              <w:jc w:val="center"/>
              <w:textAlignment w:val="top"/>
              <w:rPr>
                <w:rFonts w:hint="eastAsia" w:ascii="宋体" w:hAnsi="宋体" w:eastAsia="宋体" w:cs="宋体"/>
                <w:i w:val="0"/>
                <w:iCs w:val="0"/>
                <w:color w:val="000000"/>
                <w:sz w:val="18"/>
                <w:szCs w:val="18"/>
                <w:u w:val="none"/>
                <w:woUserID w:val="2"/>
              </w:rPr>
            </w:pPr>
            <w:r>
              <w:rPr>
                <w:rFonts w:hint="eastAsia" w:ascii="宋体" w:hAnsi="宋体" w:eastAsia="宋体" w:cs="宋体"/>
                <w:i w:val="0"/>
                <w:iCs w:val="0"/>
                <w:snapToGrid w:val="0"/>
                <w:color w:val="000000"/>
                <w:kern w:val="0"/>
                <w:sz w:val="18"/>
                <w:szCs w:val="18"/>
                <w:u w:val="none"/>
                <w:lang w:val="en-US" w:eastAsia="zh-CN" w:bidi="ar"/>
                <w:woUserID w:val="2"/>
              </w:rPr>
              <w:t xml:space="preserve">1.18 </w:t>
            </w:r>
          </w:p>
        </w:tc>
      </w:tr>
    </w:tbl>
    <w:p w14:paraId="41A9DEC2"/>
    <w:sectPr>
      <w:pgSz w:w="16838" w:h="11905" w:orient="landscape"/>
      <w:pgMar w:top="1610" w:right="1440" w:bottom="1134" w:left="1440" w:header="828" w:footer="1196" w:gutter="0"/>
      <w:pgBorders>
        <w:top w:val="none" w:sz="0" w:space="0"/>
        <w:left w:val="none" w:sz="0" w:space="0"/>
        <w:bottom w:val="none" w:sz="0" w:space="0"/>
        <w:right w:val="none" w:sz="0" w:space="0"/>
      </w:pgBorders>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8F182">
    <w:pPr>
      <w:spacing w:line="176" w:lineRule="auto"/>
      <w:ind w:left="446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81B65">
                          <w:pPr>
                            <w:pStyle w:val="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gEpAyAgAAYg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GASkDICAABiBAAADgAAAAAAAAABACAAAAAfAQAAZHJzL2Uyb0RvYy54bWxQSwUG&#10;AAAAAAYABgBZAQAAwwUAAAAA&#10;">
              <v:fill on="f" focussize="0,0"/>
              <v:stroke on="f" weight="0.5pt"/>
              <v:imagedata o:title=""/>
              <o:lock v:ext="edit" aspectratio="f"/>
              <v:textbox inset="0mm,0mm,0mm,0mm" style="mso-fit-shape-to-text:t;">
                <w:txbxContent>
                  <w:p w14:paraId="75081B65">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881C5">
    <w:pPr>
      <w:spacing w:line="176" w:lineRule="auto"/>
      <w:ind w:left="40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0E25D">
                          <w:pPr>
                            <w:pStyle w:val="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JLuU0AgAAYg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iS7lNAIAAGIEAAAOAAAAAAAAAAEAIAAAAB8BAABkcnMvZTJvRG9jLnhtbFBL&#10;BQYAAAAABgAGAFkBAADFBQAAAAA=&#10;">
              <v:fill on="f" focussize="0,0"/>
              <v:stroke on="f" weight="0.5pt"/>
              <v:imagedata o:title=""/>
              <o:lock v:ext="edit" aspectratio="f"/>
              <v:textbox inset="0mm,0mm,0mm,0mm" style="mso-fit-shape-to-text:t;">
                <w:txbxContent>
                  <w:p w14:paraId="1BE0E25D">
                    <w:pPr>
                      <w:pStyle w:val="8"/>
                    </w:pPr>
                    <w:r>
                      <w:fldChar w:fldCharType="begin"/>
                    </w:r>
                    <w:r>
                      <w:instrText xml:space="preserve"> PAGE  \* MERGEFORMAT </w:instrText>
                    </w:r>
                    <w:r>
                      <w:fldChar w:fldCharType="separate"/>
                    </w:r>
                    <w:r>
                      <w:t>39</w:t>
                    </w:r>
                    <w:r>
                      <w:fldChar w:fldCharType="end"/>
                    </w:r>
                  </w:p>
                </w:txbxContent>
              </v:textbox>
            </v:shape>
          </w:pict>
        </mc:Fallback>
      </mc:AlternateContent>
    </w:r>
    <w:r>
      <w:rPr>
        <w:sz w:val="18"/>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97C2B">
                          <w:pPr>
                            <w:pStyle w:val="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7sOcqAgAAVg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AQ7sOcqAgAAVgQAAA4AAAAAAAAAAQAgAAAAHwEAAGRycy9lMm9Eb2MueG1sUEsFBgAAAAAGAAYA&#10;WQEAALsFAAAAAA==&#10;">
              <v:fill on="f" focussize="0,0"/>
              <v:stroke on="f" weight="0.5pt"/>
              <v:imagedata o:title=""/>
              <o:lock v:ext="edit" aspectratio="f"/>
              <v:textbox inset="0mm,0mm,0mm,0mm" style="mso-fit-shape-to-text:t;">
                <w:txbxContent>
                  <w:p w14:paraId="21197C2B">
                    <w:pPr>
                      <w:pStyle w:val="8"/>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54642">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3815B">
                          <w:pPr>
                            <w:pStyle w:val="8"/>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8hKAxAgAAYg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tPISgMQIAAGIEAAAOAAAAAAAAAAEAIAAAAB8BAABkcnMvZTJvRG9jLnhtbFBLBQYA&#10;AAAABgAGAFkBAADCBQAAAAA=&#10;">
              <v:fill on="f" focussize="0,0"/>
              <v:stroke on="f" weight="0.5pt"/>
              <v:imagedata o:title=""/>
              <o:lock v:ext="edit" aspectratio="f"/>
              <v:textbox inset="0mm,0mm,0mm,0mm" style="mso-fit-shape-to-text:t;">
                <w:txbxContent>
                  <w:p w14:paraId="0043815B">
                    <w:pPr>
                      <w:pStyle w:val="8"/>
                    </w:pPr>
                    <w:r>
                      <w:fldChar w:fldCharType="begin"/>
                    </w:r>
                    <w:r>
                      <w:instrText xml:space="preserve"> PAGE  \* MERGEFORMAT </w:instrText>
                    </w:r>
                    <w:r>
                      <w:fldChar w:fldCharType="separate"/>
                    </w:r>
                    <w:r>
                      <w:t>72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E060E">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DF20E">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4DCD4">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9318DC"/>
    <w:multiLevelType w:val="singleLevel"/>
    <w:tmpl w:val="A69318DC"/>
    <w:lvl w:ilvl="0" w:tentative="0">
      <w:start w:val="1"/>
      <w:numFmt w:val="upperLetter"/>
      <w:lvlText w:val="%1."/>
      <w:lvlJc w:val="left"/>
      <w:pPr>
        <w:tabs>
          <w:tab w:val="left" w:pos="312"/>
        </w:tabs>
      </w:pPr>
    </w:lvl>
  </w:abstractNum>
  <w:abstractNum w:abstractNumId="1">
    <w:nsid w:val="59BC75FB"/>
    <w:multiLevelType w:val="singleLevel"/>
    <w:tmpl w:val="59BC75FB"/>
    <w:lvl w:ilvl="0" w:tentative="0">
      <w:start w:val="1"/>
      <w:numFmt w:val="upperLetter"/>
      <w:lvlText w:val="%1."/>
      <w:lvlJc w:val="left"/>
    </w:lvl>
  </w:abstractNum>
  <w:abstractNum w:abstractNumId="2">
    <w:nsid w:val="7EE7327C"/>
    <w:multiLevelType w:val="singleLevel"/>
    <w:tmpl w:val="7EE7327C"/>
    <w:lvl w:ilvl="0" w:tentative="0">
      <w:start w:val="2"/>
      <w:numFmt w:val="upperLetter"/>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5Y2I0MjJhNjk2YTNkNTBmZDQzOWRjNmQ4ZWQxMjUifQ=="/>
    <w:docVar w:name="KSO_WPS_MARK_KEY" w:val="d2a75528-19c7-447c-8130-6b9c5e26ac2a"/>
  </w:docVars>
  <w:rsids>
    <w:rsidRoot w:val="307B0E13"/>
    <w:rsid w:val="001F1D2C"/>
    <w:rsid w:val="0020780D"/>
    <w:rsid w:val="0027586F"/>
    <w:rsid w:val="002B5002"/>
    <w:rsid w:val="003518A2"/>
    <w:rsid w:val="005A53E3"/>
    <w:rsid w:val="00606625"/>
    <w:rsid w:val="00661709"/>
    <w:rsid w:val="00692780"/>
    <w:rsid w:val="00A641FB"/>
    <w:rsid w:val="00A6705F"/>
    <w:rsid w:val="00B95A7D"/>
    <w:rsid w:val="00D42B17"/>
    <w:rsid w:val="00D845C7"/>
    <w:rsid w:val="00E46AD2"/>
    <w:rsid w:val="00ED1E2A"/>
    <w:rsid w:val="01392AFC"/>
    <w:rsid w:val="01964270"/>
    <w:rsid w:val="0196601E"/>
    <w:rsid w:val="01B94567"/>
    <w:rsid w:val="01F114A6"/>
    <w:rsid w:val="01F971B0"/>
    <w:rsid w:val="01FA65AD"/>
    <w:rsid w:val="02060094"/>
    <w:rsid w:val="022528DA"/>
    <w:rsid w:val="02350739"/>
    <w:rsid w:val="025657AD"/>
    <w:rsid w:val="0263637C"/>
    <w:rsid w:val="027D4537"/>
    <w:rsid w:val="028B18FB"/>
    <w:rsid w:val="02A023ED"/>
    <w:rsid w:val="030C4860"/>
    <w:rsid w:val="033F5756"/>
    <w:rsid w:val="03433F84"/>
    <w:rsid w:val="03845B25"/>
    <w:rsid w:val="03AA5DB1"/>
    <w:rsid w:val="03B57ECF"/>
    <w:rsid w:val="03B85971"/>
    <w:rsid w:val="04052FE2"/>
    <w:rsid w:val="04074FB1"/>
    <w:rsid w:val="04171ADC"/>
    <w:rsid w:val="042F4239"/>
    <w:rsid w:val="042F62B6"/>
    <w:rsid w:val="043B28DB"/>
    <w:rsid w:val="045126D0"/>
    <w:rsid w:val="046248DD"/>
    <w:rsid w:val="046D23C1"/>
    <w:rsid w:val="046D69F2"/>
    <w:rsid w:val="049031F8"/>
    <w:rsid w:val="04910D1F"/>
    <w:rsid w:val="04B35139"/>
    <w:rsid w:val="04B62533"/>
    <w:rsid w:val="04BF3ADE"/>
    <w:rsid w:val="04FE2385"/>
    <w:rsid w:val="051517CE"/>
    <w:rsid w:val="05271A72"/>
    <w:rsid w:val="05746A04"/>
    <w:rsid w:val="05962A91"/>
    <w:rsid w:val="05CE547F"/>
    <w:rsid w:val="05E01F5E"/>
    <w:rsid w:val="060A2B37"/>
    <w:rsid w:val="061D77E4"/>
    <w:rsid w:val="065564A8"/>
    <w:rsid w:val="06BB2083"/>
    <w:rsid w:val="06CD5A4F"/>
    <w:rsid w:val="06E635A4"/>
    <w:rsid w:val="070A5D40"/>
    <w:rsid w:val="07830DF3"/>
    <w:rsid w:val="079002D1"/>
    <w:rsid w:val="07AA637F"/>
    <w:rsid w:val="07F65A68"/>
    <w:rsid w:val="08254DC3"/>
    <w:rsid w:val="0842480A"/>
    <w:rsid w:val="085E4D96"/>
    <w:rsid w:val="086C7AD9"/>
    <w:rsid w:val="08731764"/>
    <w:rsid w:val="089259A5"/>
    <w:rsid w:val="089E1B4B"/>
    <w:rsid w:val="08B917CB"/>
    <w:rsid w:val="098033E9"/>
    <w:rsid w:val="09B96649"/>
    <w:rsid w:val="09DC3653"/>
    <w:rsid w:val="09F935EE"/>
    <w:rsid w:val="0A372956"/>
    <w:rsid w:val="0A622F41"/>
    <w:rsid w:val="0ABC6E4C"/>
    <w:rsid w:val="0ABE2142"/>
    <w:rsid w:val="0AEA5425"/>
    <w:rsid w:val="0B0E2F7E"/>
    <w:rsid w:val="0B114967"/>
    <w:rsid w:val="0B685DE5"/>
    <w:rsid w:val="0BA359A4"/>
    <w:rsid w:val="0BAC7AAF"/>
    <w:rsid w:val="0BED162F"/>
    <w:rsid w:val="0BFA3D5F"/>
    <w:rsid w:val="0C012C2E"/>
    <w:rsid w:val="0C245B68"/>
    <w:rsid w:val="0C2B3807"/>
    <w:rsid w:val="0C3B1C9C"/>
    <w:rsid w:val="0C3D4D5D"/>
    <w:rsid w:val="0C9E047D"/>
    <w:rsid w:val="0CC53C5B"/>
    <w:rsid w:val="0CDB347F"/>
    <w:rsid w:val="0CE02843"/>
    <w:rsid w:val="0D1B0366"/>
    <w:rsid w:val="0D63246D"/>
    <w:rsid w:val="0D93701F"/>
    <w:rsid w:val="0DB07328"/>
    <w:rsid w:val="0DB55A7E"/>
    <w:rsid w:val="0DE4650E"/>
    <w:rsid w:val="0DF742E8"/>
    <w:rsid w:val="0E042E7A"/>
    <w:rsid w:val="0E082052"/>
    <w:rsid w:val="0E0A401C"/>
    <w:rsid w:val="0E2D388D"/>
    <w:rsid w:val="0E37485D"/>
    <w:rsid w:val="0E5D73A8"/>
    <w:rsid w:val="0EAE0E4B"/>
    <w:rsid w:val="0EB977F0"/>
    <w:rsid w:val="0ECA7307"/>
    <w:rsid w:val="0EE41D10"/>
    <w:rsid w:val="0EEB72F3"/>
    <w:rsid w:val="0EF645A0"/>
    <w:rsid w:val="0EF95E3E"/>
    <w:rsid w:val="0F1113DA"/>
    <w:rsid w:val="0F331350"/>
    <w:rsid w:val="0F4E76FE"/>
    <w:rsid w:val="0F74096A"/>
    <w:rsid w:val="0F74625E"/>
    <w:rsid w:val="0F92635E"/>
    <w:rsid w:val="0F967C3A"/>
    <w:rsid w:val="10282537"/>
    <w:rsid w:val="105B751D"/>
    <w:rsid w:val="10686DD7"/>
    <w:rsid w:val="10BF2AE0"/>
    <w:rsid w:val="10CD1441"/>
    <w:rsid w:val="10E74CB8"/>
    <w:rsid w:val="10FD6998"/>
    <w:rsid w:val="110F725F"/>
    <w:rsid w:val="1125116C"/>
    <w:rsid w:val="11496C09"/>
    <w:rsid w:val="115F467E"/>
    <w:rsid w:val="11621A79"/>
    <w:rsid w:val="116E5E5A"/>
    <w:rsid w:val="116F29A0"/>
    <w:rsid w:val="117A1A52"/>
    <w:rsid w:val="1194046F"/>
    <w:rsid w:val="11AB5839"/>
    <w:rsid w:val="11C35469"/>
    <w:rsid w:val="11E00428"/>
    <w:rsid w:val="12062D4C"/>
    <w:rsid w:val="1245749A"/>
    <w:rsid w:val="12530254"/>
    <w:rsid w:val="12687563"/>
    <w:rsid w:val="12883761"/>
    <w:rsid w:val="12D76496"/>
    <w:rsid w:val="12F95292"/>
    <w:rsid w:val="1340228E"/>
    <w:rsid w:val="13534CDD"/>
    <w:rsid w:val="13871C6A"/>
    <w:rsid w:val="138903F6"/>
    <w:rsid w:val="13A445CA"/>
    <w:rsid w:val="13F35552"/>
    <w:rsid w:val="143F2545"/>
    <w:rsid w:val="14453636"/>
    <w:rsid w:val="14852908"/>
    <w:rsid w:val="148F527B"/>
    <w:rsid w:val="14A30D26"/>
    <w:rsid w:val="14A50016"/>
    <w:rsid w:val="14B00D4D"/>
    <w:rsid w:val="14C52A4A"/>
    <w:rsid w:val="14D40C52"/>
    <w:rsid w:val="14EC0B0E"/>
    <w:rsid w:val="15227E9D"/>
    <w:rsid w:val="152C0B3F"/>
    <w:rsid w:val="157D5C93"/>
    <w:rsid w:val="15AD5965"/>
    <w:rsid w:val="15B14D7D"/>
    <w:rsid w:val="16041350"/>
    <w:rsid w:val="16155B62"/>
    <w:rsid w:val="16424F19"/>
    <w:rsid w:val="166D78A4"/>
    <w:rsid w:val="16723272"/>
    <w:rsid w:val="168E3310"/>
    <w:rsid w:val="16DE2E95"/>
    <w:rsid w:val="16F51E76"/>
    <w:rsid w:val="170716DF"/>
    <w:rsid w:val="171300C1"/>
    <w:rsid w:val="17716EB9"/>
    <w:rsid w:val="178F5592"/>
    <w:rsid w:val="17935CA0"/>
    <w:rsid w:val="17944956"/>
    <w:rsid w:val="17AD49AC"/>
    <w:rsid w:val="17B228D8"/>
    <w:rsid w:val="17BA0860"/>
    <w:rsid w:val="17D86F39"/>
    <w:rsid w:val="17DB2585"/>
    <w:rsid w:val="17EC02EE"/>
    <w:rsid w:val="18127B0C"/>
    <w:rsid w:val="182F0403"/>
    <w:rsid w:val="184B61B8"/>
    <w:rsid w:val="18531FB5"/>
    <w:rsid w:val="186A230B"/>
    <w:rsid w:val="187C2B7B"/>
    <w:rsid w:val="1886527D"/>
    <w:rsid w:val="189D02AC"/>
    <w:rsid w:val="189E3CDE"/>
    <w:rsid w:val="18A76ACB"/>
    <w:rsid w:val="18BF70AE"/>
    <w:rsid w:val="18C5693E"/>
    <w:rsid w:val="18C653D3"/>
    <w:rsid w:val="18FE30F9"/>
    <w:rsid w:val="192D6202"/>
    <w:rsid w:val="193463F1"/>
    <w:rsid w:val="19623CEE"/>
    <w:rsid w:val="196562C4"/>
    <w:rsid w:val="197113F3"/>
    <w:rsid w:val="19C534ED"/>
    <w:rsid w:val="1A0F21FB"/>
    <w:rsid w:val="1B065B6B"/>
    <w:rsid w:val="1B132036"/>
    <w:rsid w:val="1B245FF1"/>
    <w:rsid w:val="1B2469E6"/>
    <w:rsid w:val="1B46240B"/>
    <w:rsid w:val="1B4815C2"/>
    <w:rsid w:val="1B4901F0"/>
    <w:rsid w:val="1B4A1EFB"/>
    <w:rsid w:val="1B574618"/>
    <w:rsid w:val="1B6723F2"/>
    <w:rsid w:val="1B6A60FA"/>
    <w:rsid w:val="1B746F78"/>
    <w:rsid w:val="1B8F790E"/>
    <w:rsid w:val="1BCE0A36"/>
    <w:rsid w:val="1BD16E86"/>
    <w:rsid w:val="1BDF52BA"/>
    <w:rsid w:val="1BFD6707"/>
    <w:rsid w:val="1C077DEC"/>
    <w:rsid w:val="1CA4388D"/>
    <w:rsid w:val="1CB41933"/>
    <w:rsid w:val="1CC21F65"/>
    <w:rsid w:val="1D01616D"/>
    <w:rsid w:val="1D5A568D"/>
    <w:rsid w:val="1D81597C"/>
    <w:rsid w:val="1D821F73"/>
    <w:rsid w:val="1E2D4410"/>
    <w:rsid w:val="1E345D9A"/>
    <w:rsid w:val="1E543091"/>
    <w:rsid w:val="1E5517D2"/>
    <w:rsid w:val="1E6257AE"/>
    <w:rsid w:val="1E7FAC9A"/>
    <w:rsid w:val="1E8C45D9"/>
    <w:rsid w:val="1EC361C5"/>
    <w:rsid w:val="1EF87EC0"/>
    <w:rsid w:val="1EF92567"/>
    <w:rsid w:val="1F1D3483"/>
    <w:rsid w:val="1F564641"/>
    <w:rsid w:val="1F851D3A"/>
    <w:rsid w:val="1FAD4176"/>
    <w:rsid w:val="1FD04E6A"/>
    <w:rsid w:val="1FDE4319"/>
    <w:rsid w:val="1FEC202F"/>
    <w:rsid w:val="20232D1B"/>
    <w:rsid w:val="20566C4C"/>
    <w:rsid w:val="20A21E92"/>
    <w:rsid w:val="20CD661B"/>
    <w:rsid w:val="214B4BF5"/>
    <w:rsid w:val="21AE4866"/>
    <w:rsid w:val="21AE4D70"/>
    <w:rsid w:val="21B77BBF"/>
    <w:rsid w:val="21E32762"/>
    <w:rsid w:val="2214193A"/>
    <w:rsid w:val="222B5EB7"/>
    <w:rsid w:val="22377BE4"/>
    <w:rsid w:val="223B5680"/>
    <w:rsid w:val="22461706"/>
    <w:rsid w:val="224A52E3"/>
    <w:rsid w:val="2265448A"/>
    <w:rsid w:val="226E2973"/>
    <w:rsid w:val="22794E74"/>
    <w:rsid w:val="227B7187"/>
    <w:rsid w:val="229B16EA"/>
    <w:rsid w:val="22D14CB0"/>
    <w:rsid w:val="22EF3388"/>
    <w:rsid w:val="230E6743"/>
    <w:rsid w:val="23144B9D"/>
    <w:rsid w:val="232856AC"/>
    <w:rsid w:val="23373DD9"/>
    <w:rsid w:val="2342795C"/>
    <w:rsid w:val="23696C97"/>
    <w:rsid w:val="2388359A"/>
    <w:rsid w:val="23952182"/>
    <w:rsid w:val="239620E5"/>
    <w:rsid w:val="23BE3486"/>
    <w:rsid w:val="23C6058D"/>
    <w:rsid w:val="23E4621D"/>
    <w:rsid w:val="23EE4D58"/>
    <w:rsid w:val="240B75A8"/>
    <w:rsid w:val="24107A5A"/>
    <w:rsid w:val="242B1BD5"/>
    <w:rsid w:val="242D4168"/>
    <w:rsid w:val="244B78E8"/>
    <w:rsid w:val="24515EE6"/>
    <w:rsid w:val="245B3F82"/>
    <w:rsid w:val="24763D61"/>
    <w:rsid w:val="249C309C"/>
    <w:rsid w:val="24CD76F9"/>
    <w:rsid w:val="24E0731F"/>
    <w:rsid w:val="250A26FB"/>
    <w:rsid w:val="251115D6"/>
    <w:rsid w:val="25270953"/>
    <w:rsid w:val="25783B09"/>
    <w:rsid w:val="258424AE"/>
    <w:rsid w:val="25AB3597"/>
    <w:rsid w:val="25D80104"/>
    <w:rsid w:val="25E86E68"/>
    <w:rsid w:val="25F72C80"/>
    <w:rsid w:val="26024D4E"/>
    <w:rsid w:val="262F241A"/>
    <w:rsid w:val="263712CE"/>
    <w:rsid w:val="26543444"/>
    <w:rsid w:val="266100F9"/>
    <w:rsid w:val="266A6522"/>
    <w:rsid w:val="266D2F42"/>
    <w:rsid w:val="26807844"/>
    <w:rsid w:val="26883F05"/>
    <w:rsid w:val="268B2BC9"/>
    <w:rsid w:val="26A60202"/>
    <w:rsid w:val="26A821CC"/>
    <w:rsid w:val="26AF355A"/>
    <w:rsid w:val="26B17A62"/>
    <w:rsid w:val="26E054C2"/>
    <w:rsid w:val="271D6716"/>
    <w:rsid w:val="27633455"/>
    <w:rsid w:val="276A0409"/>
    <w:rsid w:val="27702D29"/>
    <w:rsid w:val="278422F1"/>
    <w:rsid w:val="27900E12"/>
    <w:rsid w:val="27AE771B"/>
    <w:rsid w:val="27D52B4D"/>
    <w:rsid w:val="27DEB7BE"/>
    <w:rsid w:val="27ED433A"/>
    <w:rsid w:val="27EE1E60"/>
    <w:rsid w:val="27F82CDF"/>
    <w:rsid w:val="27F97290"/>
    <w:rsid w:val="2804571F"/>
    <w:rsid w:val="280D678A"/>
    <w:rsid w:val="28123DA1"/>
    <w:rsid w:val="28445F24"/>
    <w:rsid w:val="284E28FF"/>
    <w:rsid w:val="286D48BD"/>
    <w:rsid w:val="287560DE"/>
    <w:rsid w:val="28772389"/>
    <w:rsid w:val="287A1946"/>
    <w:rsid w:val="28FD6EE1"/>
    <w:rsid w:val="28FE60D3"/>
    <w:rsid w:val="2920429C"/>
    <w:rsid w:val="29220014"/>
    <w:rsid w:val="294F692F"/>
    <w:rsid w:val="29583A35"/>
    <w:rsid w:val="297E10FC"/>
    <w:rsid w:val="299248E9"/>
    <w:rsid w:val="299B516E"/>
    <w:rsid w:val="29CB06AB"/>
    <w:rsid w:val="29E96D83"/>
    <w:rsid w:val="2A3F597D"/>
    <w:rsid w:val="2A53244F"/>
    <w:rsid w:val="2A5A37DD"/>
    <w:rsid w:val="2A6E3080"/>
    <w:rsid w:val="2A7F3244"/>
    <w:rsid w:val="2A8B14A4"/>
    <w:rsid w:val="2AFF2270"/>
    <w:rsid w:val="2B1E480B"/>
    <w:rsid w:val="2B2D0FF4"/>
    <w:rsid w:val="2B335EA3"/>
    <w:rsid w:val="2B603075"/>
    <w:rsid w:val="2B944ACD"/>
    <w:rsid w:val="2C0734F1"/>
    <w:rsid w:val="2C576C69"/>
    <w:rsid w:val="2C8E6BD9"/>
    <w:rsid w:val="2CD0540B"/>
    <w:rsid w:val="2CE43832"/>
    <w:rsid w:val="2D7F1BFC"/>
    <w:rsid w:val="2DC0604D"/>
    <w:rsid w:val="2DDF4973"/>
    <w:rsid w:val="2E1A575D"/>
    <w:rsid w:val="2E97585B"/>
    <w:rsid w:val="2EA92A1B"/>
    <w:rsid w:val="2EE52480"/>
    <w:rsid w:val="2EE856A7"/>
    <w:rsid w:val="2EFA5E93"/>
    <w:rsid w:val="2F022D29"/>
    <w:rsid w:val="2F0657CF"/>
    <w:rsid w:val="2F097580"/>
    <w:rsid w:val="2F0A3A24"/>
    <w:rsid w:val="2F1E7104"/>
    <w:rsid w:val="2F212B1B"/>
    <w:rsid w:val="2F412AC4"/>
    <w:rsid w:val="2F866E22"/>
    <w:rsid w:val="2F917CA1"/>
    <w:rsid w:val="2FB63B94"/>
    <w:rsid w:val="2FCF43FB"/>
    <w:rsid w:val="2FE83639"/>
    <w:rsid w:val="2FF95846"/>
    <w:rsid w:val="30195DB9"/>
    <w:rsid w:val="301A5EE8"/>
    <w:rsid w:val="301D32E3"/>
    <w:rsid w:val="30297EDA"/>
    <w:rsid w:val="3047022C"/>
    <w:rsid w:val="304C67C6"/>
    <w:rsid w:val="307B0E13"/>
    <w:rsid w:val="30907F59"/>
    <w:rsid w:val="30B654E5"/>
    <w:rsid w:val="30F80E66"/>
    <w:rsid w:val="310E5A4F"/>
    <w:rsid w:val="31140B8A"/>
    <w:rsid w:val="311A0A8B"/>
    <w:rsid w:val="314277DA"/>
    <w:rsid w:val="31433218"/>
    <w:rsid w:val="31602317"/>
    <w:rsid w:val="31887B58"/>
    <w:rsid w:val="31996C9A"/>
    <w:rsid w:val="31EF5153"/>
    <w:rsid w:val="323D5EBE"/>
    <w:rsid w:val="324C260E"/>
    <w:rsid w:val="325E77A5"/>
    <w:rsid w:val="327D62BB"/>
    <w:rsid w:val="328B1304"/>
    <w:rsid w:val="328B6BCD"/>
    <w:rsid w:val="32935ADE"/>
    <w:rsid w:val="32AC4DF2"/>
    <w:rsid w:val="32B67A1F"/>
    <w:rsid w:val="32B75C71"/>
    <w:rsid w:val="32BB54EA"/>
    <w:rsid w:val="32D560F7"/>
    <w:rsid w:val="32DA370D"/>
    <w:rsid w:val="32E75E2A"/>
    <w:rsid w:val="33081505"/>
    <w:rsid w:val="331035D3"/>
    <w:rsid w:val="332F0D93"/>
    <w:rsid w:val="333C6176"/>
    <w:rsid w:val="334A56DA"/>
    <w:rsid w:val="33AC18B7"/>
    <w:rsid w:val="33AD4DE9"/>
    <w:rsid w:val="33CC574C"/>
    <w:rsid w:val="33D04B10"/>
    <w:rsid w:val="340F5638"/>
    <w:rsid w:val="341669C7"/>
    <w:rsid w:val="344A4C58"/>
    <w:rsid w:val="34543469"/>
    <w:rsid w:val="34627E5E"/>
    <w:rsid w:val="348E47AF"/>
    <w:rsid w:val="34B0598C"/>
    <w:rsid w:val="34B76663"/>
    <w:rsid w:val="34C762AB"/>
    <w:rsid w:val="34D50630"/>
    <w:rsid w:val="34EE34A0"/>
    <w:rsid w:val="34FB18D6"/>
    <w:rsid w:val="35022DC5"/>
    <w:rsid w:val="352228D0"/>
    <w:rsid w:val="356279A7"/>
    <w:rsid w:val="357A5699"/>
    <w:rsid w:val="35BE0327"/>
    <w:rsid w:val="35C83CF1"/>
    <w:rsid w:val="35D07049"/>
    <w:rsid w:val="361433DA"/>
    <w:rsid w:val="364916B9"/>
    <w:rsid w:val="365437D6"/>
    <w:rsid w:val="36633A19"/>
    <w:rsid w:val="369F5448"/>
    <w:rsid w:val="36DD557A"/>
    <w:rsid w:val="36DE0BBE"/>
    <w:rsid w:val="37256F21"/>
    <w:rsid w:val="376F8D34"/>
    <w:rsid w:val="37771633"/>
    <w:rsid w:val="37C56D30"/>
    <w:rsid w:val="38000759"/>
    <w:rsid w:val="381E5787"/>
    <w:rsid w:val="38363C89"/>
    <w:rsid w:val="386049D1"/>
    <w:rsid w:val="38741EDB"/>
    <w:rsid w:val="38772634"/>
    <w:rsid w:val="38926838"/>
    <w:rsid w:val="38CA1FBC"/>
    <w:rsid w:val="38F7318E"/>
    <w:rsid w:val="390C65EA"/>
    <w:rsid w:val="39215C6E"/>
    <w:rsid w:val="393A3157"/>
    <w:rsid w:val="396922B4"/>
    <w:rsid w:val="39763A64"/>
    <w:rsid w:val="39A51932"/>
    <w:rsid w:val="39A94630"/>
    <w:rsid w:val="39BE4D72"/>
    <w:rsid w:val="39C405A8"/>
    <w:rsid w:val="39FA4695"/>
    <w:rsid w:val="39FC21BB"/>
    <w:rsid w:val="3A0069AB"/>
    <w:rsid w:val="3A1F40FB"/>
    <w:rsid w:val="3A3951BD"/>
    <w:rsid w:val="3A52002D"/>
    <w:rsid w:val="3A6626F8"/>
    <w:rsid w:val="3A9C5CEB"/>
    <w:rsid w:val="3AE856DE"/>
    <w:rsid w:val="3AF0577D"/>
    <w:rsid w:val="3B0A7DDE"/>
    <w:rsid w:val="3B1B2B15"/>
    <w:rsid w:val="3B2D45F6"/>
    <w:rsid w:val="3B5A17B4"/>
    <w:rsid w:val="3B5B5607"/>
    <w:rsid w:val="3B6A05EE"/>
    <w:rsid w:val="3B900DF2"/>
    <w:rsid w:val="3B9117A2"/>
    <w:rsid w:val="3BA1126C"/>
    <w:rsid w:val="3BE75FA1"/>
    <w:rsid w:val="3BFE9079"/>
    <w:rsid w:val="3C1474E4"/>
    <w:rsid w:val="3C1E0B0E"/>
    <w:rsid w:val="3C3A521C"/>
    <w:rsid w:val="3C762921"/>
    <w:rsid w:val="3C8D17F0"/>
    <w:rsid w:val="3CE76CFC"/>
    <w:rsid w:val="3CF90C34"/>
    <w:rsid w:val="3D1912D6"/>
    <w:rsid w:val="3D3E0D3C"/>
    <w:rsid w:val="3D6A32CC"/>
    <w:rsid w:val="3DA34EB8"/>
    <w:rsid w:val="3DB57251"/>
    <w:rsid w:val="3DC76B85"/>
    <w:rsid w:val="3DE96493"/>
    <w:rsid w:val="3E0F0CDE"/>
    <w:rsid w:val="3E1B6DF4"/>
    <w:rsid w:val="3E557B4A"/>
    <w:rsid w:val="3E5F143B"/>
    <w:rsid w:val="3ECA0ADA"/>
    <w:rsid w:val="3F4A7CD5"/>
    <w:rsid w:val="3F732F1F"/>
    <w:rsid w:val="3F745750"/>
    <w:rsid w:val="3F7D43E9"/>
    <w:rsid w:val="3F8A64BB"/>
    <w:rsid w:val="3F9F150F"/>
    <w:rsid w:val="3F9F58C4"/>
    <w:rsid w:val="3FA0183A"/>
    <w:rsid w:val="3FB11602"/>
    <w:rsid w:val="3FEC5D4E"/>
    <w:rsid w:val="3FFA719D"/>
    <w:rsid w:val="400B6AE7"/>
    <w:rsid w:val="401747B4"/>
    <w:rsid w:val="403149C9"/>
    <w:rsid w:val="40923879"/>
    <w:rsid w:val="40AF442B"/>
    <w:rsid w:val="40C33A32"/>
    <w:rsid w:val="40CD3703"/>
    <w:rsid w:val="40CF0629"/>
    <w:rsid w:val="40DB044B"/>
    <w:rsid w:val="40DB1C83"/>
    <w:rsid w:val="41391F47"/>
    <w:rsid w:val="41847666"/>
    <w:rsid w:val="41A413F2"/>
    <w:rsid w:val="426553C6"/>
    <w:rsid w:val="4284463A"/>
    <w:rsid w:val="42BA4B4F"/>
    <w:rsid w:val="42D34BAB"/>
    <w:rsid w:val="42F1195C"/>
    <w:rsid w:val="43177BE6"/>
    <w:rsid w:val="434C54EC"/>
    <w:rsid w:val="436751BB"/>
    <w:rsid w:val="4389231C"/>
    <w:rsid w:val="438C0A54"/>
    <w:rsid w:val="439C70B2"/>
    <w:rsid w:val="443B3082"/>
    <w:rsid w:val="444B6B51"/>
    <w:rsid w:val="44693390"/>
    <w:rsid w:val="44751695"/>
    <w:rsid w:val="44856BE2"/>
    <w:rsid w:val="44B85FD1"/>
    <w:rsid w:val="44DB6F02"/>
    <w:rsid w:val="44DC3315"/>
    <w:rsid w:val="44EB79FC"/>
    <w:rsid w:val="45195E47"/>
    <w:rsid w:val="45311685"/>
    <w:rsid w:val="45356EC9"/>
    <w:rsid w:val="455674A2"/>
    <w:rsid w:val="458A0FC3"/>
    <w:rsid w:val="45961EA6"/>
    <w:rsid w:val="45AE341B"/>
    <w:rsid w:val="45C36283"/>
    <w:rsid w:val="45CF2E56"/>
    <w:rsid w:val="4607703A"/>
    <w:rsid w:val="46284338"/>
    <w:rsid w:val="46336BB4"/>
    <w:rsid w:val="4674757D"/>
    <w:rsid w:val="468A6DA0"/>
    <w:rsid w:val="46DE3CBE"/>
    <w:rsid w:val="471C7F3C"/>
    <w:rsid w:val="47242D51"/>
    <w:rsid w:val="474206C8"/>
    <w:rsid w:val="47564A51"/>
    <w:rsid w:val="479954ED"/>
    <w:rsid w:val="47B24AD3"/>
    <w:rsid w:val="48256D81"/>
    <w:rsid w:val="483B2A48"/>
    <w:rsid w:val="483D6D6A"/>
    <w:rsid w:val="484511D1"/>
    <w:rsid w:val="48827D19"/>
    <w:rsid w:val="48C967F6"/>
    <w:rsid w:val="48DD58AD"/>
    <w:rsid w:val="48E704DA"/>
    <w:rsid w:val="49B062E7"/>
    <w:rsid w:val="49B70C2A"/>
    <w:rsid w:val="49DB7FF1"/>
    <w:rsid w:val="4A3F05F0"/>
    <w:rsid w:val="4A4D25BF"/>
    <w:rsid w:val="4A516146"/>
    <w:rsid w:val="4A7B712C"/>
    <w:rsid w:val="4AAF5028"/>
    <w:rsid w:val="4AD36F68"/>
    <w:rsid w:val="4AD55EAC"/>
    <w:rsid w:val="4AEC627C"/>
    <w:rsid w:val="4B02784D"/>
    <w:rsid w:val="4B2257F9"/>
    <w:rsid w:val="4B2B4388"/>
    <w:rsid w:val="4B50680B"/>
    <w:rsid w:val="4B5A4F93"/>
    <w:rsid w:val="4B653608"/>
    <w:rsid w:val="4B7A3887"/>
    <w:rsid w:val="4B8169C4"/>
    <w:rsid w:val="4B9B6A42"/>
    <w:rsid w:val="4B9E1324"/>
    <w:rsid w:val="4BA34B8C"/>
    <w:rsid w:val="4BC15012"/>
    <w:rsid w:val="4BCE5F0E"/>
    <w:rsid w:val="4BDD19BC"/>
    <w:rsid w:val="4BDF2C7C"/>
    <w:rsid w:val="4C1D7502"/>
    <w:rsid w:val="4C383CE3"/>
    <w:rsid w:val="4C4C4E7C"/>
    <w:rsid w:val="4C5145E8"/>
    <w:rsid w:val="4C5E4F57"/>
    <w:rsid w:val="4C716A38"/>
    <w:rsid w:val="4C8107A0"/>
    <w:rsid w:val="4CAF130F"/>
    <w:rsid w:val="4CC76658"/>
    <w:rsid w:val="4CC823D1"/>
    <w:rsid w:val="4CD64AED"/>
    <w:rsid w:val="4CEE5446"/>
    <w:rsid w:val="4D32473B"/>
    <w:rsid w:val="4D722A68"/>
    <w:rsid w:val="4D792210"/>
    <w:rsid w:val="4D986247"/>
    <w:rsid w:val="4DAC5637"/>
    <w:rsid w:val="4DC50327"/>
    <w:rsid w:val="4E3F2DC8"/>
    <w:rsid w:val="4E4650B3"/>
    <w:rsid w:val="4E4D2E66"/>
    <w:rsid w:val="4E6014C6"/>
    <w:rsid w:val="4E6D5251"/>
    <w:rsid w:val="4E6F6FA8"/>
    <w:rsid w:val="4E796078"/>
    <w:rsid w:val="4E810A89"/>
    <w:rsid w:val="4EBD46F1"/>
    <w:rsid w:val="4ED1211D"/>
    <w:rsid w:val="4ED653AC"/>
    <w:rsid w:val="4ED7529B"/>
    <w:rsid w:val="4EFF50EA"/>
    <w:rsid w:val="4F240A74"/>
    <w:rsid w:val="4F3855EC"/>
    <w:rsid w:val="4F6239E6"/>
    <w:rsid w:val="4F665C23"/>
    <w:rsid w:val="4F952A3E"/>
    <w:rsid w:val="4FA35CE3"/>
    <w:rsid w:val="4FA96F84"/>
    <w:rsid w:val="4FAB19C8"/>
    <w:rsid w:val="4FE146B0"/>
    <w:rsid w:val="4FF84B51"/>
    <w:rsid w:val="501C6F1C"/>
    <w:rsid w:val="502F6ABC"/>
    <w:rsid w:val="50342751"/>
    <w:rsid w:val="506A2CD6"/>
    <w:rsid w:val="50755507"/>
    <w:rsid w:val="507F724A"/>
    <w:rsid w:val="50875305"/>
    <w:rsid w:val="50AB003F"/>
    <w:rsid w:val="50B849AD"/>
    <w:rsid w:val="50BE6FAF"/>
    <w:rsid w:val="50BF5E83"/>
    <w:rsid w:val="50CB4F02"/>
    <w:rsid w:val="510734C7"/>
    <w:rsid w:val="514C537E"/>
    <w:rsid w:val="519A30D1"/>
    <w:rsid w:val="51C07B1A"/>
    <w:rsid w:val="51D33C20"/>
    <w:rsid w:val="525B35E6"/>
    <w:rsid w:val="527E1EAF"/>
    <w:rsid w:val="52AA6800"/>
    <w:rsid w:val="52AD009F"/>
    <w:rsid w:val="52C04276"/>
    <w:rsid w:val="52F72A1E"/>
    <w:rsid w:val="530028C4"/>
    <w:rsid w:val="533D58C6"/>
    <w:rsid w:val="5386726D"/>
    <w:rsid w:val="53A5346C"/>
    <w:rsid w:val="53AC59DB"/>
    <w:rsid w:val="53B82FE0"/>
    <w:rsid w:val="53D17DBD"/>
    <w:rsid w:val="53DA4EC3"/>
    <w:rsid w:val="53DE62D7"/>
    <w:rsid w:val="53EC57C2"/>
    <w:rsid w:val="53FA7313"/>
    <w:rsid w:val="53FEA544"/>
    <w:rsid w:val="54115385"/>
    <w:rsid w:val="541F0028"/>
    <w:rsid w:val="547E6196"/>
    <w:rsid w:val="548A4B3B"/>
    <w:rsid w:val="548C4A52"/>
    <w:rsid w:val="54A91CC1"/>
    <w:rsid w:val="54E029AD"/>
    <w:rsid w:val="54F26B1F"/>
    <w:rsid w:val="55230AB0"/>
    <w:rsid w:val="556E0531"/>
    <w:rsid w:val="558E065B"/>
    <w:rsid w:val="5621327D"/>
    <w:rsid w:val="564407D3"/>
    <w:rsid w:val="56876936"/>
    <w:rsid w:val="569C6DA8"/>
    <w:rsid w:val="56AA080C"/>
    <w:rsid w:val="56FB3ACE"/>
    <w:rsid w:val="572D7A00"/>
    <w:rsid w:val="573A6105"/>
    <w:rsid w:val="575D5EE9"/>
    <w:rsid w:val="577F3CFE"/>
    <w:rsid w:val="578F5F96"/>
    <w:rsid w:val="5794182D"/>
    <w:rsid w:val="57943ECE"/>
    <w:rsid w:val="57BD5228"/>
    <w:rsid w:val="57D367F9"/>
    <w:rsid w:val="57D63CF3"/>
    <w:rsid w:val="57ED6DC6"/>
    <w:rsid w:val="580059F3"/>
    <w:rsid w:val="58214A53"/>
    <w:rsid w:val="582B028E"/>
    <w:rsid w:val="583F12F9"/>
    <w:rsid w:val="584D1A5E"/>
    <w:rsid w:val="584D66B3"/>
    <w:rsid w:val="589563F3"/>
    <w:rsid w:val="58AE2DC2"/>
    <w:rsid w:val="58D5034F"/>
    <w:rsid w:val="58D72319"/>
    <w:rsid w:val="58E81E30"/>
    <w:rsid w:val="5900361E"/>
    <w:rsid w:val="592941F7"/>
    <w:rsid w:val="597072EF"/>
    <w:rsid w:val="59863BD8"/>
    <w:rsid w:val="59A321FB"/>
    <w:rsid w:val="59BE3D0C"/>
    <w:rsid w:val="59E051FD"/>
    <w:rsid w:val="5A0233C6"/>
    <w:rsid w:val="5A14220B"/>
    <w:rsid w:val="5A154A36"/>
    <w:rsid w:val="5A375570"/>
    <w:rsid w:val="5A785436"/>
    <w:rsid w:val="5A84068C"/>
    <w:rsid w:val="5A8E07B6"/>
    <w:rsid w:val="5AAF2157"/>
    <w:rsid w:val="5AC370E9"/>
    <w:rsid w:val="5ACC5286"/>
    <w:rsid w:val="5ADD5F6F"/>
    <w:rsid w:val="5AE42ACB"/>
    <w:rsid w:val="5B0E7B48"/>
    <w:rsid w:val="5B215ACE"/>
    <w:rsid w:val="5B3E4E9B"/>
    <w:rsid w:val="5B717CFE"/>
    <w:rsid w:val="5B7D026D"/>
    <w:rsid w:val="5B975D90"/>
    <w:rsid w:val="5B9C26D7"/>
    <w:rsid w:val="5BB10BFF"/>
    <w:rsid w:val="5BE20A7F"/>
    <w:rsid w:val="5BF55BD7"/>
    <w:rsid w:val="5BF96FCD"/>
    <w:rsid w:val="5C207B33"/>
    <w:rsid w:val="5C41506A"/>
    <w:rsid w:val="5C7F2AAC"/>
    <w:rsid w:val="5CA1310C"/>
    <w:rsid w:val="5CC60BB3"/>
    <w:rsid w:val="5CCF1051"/>
    <w:rsid w:val="5CE84AF5"/>
    <w:rsid w:val="5D040D27"/>
    <w:rsid w:val="5D25720C"/>
    <w:rsid w:val="5D2E5096"/>
    <w:rsid w:val="5DB70023"/>
    <w:rsid w:val="5DE635AB"/>
    <w:rsid w:val="5DEA21A7"/>
    <w:rsid w:val="5E074D9B"/>
    <w:rsid w:val="5E56783C"/>
    <w:rsid w:val="5E6F08FE"/>
    <w:rsid w:val="5E8B2BA0"/>
    <w:rsid w:val="5EAE07E6"/>
    <w:rsid w:val="5EE31601"/>
    <w:rsid w:val="5F225970"/>
    <w:rsid w:val="5F2FD488"/>
    <w:rsid w:val="5F7FA3C5"/>
    <w:rsid w:val="5F8761F4"/>
    <w:rsid w:val="5FB213EA"/>
    <w:rsid w:val="5FB218E4"/>
    <w:rsid w:val="5FE64BF0"/>
    <w:rsid w:val="5FF4D25C"/>
    <w:rsid w:val="5FFC2665"/>
    <w:rsid w:val="5FFF95A3"/>
    <w:rsid w:val="60192F8C"/>
    <w:rsid w:val="60392B2E"/>
    <w:rsid w:val="60486FFC"/>
    <w:rsid w:val="60575AEE"/>
    <w:rsid w:val="60583D40"/>
    <w:rsid w:val="6074044E"/>
    <w:rsid w:val="609C5C96"/>
    <w:rsid w:val="60CE5DB0"/>
    <w:rsid w:val="612F3796"/>
    <w:rsid w:val="61424EA8"/>
    <w:rsid w:val="619306F9"/>
    <w:rsid w:val="619A3EE4"/>
    <w:rsid w:val="61A62889"/>
    <w:rsid w:val="61ED6709"/>
    <w:rsid w:val="624A1151"/>
    <w:rsid w:val="625B7B17"/>
    <w:rsid w:val="626B762E"/>
    <w:rsid w:val="628A2CAF"/>
    <w:rsid w:val="62A50D92"/>
    <w:rsid w:val="62B54AAB"/>
    <w:rsid w:val="62E87E58"/>
    <w:rsid w:val="62F84907"/>
    <w:rsid w:val="633D546F"/>
    <w:rsid w:val="636146A3"/>
    <w:rsid w:val="637D586B"/>
    <w:rsid w:val="63AD5C13"/>
    <w:rsid w:val="63C27722"/>
    <w:rsid w:val="640502D6"/>
    <w:rsid w:val="64155AA4"/>
    <w:rsid w:val="642F3009"/>
    <w:rsid w:val="644F7208"/>
    <w:rsid w:val="64584AFA"/>
    <w:rsid w:val="64760C38"/>
    <w:rsid w:val="647E318E"/>
    <w:rsid w:val="64BD0C9C"/>
    <w:rsid w:val="650F4BE9"/>
    <w:rsid w:val="65471C85"/>
    <w:rsid w:val="655A2308"/>
    <w:rsid w:val="65642E77"/>
    <w:rsid w:val="656E190F"/>
    <w:rsid w:val="6573606E"/>
    <w:rsid w:val="6591415E"/>
    <w:rsid w:val="659D0447"/>
    <w:rsid w:val="65A23669"/>
    <w:rsid w:val="65BA365D"/>
    <w:rsid w:val="65F05E72"/>
    <w:rsid w:val="65FF4C5D"/>
    <w:rsid w:val="66432D9C"/>
    <w:rsid w:val="664971B2"/>
    <w:rsid w:val="66837C82"/>
    <w:rsid w:val="66A15D14"/>
    <w:rsid w:val="66CB2414"/>
    <w:rsid w:val="66D460EA"/>
    <w:rsid w:val="66D648FB"/>
    <w:rsid w:val="66D9420C"/>
    <w:rsid w:val="66E47BB0"/>
    <w:rsid w:val="66F91133"/>
    <w:rsid w:val="67424E02"/>
    <w:rsid w:val="675E7762"/>
    <w:rsid w:val="67620061"/>
    <w:rsid w:val="67794973"/>
    <w:rsid w:val="6780592A"/>
    <w:rsid w:val="67990979"/>
    <w:rsid w:val="67AF5354"/>
    <w:rsid w:val="67CE7576"/>
    <w:rsid w:val="67DB0245"/>
    <w:rsid w:val="67DF61E0"/>
    <w:rsid w:val="67E77C07"/>
    <w:rsid w:val="68075E48"/>
    <w:rsid w:val="680E5D6D"/>
    <w:rsid w:val="68245BD5"/>
    <w:rsid w:val="68330BEE"/>
    <w:rsid w:val="68525518"/>
    <w:rsid w:val="687F3E33"/>
    <w:rsid w:val="68866F70"/>
    <w:rsid w:val="68C67054"/>
    <w:rsid w:val="68D5723F"/>
    <w:rsid w:val="68DA6E44"/>
    <w:rsid w:val="68E00D76"/>
    <w:rsid w:val="68FD7C9B"/>
    <w:rsid w:val="69054339"/>
    <w:rsid w:val="69335C27"/>
    <w:rsid w:val="693E784B"/>
    <w:rsid w:val="6951461B"/>
    <w:rsid w:val="69693FD7"/>
    <w:rsid w:val="69765236"/>
    <w:rsid w:val="698952D0"/>
    <w:rsid w:val="699335ED"/>
    <w:rsid w:val="69990F25"/>
    <w:rsid w:val="69C47F88"/>
    <w:rsid w:val="69D42CAE"/>
    <w:rsid w:val="69E77EE2"/>
    <w:rsid w:val="69FD685E"/>
    <w:rsid w:val="6A260536"/>
    <w:rsid w:val="6A464FBA"/>
    <w:rsid w:val="6A5D61D4"/>
    <w:rsid w:val="6A8D0A8A"/>
    <w:rsid w:val="6A91104F"/>
    <w:rsid w:val="6AA05B83"/>
    <w:rsid w:val="6AA858C3"/>
    <w:rsid w:val="6AD14E1A"/>
    <w:rsid w:val="6AE508C6"/>
    <w:rsid w:val="6AFD3B53"/>
    <w:rsid w:val="6B130C0B"/>
    <w:rsid w:val="6B3E29C2"/>
    <w:rsid w:val="6B4F21E3"/>
    <w:rsid w:val="6B5552E1"/>
    <w:rsid w:val="6B595E27"/>
    <w:rsid w:val="6B755992"/>
    <w:rsid w:val="6B9C7C7E"/>
    <w:rsid w:val="6BC86544"/>
    <w:rsid w:val="6BCC0120"/>
    <w:rsid w:val="6C33740F"/>
    <w:rsid w:val="6CFA3DF4"/>
    <w:rsid w:val="6D125276"/>
    <w:rsid w:val="6D2262A7"/>
    <w:rsid w:val="6D4D500A"/>
    <w:rsid w:val="6D7C5B36"/>
    <w:rsid w:val="6D8C5028"/>
    <w:rsid w:val="6DDC48CD"/>
    <w:rsid w:val="6E094B6B"/>
    <w:rsid w:val="6E4678CD"/>
    <w:rsid w:val="6E653EF8"/>
    <w:rsid w:val="6E6E2980"/>
    <w:rsid w:val="6E881C94"/>
    <w:rsid w:val="6E8D4D4B"/>
    <w:rsid w:val="6EBC7B8F"/>
    <w:rsid w:val="6EBC9830"/>
    <w:rsid w:val="6EBD7464"/>
    <w:rsid w:val="6ED00F45"/>
    <w:rsid w:val="6EEECA07"/>
    <w:rsid w:val="6EFF9A4A"/>
    <w:rsid w:val="6F0A73A8"/>
    <w:rsid w:val="6F1563E9"/>
    <w:rsid w:val="6F2F210F"/>
    <w:rsid w:val="6F447429"/>
    <w:rsid w:val="6F5620F8"/>
    <w:rsid w:val="6FC50CC6"/>
    <w:rsid w:val="6FCB3EA6"/>
    <w:rsid w:val="6FD0566E"/>
    <w:rsid w:val="6FD7637C"/>
    <w:rsid w:val="6FDBC43E"/>
    <w:rsid w:val="6FDBF3E4"/>
    <w:rsid w:val="6FF84BF7"/>
    <w:rsid w:val="700C655F"/>
    <w:rsid w:val="70476A93"/>
    <w:rsid w:val="70691651"/>
    <w:rsid w:val="70952446"/>
    <w:rsid w:val="70B34FC2"/>
    <w:rsid w:val="70B66DAA"/>
    <w:rsid w:val="70B8524D"/>
    <w:rsid w:val="70B86135"/>
    <w:rsid w:val="70BC5C25"/>
    <w:rsid w:val="70CD22D0"/>
    <w:rsid w:val="70D6018E"/>
    <w:rsid w:val="70F46156"/>
    <w:rsid w:val="70F80C27"/>
    <w:rsid w:val="71235CA4"/>
    <w:rsid w:val="714D7AC8"/>
    <w:rsid w:val="71862C3F"/>
    <w:rsid w:val="718E55B5"/>
    <w:rsid w:val="71922E29"/>
    <w:rsid w:val="71BE92A8"/>
    <w:rsid w:val="71CF5FA5"/>
    <w:rsid w:val="71CF7BDA"/>
    <w:rsid w:val="71CFA49C"/>
    <w:rsid w:val="71EF202A"/>
    <w:rsid w:val="7214383E"/>
    <w:rsid w:val="72464345"/>
    <w:rsid w:val="72636FD7"/>
    <w:rsid w:val="728A3B01"/>
    <w:rsid w:val="72B1595C"/>
    <w:rsid w:val="72CB03A1"/>
    <w:rsid w:val="72DF7C7B"/>
    <w:rsid w:val="73004D87"/>
    <w:rsid w:val="732F421D"/>
    <w:rsid w:val="73326672"/>
    <w:rsid w:val="73357F10"/>
    <w:rsid w:val="734A070C"/>
    <w:rsid w:val="73852C46"/>
    <w:rsid w:val="73920EBF"/>
    <w:rsid w:val="739E7864"/>
    <w:rsid w:val="73BA07D7"/>
    <w:rsid w:val="73EFA2D0"/>
    <w:rsid w:val="73F43927"/>
    <w:rsid w:val="74014883"/>
    <w:rsid w:val="740B2A1F"/>
    <w:rsid w:val="74102BF5"/>
    <w:rsid w:val="741D2078"/>
    <w:rsid w:val="74312486"/>
    <w:rsid w:val="74375064"/>
    <w:rsid w:val="74FB3B4E"/>
    <w:rsid w:val="74FE2706"/>
    <w:rsid w:val="75117246"/>
    <w:rsid w:val="756ECFD0"/>
    <w:rsid w:val="758753C5"/>
    <w:rsid w:val="758D193E"/>
    <w:rsid w:val="75907680"/>
    <w:rsid w:val="75BC2223"/>
    <w:rsid w:val="75DE10F7"/>
    <w:rsid w:val="75F22215"/>
    <w:rsid w:val="76160599"/>
    <w:rsid w:val="762F25D7"/>
    <w:rsid w:val="76320737"/>
    <w:rsid w:val="76654669"/>
    <w:rsid w:val="766A6123"/>
    <w:rsid w:val="76A14624"/>
    <w:rsid w:val="76B123BF"/>
    <w:rsid w:val="76C21ABB"/>
    <w:rsid w:val="76EA1012"/>
    <w:rsid w:val="76FE68C3"/>
    <w:rsid w:val="7769429B"/>
    <w:rsid w:val="77A84CBF"/>
    <w:rsid w:val="77B4520B"/>
    <w:rsid w:val="77C047C1"/>
    <w:rsid w:val="77FA4A77"/>
    <w:rsid w:val="780305DD"/>
    <w:rsid w:val="78280044"/>
    <w:rsid w:val="783F0EE9"/>
    <w:rsid w:val="788D7EA7"/>
    <w:rsid w:val="7894501D"/>
    <w:rsid w:val="78A5374B"/>
    <w:rsid w:val="78B33DB1"/>
    <w:rsid w:val="78BFDA87"/>
    <w:rsid w:val="791B3704"/>
    <w:rsid w:val="792D607A"/>
    <w:rsid w:val="794F1EA9"/>
    <w:rsid w:val="795B189D"/>
    <w:rsid w:val="795F6F17"/>
    <w:rsid w:val="796230E1"/>
    <w:rsid w:val="79EF46CB"/>
    <w:rsid w:val="79FA073A"/>
    <w:rsid w:val="79FFFD5F"/>
    <w:rsid w:val="7A1C773B"/>
    <w:rsid w:val="7A4D5B40"/>
    <w:rsid w:val="7A70A9B8"/>
    <w:rsid w:val="7A772BBC"/>
    <w:rsid w:val="7A7F734D"/>
    <w:rsid w:val="7ABE63A0"/>
    <w:rsid w:val="7ADF85B6"/>
    <w:rsid w:val="7AED37F1"/>
    <w:rsid w:val="7B0FF10B"/>
    <w:rsid w:val="7B3F5217"/>
    <w:rsid w:val="7B5829EE"/>
    <w:rsid w:val="7B58479C"/>
    <w:rsid w:val="7B64617A"/>
    <w:rsid w:val="7B9B3137"/>
    <w:rsid w:val="7BDF4EBD"/>
    <w:rsid w:val="7BF64461"/>
    <w:rsid w:val="7C022247"/>
    <w:rsid w:val="7C02295A"/>
    <w:rsid w:val="7C0D37D8"/>
    <w:rsid w:val="7C3945CD"/>
    <w:rsid w:val="7C683105"/>
    <w:rsid w:val="7C701FB9"/>
    <w:rsid w:val="7C857813"/>
    <w:rsid w:val="7CAFD504"/>
    <w:rsid w:val="7CB55041"/>
    <w:rsid w:val="7CB9570E"/>
    <w:rsid w:val="7CE3301E"/>
    <w:rsid w:val="7D043689"/>
    <w:rsid w:val="7D1D50FB"/>
    <w:rsid w:val="7D2751DD"/>
    <w:rsid w:val="7D421D37"/>
    <w:rsid w:val="7D476645"/>
    <w:rsid w:val="7D4FB1DD"/>
    <w:rsid w:val="7D511DEB"/>
    <w:rsid w:val="7D6D7CD1"/>
    <w:rsid w:val="7D93502D"/>
    <w:rsid w:val="7DACFAAA"/>
    <w:rsid w:val="7DAF248B"/>
    <w:rsid w:val="7DB739AB"/>
    <w:rsid w:val="7DC8B199"/>
    <w:rsid w:val="7DE467BB"/>
    <w:rsid w:val="7DFC3B04"/>
    <w:rsid w:val="7DFE47AB"/>
    <w:rsid w:val="7E190053"/>
    <w:rsid w:val="7E3829D5"/>
    <w:rsid w:val="7E396BA0"/>
    <w:rsid w:val="7E4234E1"/>
    <w:rsid w:val="7E462FD2"/>
    <w:rsid w:val="7E633B84"/>
    <w:rsid w:val="7E6B47E6"/>
    <w:rsid w:val="7E776A1F"/>
    <w:rsid w:val="7E7933A7"/>
    <w:rsid w:val="7EB42631"/>
    <w:rsid w:val="7EBD9649"/>
    <w:rsid w:val="7EC7F8BF"/>
    <w:rsid w:val="7ED95BF4"/>
    <w:rsid w:val="7EE95C34"/>
    <w:rsid w:val="7F0078CB"/>
    <w:rsid w:val="7F1B2FB2"/>
    <w:rsid w:val="7F2B657D"/>
    <w:rsid w:val="7F3F5E9B"/>
    <w:rsid w:val="7F4E4A94"/>
    <w:rsid w:val="7F5B0CFF"/>
    <w:rsid w:val="7F625BE9"/>
    <w:rsid w:val="7F74591C"/>
    <w:rsid w:val="7F7F73E0"/>
    <w:rsid w:val="7F8C0EB8"/>
    <w:rsid w:val="7F9EFFAE"/>
    <w:rsid w:val="7FA7569B"/>
    <w:rsid w:val="7FA75913"/>
    <w:rsid w:val="7FB905B6"/>
    <w:rsid w:val="7FD4460D"/>
    <w:rsid w:val="7FDF26BD"/>
    <w:rsid w:val="7FDFD7D8"/>
    <w:rsid w:val="7FE17456"/>
    <w:rsid w:val="7FE707E4"/>
    <w:rsid w:val="7FEF4758"/>
    <w:rsid w:val="7FF22B74"/>
    <w:rsid w:val="7FF56ACA"/>
    <w:rsid w:val="7FFBEC25"/>
    <w:rsid w:val="7FFD2907"/>
    <w:rsid w:val="7FFD672F"/>
    <w:rsid w:val="7FFFB594"/>
    <w:rsid w:val="7FFFBA94"/>
    <w:rsid w:val="7FFFDBFB"/>
    <w:rsid w:val="9FBB5ED3"/>
    <w:rsid w:val="AF3FDB76"/>
    <w:rsid w:val="AF779BCC"/>
    <w:rsid w:val="B9FD6295"/>
    <w:rsid w:val="BAFF2787"/>
    <w:rsid w:val="BD7A489C"/>
    <w:rsid w:val="BE4F3359"/>
    <w:rsid w:val="BEB9FA48"/>
    <w:rsid w:val="BEEDB1C5"/>
    <w:rsid w:val="BF5F76E8"/>
    <w:rsid w:val="BFDEA17B"/>
    <w:rsid w:val="BFEF401B"/>
    <w:rsid w:val="BFF96FF7"/>
    <w:rsid w:val="C79D67E3"/>
    <w:rsid w:val="D0E73719"/>
    <w:rsid w:val="D2FF5556"/>
    <w:rsid w:val="D73DC50F"/>
    <w:rsid w:val="D7DE77BC"/>
    <w:rsid w:val="D9EEE282"/>
    <w:rsid w:val="DB7EA5EE"/>
    <w:rsid w:val="DBB9C3E1"/>
    <w:rsid w:val="DBD7F502"/>
    <w:rsid w:val="DBDBBCDB"/>
    <w:rsid w:val="DDFD59B4"/>
    <w:rsid w:val="DEDCB302"/>
    <w:rsid w:val="DFC78C73"/>
    <w:rsid w:val="DFDEA4F5"/>
    <w:rsid w:val="E4DD1BC4"/>
    <w:rsid w:val="E5B73EA8"/>
    <w:rsid w:val="EB7D4718"/>
    <w:rsid w:val="EB97990E"/>
    <w:rsid w:val="EEFE8DFF"/>
    <w:rsid w:val="EFBE69B0"/>
    <w:rsid w:val="EFEF726A"/>
    <w:rsid w:val="EFF76A32"/>
    <w:rsid w:val="EFFE3E13"/>
    <w:rsid w:val="F1EFFCB0"/>
    <w:rsid w:val="F5EF92DE"/>
    <w:rsid w:val="F65F2BE9"/>
    <w:rsid w:val="F67750CE"/>
    <w:rsid w:val="F77C0CF4"/>
    <w:rsid w:val="F7BB1937"/>
    <w:rsid w:val="F7EF1D5C"/>
    <w:rsid w:val="F7F61F47"/>
    <w:rsid w:val="FAAF2BB9"/>
    <w:rsid w:val="FBD44E76"/>
    <w:rsid w:val="FBE653C8"/>
    <w:rsid w:val="FD1F5249"/>
    <w:rsid w:val="FE5CF5CF"/>
    <w:rsid w:val="FF37AC9F"/>
    <w:rsid w:val="FF3FC111"/>
    <w:rsid w:val="FF5FDEE9"/>
    <w:rsid w:val="FF7F0DD9"/>
    <w:rsid w:val="FFBFB90C"/>
    <w:rsid w:val="FFDA321F"/>
    <w:rsid w:val="FFDC5684"/>
    <w:rsid w:val="FFDDF08D"/>
    <w:rsid w:val="FFF6EC35"/>
    <w:rsid w:val="FFFF7D7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19"/>
    <w:qFormat/>
    <w:uiPriority w:val="0"/>
    <w:pPr>
      <w:keepNext/>
      <w:keepLines/>
      <w:spacing w:before="340" w:after="330" w:line="576" w:lineRule="auto"/>
      <w:outlineLvl w:val="0"/>
    </w:pPr>
    <w:rPr>
      <w:rFonts w:ascii="Calibri" w:hAnsi="Calibri" w:eastAsia="黑体"/>
      <w:b/>
      <w:kern w:val="44"/>
      <w:sz w:val="36"/>
    </w:rPr>
  </w:style>
  <w:style w:type="paragraph" w:styleId="3">
    <w:name w:val="heading 2"/>
    <w:basedOn w:val="1"/>
    <w:next w:val="1"/>
    <w:link w:val="20"/>
    <w:qFormat/>
    <w:uiPriority w:val="0"/>
    <w:pPr>
      <w:keepNext/>
      <w:keepLines/>
      <w:spacing w:before="260" w:after="260" w:line="413" w:lineRule="auto"/>
      <w:outlineLvl w:val="1"/>
    </w:pPr>
    <w:rPr>
      <w:rFonts w:eastAsia="黑体"/>
      <w:b/>
      <w:sz w:val="30"/>
    </w:rPr>
  </w:style>
  <w:style w:type="paragraph" w:styleId="4">
    <w:name w:val="heading 3"/>
    <w:basedOn w:val="1"/>
    <w:next w:val="1"/>
    <w:link w:val="21"/>
    <w:semiHidden/>
    <w:unhideWhenUsed/>
    <w:qFormat/>
    <w:uiPriority w:val="0"/>
    <w:pPr>
      <w:keepNext/>
      <w:keepLines/>
      <w:widowControl w:val="0"/>
      <w:kinsoku/>
      <w:autoSpaceDE/>
      <w:autoSpaceDN/>
      <w:adjustRightInd/>
      <w:snapToGrid/>
      <w:spacing w:before="260" w:after="260" w:line="413" w:lineRule="auto"/>
      <w:ind w:firstLine="550" w:firstLineChars="200"/>
      <w:jc w:val="both"/>
      <w:textAlignment w:val="auto"/>
      <w:outlineLvl w:val="2"/>
    </w:pPr>
    <w:rPr>
      <w:rFonts w:eastAsia="黑体" w:cs="宋体" w:asciiTheme="minorHAnsi" w:hAnsiTheme="minorHAnsi"/>
      <w:b/>
      <w:snapToGrid/>
      <w:color w:val="auto"/>
      <w:kern w:val="2"/>
      <w:sz w:val="28"/>
      <w:szCs w:val="28"/>
      <w:lang w:eastAsia="zh-CN"/>
    </w:rPr>
  </w:style>
  <w:style w:type="character" w:default="1" w:styleId="16">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semiHidden/>
    <w:qFormat/>
    <w:uiPriority w:val="0"/>
  </w:style>
  <w:style w:type="paragraph" w:styleId="7">
    <w:name w:val="Body Text Indent"/>
    <w:basedOn w:val="1"/>
    <w:qFormat/>
    <w:uiPriority w:val="0"/>
    <w:pPr>
      <w:spacing w:after="120" w:afterAutospacing="0"/>
      <w:ind w:left="420" w:leftChars="200"/>
    </w:pPr>
    <w:rPr>
      <w:rFonts w:eastAsia="宋体"/>
      <w:kern w:val="2"/>
      <w:sz w:val="21"/>
      <w:lang w:val="en-US" w:eastAsia="zh-CN"/>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Body Text 2"/>
    <w:basedOn w:val="1"/>
    <w:semiHidden/>
    <w:unhideWhenUsed/>
    <w:qFormat/>
    <w:uiPriority w:val="99"/>
    <w:rPr>
      <w:color w:val="0000FF"/>
    </w:rPr>
  </w:style>
  <w:style w:type="paragraph" w:styleId="13">
    <w:name w:val="Normal (Web)"/>
    <w:basedOn w:val="1"/>
    <w:qFormat/>
    <w:uiPriority w:val="0"/>
    <w:pPr>
      <w:spacing w:beforeAutospacing="1" w:afterAutospacing="1"/>
    </w:pPr>
    <w:rPr>
      <w:rFonts w:cs="Times New Roman"/>
      <w:sz w:val="24"/>
      <w:lang w:eastAsia="zh-CN"/>
    </w:rPr>
  </w:style>
  <w:style w:type="table" w:styleId="15">
    <w:name w:val="Table Grid"/>
    <w:basedOn w:val="14"/>
    <w:qFormat/>
    <w:uiPriority w:val="3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7">
    <w:name w:val="Strong"/>
    <w:basedOn w:val="16"/>
    <w:qFormat/>
    <w:uiPriority w:val="0"/>
    <w:rPr>
      <w:b/>
    </w:rPr>
  </w:style>
  <w:style w:type="character" w:styleId="18">
    <w:name w:val="Hyperlink"/>
    <w:basedOn w:val="16"/>
    <w:qFormat/>
    <w:uiPriority w:val="0"/>
    <w:rPr>
      <w:color w:val="0000FF"/>
      <w:u w:val="single"/>
    </w:rPr>
  </w:style>
  <w:style w:type="character" w:customStyle="1" w:styleId="19">
    <w:name w:val="标题 1 字符"/>
    <w:link w:val="2"/>
    <w:qFormat/>
    <w:uiPriority w:val="0"/>
    <w:rPr>
      <w:rFonts w:ascii="Calibri" w:hAnsi="Calibri" w:eastAsia="黑体" w:cs="Arial"/>
      <w:b/>
      <w:snapToGrid w:val="0"/>
      <w:color w:val="000000"/>
      <w:kern w:val="44"/>
      <w:sz w:val="36"/>
      <w:szCs w:val="21"/>
      <w:lang w:eastAsia="en-US"/>
    </w:rPr>
  </w:style>
  <w:style w:type="character" w:customStyle="1" w:styleId="20">
    <w:name w:val="标题 2 字符"/>
    <w:link w:val="3"/>
    <w:qFormat/>
    <w:uiPriority w:val="0"/>
    <w:rPr>
      <w:rFonts w:ascii="Arial" w:hAnsi="Arial" w:eastAsia="黑体" w:cs="Arial"/>
      <w:b/>
      <w:snapToGrid w:val="0"/>
      <w:color w:val="000000"/>
      <w:sz w:val="30"/>
      <w:szCs w:val="21"/>
      <w:lang w:eastAsia="en-US"/>
    </w:rPr>
  </w:style>
  <w:style w:type="character" w:customStyle="1" w:styleId="21">
    <w:name w:val="标题 3 Char"/>
    <w:link w:val="4"/>
    <w:qFormat/>
    <w:uiPriority w:val="9"/>
    <w:rPr>
      <w:rFonts w:ascii="宋体" w:hAnsi="宋体" w:eastAsia="宋体" w:cs="宋体"/>
      <w:b/>
      <w:bCs/>
      <w:snapToGrid w:val="0"/>
      <w:color w:val="000000"/>
      <w:kern w:val="0"/>
      <w:sz w:val="28"/>
      <w:szCs w:val="28"/>
      <w:lang w:val="en-US" w:eastAsia="en-US" w:bidi="ar-SA"/>
    </w:rPr>
  </w:style>
  <w:style w:type="character" w:customStyle="1" w:styleId="22">
    <w:name w:val="font131"/>
    <w:basedOn w:val="16"/>
    <w:qFormat/>
    <w:uiPriority w:val="0"/>
    <w:rPr>
      <w:rFonts w:hint="default" w:ascii="Times New Roman" w:hAnsi="Times New Roman" w:cs="Times New Roman"/>
      <w:color w:val="000000"/>
      <w:sz w:val="14"/>
      <w:szCs w:val="14"/>
      <w:u w:val="none"/>
    </w:rPr>
  </w:style>
  <w:style w:type="character" w:customStyle="1" w:styleId="23">
    <w:name w:val="font41"/>
    <w:basedOn w:val="16"/>
    <w:qFormat/>
    <w:uiPriority w:val="0"/>
    <w:rPr>
      <w:rFonts w:hint="eastAsia" w:ascii="宋体" w:hAnsi="宋体" w:eastAsia="宋体" w:cs="宋体"/>
      <w:color w:val="000000"/>
      <w:sz w:val="16"/>
      <w:szCs w:val="16"/>
      <w:u w:val="none"/>
    </w:rPr>
  </w:style>
  <w:style w:type="paragraph" w:customStyle="1" w:styleId="24">
    <w:name w:val="Table Text"/>
    <w:basedOn w:val="1"/>
    <w:semiHidden/>
    <w:qFormat/>
    <w:uiPriority w:val="0"/>
    <w:rPr>
      <w:rFonts w:ascii="宋体" w:hAnsi="宋体" w:eastAsia="宋体" w:cs="宋体"/>
      <w:sz w:val="27"/>
      <w:szCs w:val="27"/>
    </w:rPr>
  </w:style>
  <w:style w:type="character" w:customStyle="1" w:styleId="25">
    <w:name w:val="font71"/>
    <w:basedOn w:val="16"/>
    <w:qFormat/>
    <w:uiPriority w:val="0"/>
    <w:rPr>
      <w:rFonts w:hint="eastAsia" w:ascii="MS Gothic" w:hAnsi="MS Gothic" w:eastAsia="MS Gothic" w:cs="MS Gothic"/>
      <w:color w:val="000000"/>
      <w:sz w:val="24"/>
      <w:szCs w:val="24"/>
      <w:u w:val="none"/>
    </w:rPr>
  </w:style>
  <w:style w:type="character" w:customStyle="1" w:styleId="26">
    <w:name w:val="font21"/>
    <w:basedOn w:val="16"/>
    <w:qFormat/>
    <w:uiPriority w:val="0"/>
    <w:rPr>
      <w:rFonts w:ascii="Arial" w:hAnsi="Arial" w:cs="Arial"/>
      <w:color w:val="000000"/>
      <w:sz w:val="16"/>
      <w:szCs w:val="16"/>
      <w:u w:val="none"/>
    </w:rPr>
  </w:style>
  <w:style w:type="character" w:customStyle="1" w:styleId="27">
    <w:name w:val="font31"/>
    <w:basedOn w:val="16"/>
    <w:qFormat/>
    <w:uiPriority w:val="0"/>
    <w:rPr>
      <w:rFonts w:hint="default" w:ascii="Times New Roman" w:hAnsi="Times New Roman" w:cs="Times New Roman"/>
      <w:b/>
      <w:bCs/>
      <w:color w:val="000000"/>
      <w:sz w:val="21"/>
      <w:szCs w:val="21"/>
      <w:u w:val="none"/>
    </w:rPr>
  </w:style>
  <w:style w:type="character" w:customStyle="1" w:styleId="28">
    <w:name w:val="font51"/>
    <w:basedOn w:val="16"/>
    <w:qFormat/>
    <w:uiPriority w:val="0"/>
    <w:rPr>
      <w:rFonts w:hint="default" w:ascii="Times New Roman" w:hAnsi="Times New Roman" w:cs="Times New Roman"/>
      <w:color w:val="000000"/>
      <w:sz w:val="16"/>
      <w:szCs w:val="16"/>
      <w:u w:val="none"/>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font181"/>
    <w:basedOn w:val="16"/>
    <w:qFormat/>
    <w:uiPriority w:val="0"/>
    <w:rPr>
      <w:rFonts w:hint="default" w:ascii="Times New Roman" w:hAnsi="Times New Roman" w:cs="Times New Roman"/>
      <w:color w:val="000000"/>
      <w:sz w:val="14"/>
      <w:szCs w:val="14"/>
      <w:u w:val="none"/>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font161"/>
    <w:basedOn w:val="16"/>
    <w:qFormat/>
    <w:uiPriority w:val="0"/>
    <w:rPr>
      <w:rFonts w:hint="eastAsia" w:ascii="宋体" w:hAnsi="宋体" w:eastAsia="宋体" w:cs="宋体"/>
      <w:color w:val="000000"/>
      <w:sz w:val="14"/>
      <w:szCs w:val="14"/>
      <w:u w:val="none"/>
    </w:rPr>
  </w:style>
  <w:style w:type="character" w:customStyle="1" w:styleId="33">
    <w:name w:val="font61"/>
    <w:basedOn w:val="16"/>
    <w:qFormat/>
    <w:uiPriority w:val="0"/>
    <w:rPr>
      <w:rFonts w:ascii="Arial" w:hAnsi="Arial" w:cs="Arial"/>
      <w:color w:val="000000"/>
      <w:sz w:val="16"/>
      <w:szCs w:val="16"/>
      <w:u w:val="none"/>
    </w:rPr>
  </w:style>
  <w:style w:type="character" w:customStyle="1" w:styleId="34">
    <w:name w:val="font141"/>
    <w:basedOn w:val="16"/>
    <w:qFormat/>
    <w:uiPriority w:val="0"/>
    <w:rPr>
      <w:rFonts w:hint="default" w:ascii="Times New Roman" w:hAnsi="Times New Roman" w:cs="Times New Roman"/>
      <w:color w:val="000000"/>
      <w:sz w:val="14"/>
      <w:szCs w:val="14"/>
      <w:u w:val="none"/>
    </w:rPr>
  </w:style>
  <w:style w:type="paragraph" w:customStyle="1" w:styleId="35">
    <w:name w:val="正文文本缩进 22"/>
    <w:basedOn w:val="1"/>
    <w:qFormat/>
    <w:uiPriority w:val="0"/>
    <w:pPr>
      <w:spacing w:after="120" w:line="480" w:lineRule="auto"/>
      <w:ind w:left="420" w:leftChars="200"/>
    </w:pPr>
  </w:style>
  <w:style w:type="paragraph" w:customStyle="1" w:styleId="36">
    <w:name w:val="正文文本首行缩进 21"/>
    <w:basedOn w:val="7"/>
    <w:qFormat/>
    <w:uiPriority w:val="0"/>
    <w:pPr>
      <w:ind w:firstLine="420" w:firstLineChars="200"/>
    </w:pPr>
  </w:style>
  <w:style w:type="character" w:customStyle="1" w:styleId="37">
    <w:name w:val="font101"/>
    <w:basedOn w:val="16"/>
    <w:qFormat/>
    <w:uiPriority w:val="0"/>
    <w:rPr>
      <w:rFonts w:hint="eastAsia" w:ascii="宋体" w:hAnsi="宋体" w:eastAsia="宋体" w:cs="宋体"/>
      <w:color w:val="000000"/>
      <w:sz w:val="14"/>
      <w:szCs w:val="14"/>
      <w:u w:val="none"/>
    </w:rPr>
  </w:style>
  <w:style w:type="character" w:customStyle="1" w:styleId="38">
    <w:name w:val="font151"/>
    <w:basedOn w:val="16"/>
    <w:qFormat/>
    <w:uiPriority w:val="0"/>
    <w:rPr>
      <w:rFonts w:hint="default" w:ascii="Times New Roman" w:hAnsi="Times New Roman" w:cs="Times New Roman"/>
      <w:color w:val="000000"/>
      <w:sz w:val="14"/>
      <w:szCs w:val="14"/>
      <w:u w:val="none"/>
    </w:rPr>
  </w:style>
  <w:style w:type="character" w:customStyle="1" w:styleId="39">
    <w:name w:val="font111"/>
    <w:basedOn w:val="16"/>
    <w:qFormat/>
    <w:uiPriority w:val="0"/>
    <w:rPr>
      <w:rFonts w:hint="default" w:ascii="Times New Roman" w:hAnsi="Times New Roman" w:cs="Times New Roman"/>
      <w:color w:val="000000"/>
      <w:sz w:val="14"/>
      <w:szCs w:val="14"/>
      <w:u w:val="none"/>
    </w:rPr>
  </w:style>
  <w:style w:type="table" w:customStyle="1" w:styleId="40">
    <w:name w:val="Table Normal"/>
    <w:semiHidden/>
    <w:unhideWhenUsed/>
    <w:qFormat/>
    <w:uiPriority w:val="0"/>
    <w:tblPr>
      <w:tblCellMar>
        <w:top w:w="0" w:type="dxa"/>
        <w:left w:w="0" w:type="dxa"/>
        <w:bottom w:w="0" w:type="dxa"/>
        <w:right w:w="0" w:type="dxa"/>
      </w:tblCellMar>
    </w:tblPr>
  </w:style>
  <w:style w:type="character" w:customStyle="1" w:styleId="41">
    <w:name w:val="font121"/>
    <w:basedOn w:val="16"/>
    <w:qFormat/>
    <w:uiPriority w:val="0"/>
    <w:rPr>
      <w:rFonts w:hint="eastAsia" w:ascii="宋体" w:hAnsi="宋体" w:eastAsia="宋体" w:cs="宋体"/>
      <w:color w:val="000000"/>
      <w:sz w:val="14"/>
      <w:szCs w:val="14"/>
      <w:u w:val="none"/>
    </w:rPr>
  </w:style>
  <w:style w:type="character" w:customStyle="1" w:styleId="42">
    <w:name w:val="标题 3 字符"/>
    <w:basedOn w:val="16"/>
    <w:link w:val="4"/>
    <w:semiHidden/>
    <w:qFormat/>
    <w:uiPriority w:val="0"/>
    <w:rPr>
      <w:rFonts w:eastAsia="黑体" w:cs="宋体" w:asciiTheme="minorHAnsi" w:hAnsiTheme="minorHAnsi"/>
      <w:b/>
      <w:kern w:val="2"/>
      <w:sz w:val="28"/>
      <w:szCs w:val="28"/>
    </w:rPr>
  </w:style>
  <w:style w:type="character" w:customStyle="1" w:styleId="43">
    <w:name w:val="font112"/>
    <w:basedOn w:val="16"/>
    <w:qFormat/>
    <w:uiPriority w:val="0"/>
    <w:rPr>
      <w:rFonts w:hint="default" w:ascii="Times New Roman" w:hAnsi="Times New Roman" w:cs="Times New Roman"/>
      <w:color w:val="000000"/>
      <w:sz w:val="14"/>
      <w:szCs w:val="14"/>
      <w:u w:val="none"/>
    </w:rPr>
  </w:style>
  <w:style w:type="character" w:customStyle="1" w:styleId="44">
    <w:name w:val="font81"/>
    <w:basedOn w:val="16"/>
    <w:qFormat/>
    <w:uiPriority w:val="0"/>
    <w:rPr>
      <w:rFonts w:hint="default" w:ascii="Times New Roman" w:hAnsi="Times New Roman" w:cs="Times New Roman"/>
      <w:color w:val="000000"/>
      <w:sz w:val="15"/>
      <w:szCs w:val="15"/>
      <w:u w:val="none"/>
    </w:rPr>
  </w:style>
  <w:style w:type="character" w:customStyle="1" w:styleId="45">
    <w:name w:val="font11"/>
    <w:basedOn w:val="16"/>
    <w:qFormat/>
    <w:uiPriority w:val="0"/>
    <w:rPr>
      <w:rFonts w:hint="eastAsia" w:ascii="宋体" w:hAnsi="宋体" w:eastAsia="宋体" w:cs="宋体"/>
      <w:color w:val="000000"/>
      <w:sz w:val="16"/>
      <w:szCs w:val="16"/>
      <w:u w:val="none"/>
    </w:rPr>
  </w:style>
  <w:style w:type="character" w:customStyle="1" w:styleId="46">
    <w:name w:val="font122"/>
    <w:basedOn w:val="16"/>
    <w:qFormat/>
    <w:uiPriority w:val="0"/>
    <w:rPr>
      <w:rFonts w:hint="eastAsia" w:ascii="宋体" w:hAnsi="宋体" w:eastAsia="宋体" w:cs="宋体"/>
      <w:color w:val="000000"/>
      <w:sz w:val="14"/>
      <w:szCs w:val="14"/>
      <w:u w:val="none"/>
    </w:rPr>
  </w:style>
  <w:style w:type="character" w:customStyle="1" w:styleId="47">
    <w:name w:val="font132"/>
    <w:basedOn w:val="16"/>
    <w:qFormat/>
    <w:uiPriority w:val="0"/>
    <w:rPr>
      <w:rFonts w:hint="eastAsia" w:ascii="宋体" w:hAnsi="宋体" w:eastAsia="宋体" w:cs="宋体"/>
      <w:color w:val="000000"/>
      <w:sz w:val="14"/>
      <w:szCs w:val="14"/>
      <w:u w:val="none"/>
    </w:rPr>
  </w:style>
  <w:style w:type="character" w:customStyle="1" w:styleId="48">
    <w:name w:val="font171"/>
    <w:basedOn w:val="16"/>
    <w:qFormat/>
    <w:uiPriority w:val="0"/>
    <w:rPr>
      <w:rFonts w:hint="eastAsia" w:ascii="宋体" w:hAnsi="宋体" w:eastAsia="宋体" w:cs="宋体"/>
      <w:color w:val="000000"/>
      <w:sz w:val="14"/>
      <w:szCs w:val="14"/>
      <w:u w:val="none"/>
    </w:rPr>
  </w:style>
  <w:style w:type="paragraph" w:styleId="49">
    <w:name w:val="List Paragraph"/>
    <w:basedOn w:val="1"/>
    <w:qFormat/>
    <w:uiPriority w:val="1"/>
    <w:pPr>
      <w:ind w:left="220" w:firstLine="559"/>
    </w:pPr>
    <w:rPr>
      <w:rFonts w:ascii="仿宋" w:hAnsi="仿宋" w:eastAsia="仿宋" w:cs="仿宋"/>
      <w:lang w:val="zh-CN" w:eastAsia="zh-CN" w:bidi="zh-CN"/>
    </w:rPr>
  </w:style>
  <w:style w:type="character" w:customStyle="1" w:styleId="50">
    <w:name w:val="font01"/>
    <w:basedOn w:val="16"/>
    <w:qFormat/>
    <w:uiPriority w:val="0"/>
    <w:rPr>
      <w:rFonts w:hint="eastAsia" w:ascii="宋体" w:hAnsi="宋体" w:eastAsia="宋体" w:cs="宋体"/>
      <w:color w:val="000000"/>
      <w:sz w:val="24"/>
      <w:szCs w:val="24"/>
      <w:u w:val="none"/>
    </w:rPr>
  </w:style>
  <w:style w:type="character" w:customStyle="1" w:styleId="51">
    <w:name w:val="font91"/>
    <w:basedOn w:val="16"/>
    <w:qFormat/>
    <w:uiPriority w:val="0"/>
    <w:rPr>
      <w:rFonts w:ascii="Arial" w:hAnsi="Arial" w:cs="Arial"/>
      <w:color w:val="000000"/>
      <w:sz w:val="16"/>
      <w:szCs w:val="16"/>
      <w:u w:val="none"/>
    </w:rPr>
  </w:style>
  <w:style w:type="character" w:customStyle="1" w:styleId="52">
    <w:name w:val="font152"/>
    <w:basedOn w:val="16"/>
    <w:uiPriority w:val="0"/>
    <w:rPr>
      <w:rFonts w:hint="eastAsia" w:ascii="宋体" w:hAnsi="宋体" w:eastAsia="宋体" w:cs="宋体"/>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eadda619-b86d-493b-861a-7670348d318c</errorID>
      <errorWord xmlns="http://schemas.wps.cn/vas-ai-hub/contract-review">、就</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2F970C42</paraID>
      <start xmlns="http://schemas.wps.cn/vas-ai-hub/contract-review">276</start>
      <end xmlns="http://schemas.wps.cn/vas-ai-hub/contract-review">278</end>
      <status xmlns="http://schemas.wps.cn/vas-ai-hub/contract-review">modified</status>
      <modifiedWord xmlns="http://schemas.wps.cn/vas-ai-hub/contract-review">，就</modifiedWord>
      <trackRevisions xmlns="http://schemas.wps.cn/vas-ai-hub/contract-review">false</trackRevisions>
    </reviewItem>
    <reviewItem xmlns="http://schemas.wps.cn/vas-ai-hub/contract-review">
      <errorID xmlns="http://schemas.wps.cn/vas-ai-hub/contract-review">dfeca145-574f-4dbd-8691-550fc50c72d9</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1B0EBB10</paraID>
      <start xmlns="http://schemas.wps.cn/vas-ai-hub/contract-review">68</start>
      <end xmlns="http://schemas.wps.cn/vas-ai-hub/contract-review">70</end>
      <status xmlns="http://schemas.wps.cn/vas-ai-hub/contract-review">modified</status>
      <modifiedWord xmlns="http://schemas.wps.cn/vas-ai-hub/contract-review">kW</modifiedWord>
      <trackRevisions xmlns="http://schemas.wps.cn/vas-ai-hub/contract-review">false</trackRevisions>
    </reviewItem>
    <reviewItem xmlns="http://schemas.wps.cn/vas-ai-hub/contract-review">
      <errorID xmlns="http://schemas.wps.cn/vas-ai-hub/contract-review">7b3571f5-1e88-495c-a909-196cd145af8e</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1B0EBB10</paraID>
      <start xmlns="http://schemas.wps.cn/vas-ai-hub/contract-review">81</start>
      <end xmlns="http://schemas.wps.cn/vas-ai-hub/contract-review">83</end>
      <status xmlns="http://schemas.wps.cn/vas-ai-hub/contract-review">modified</status>
      <modifiedWord xmlns="http://schemas.wps.cn/vas-ai-hub/contract-review">kW</modifiedWord>
      <trackRevisions xmlns="http://schemas.wps.cn/vas-ai-hub/contract-review">false</trackRevisions>
    </reviewItem>
    <reviewItem xmlns="http://schemas.wps.cn/vas-ai-hub/contract-review">
      <errorID xmlns="http://schemas.wps.cn/vas-ai-hub/contract-review">419b1d3f-71d1-4bef-adb8-57f058d0cb0f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12B257C2</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5471a2c4-ac95-496e-984d-797bcca255ab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12B257C2</paraID>
      <start xmlns="http://schemas.wps.cn/vas-ai-hub/contract-review">26</start>
      <end xmlns="http://schemas.wps.cn/vas-ai-hub/contract-review">27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b6166616-3531-4a7b-9b21-a77a104d6158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6D54C7EF</paraID>
      <start xmlns="http://schemas.wps.cn/vas-ai-hub/contract-review">2</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d848386b-23b1-47e6-8766-29f09e706d91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6D54C7EF</paraID>
      <start xmlns="http://schemas.wps.cn/vas-ai-hub/contract-review">5</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066370d2-c918-45dc-8b65-af351245bfbc</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6EB491A6</paraID>
      <start xmlns="http://schemas.wps.cn/vas-ai-hub/contract-review">3</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a6a23dd1-99d9-4856-b345-02d93bb197c8</errorID>
      <errorWord xmlns="http://schemas.wps.cn/vas-ai-hub/contract-review">充电柱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充电桩</item>
      </candidateList>
      <explain xmlns="http://schemas.wps.cn/vas-ai-hub/contract-review"/>
      <paraID xmlns="http://schemas.wps.cn/vas-ai-hub/contract-review">6EB491A6</paraID>
      <start xmlns="http://schemas.wps.cn/vas-ai-hub/contract-review">11</start>
      <end xmlns="http://schemas.wps.cn/vas-ai-hub/contract-review">14</end>
      <status xmlns="http://schemas.wps.cn/vas-ai-hub/contract-review">modified</status>
      <modifiedWord xmlns="http://schemas.wps.cn/vas-ai-hub/contract-review">充电桩</modifiedWord>
      <trackRevisions xmlns="http://schemas.wps.cn/vas-ai-hub/contract-review">false</trackRevisions>
    </reviewItem>
    <reviewItem xmlns="http://schemas.wps.cn/vas-ai-hub/contract-review">
      <errorID xmlns="http://schemas.wps.cn/vas-ai-hub/contract-review">9461cf68-3259-4ccb-94b8-c9aeebb128ed</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706501E6</paraID>
      <start xmlns="http://schemas.wps.cn/vas-ai-hub/contract-review">3</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74b08728-aa00-49b5-a1bc-a29eb6fbfd4b</errorID>
      <errorWord xmlns="http://schemas.wps.cn/vas-ai-hub/contract-review">充电柱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充电桩</item>
      </candidateList>
      <explain xmlns="http://schemas.wps.cn/vas-ai-hub/contract-review"/>
      <paraID xmlns="http://schemas.wps.cn/vas-ai-hub/contract-review">706501E6</paraID>
      <start xmlns="http://schemas.wps.cn/vas-ai-hub/contract-review">11</start>
      <end xmlns="http://schemas.wps.cn/vas-ai-hub/contract-review">14</end>
      <status xmlns="http://schemas.wps.cn/vas-ai-hub/contract-review">modified</status>
      <modifiedWord xmlns="http://schemas.wps.cn/vas-ai-hub/contract-review">充电桩</modifiedWord>
      <trackRevisions xmlns="http://schemas.wps.cn/vas-ai-hub/contract-review">false</trackRevisions>
    </reviewItem>
    <reviewItem xmlns="http://schemas.wps.cn/vas-ai-hub/contract-review">
      <errorID xmlns="http://schemas.wps.cn/vas-ai-hub/contract-review">6fdfc5ae-a9ca-4e62-8b21-1aedc33538e6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597239F0</paraID>
      <start xmlns="http://schemas.wps.cn/vas-ai-hub/contract-review">139</start>
      <end xmlns="http://schemas.wps.cn/vas-ai-hub/contract-review">140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5794f1da-efea-495c-85f0-8d244f7e8b6e</errorID>
      <errorWord xmlns="http://schemas.wps.cn/vas-ai-hub/contract-review">、就</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 78149CA</paraID>
      <start xmlns="http://schemas.wps.cn/vas-ai-hub/contract-review">30</start>
      <end xmlns="http://schemas.wps.cn/vas-ai-hub/contract-review">32</end>
      <status xmlns="http://schemas.wps.cn/vas-ai-hub/contract-review">modified</status>
      <modifiedWord xmlns="http://schemas.wps.cn/vas-ai-hub/contract-review">，就</modifiedWord>
      <trackRevisions xmlns="http://schemas.wps.cn/vas-ai-hub/contract-review">false</trackRevisions>
    </reviewItem>
    <reviewItem xmlns="http://schemas.wps.cn/vas-ai-hub/contract-review">
      <errorID xmlns="http://schemas.wps.cn/vas-ai-hub/contract-review">912bd5a8-24e7-4dc7-9fed-5e2de4b3214b</errorID>
      <errorWord xmlns="http://schemas.wps.cn/vas-ai-hub/contract-review">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应给</item>
      </candidateList>
      <explain xmlns="http://schemas.wps.cn/vas-ai-hub/contract-review"/>
      <paraID xmlns="http://schemas.wps.cn/vas-ai-hub/contract-review"> 78149CA</paraID>
      <start xmlns="http://schemas.wps.cn/vas-ai-hub/contract-review">137</start>
      <end xmlns="http://schemas.wps.cn/vas-ai-hub/contract-review">139</end>
      <status xmlns="http://schemas.wps.cn/vas-ai-hub/contract-review">modified</status>
      <modifiedWord xmlns="http://schemas.wps.cn/vas-ai-hub/contract-review">应给</modifiedWord>
      <trackRevisions xmlns="http://schemas.wps.cn/vas-ai-hub/contract-review">false</trackRevisions>
    </reviewItem>
    <reviewItem xmlns="http://schemas.wps.cn/vas-ai-hub/contract-review">
      <errorID xmlns="http://schemas.wps.cn/vas-ai-hub/contract-review">332258f7-6f63-4bf4-8f30-9d094ead0664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4C006E5C</paraID>
      <start xmlns="http://schemas.wps.cn/vas-ai-hub/contract-review">58</start>
      <end xmlns="http://schemas.wps.cn/vas-ai-hub/contract-review">59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342c6b2f-2586-4ba1-a908-b53aed7b93ca</errorID>
      <errorWord xmlns="http://schemas.wps.cn/vas-ai-hub/contract-review">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东是</item>
      </candidateList>
      <explain xmlns="http://schemas.wps.cn/vas-ai-hub/contract-review"/>
      <paraID xmlns="http://schemas.wps.cn/vas-ai-hub/contract-review">335505D3</paraID>
      <start xmlns="http://schemas.wps.cn/vas-ai-hub/contract-review">6</start>
      <end xmlns="http://schemas.wps.cn/vas-ai-hub/contract-review">8</end>
      <status xmlns="http://schemas.wps.cn/vas-ai-hub/contract-review">modified</status>
      <modifiedWord xmlns="http://schemas.wps.cn/vas-ai-hub/contract-review">东是</modifiedWord>
      <trackRevisions xmlns="http://schemas.wps.cn/vas-ai-hub/contract-review">false</trackRevisions>
    </reviewItem>
    <reviewItem xmlns="http://schemas.wps.cn/vas-ai-hub/contract-review">
      <errorID xmlns="http://schemas.wps.cn/vas-ai-hub/contract-review">23fc93e0-4893-467d-8f3f-8842c2088e5e</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4785AFB1</paraID>
      <start xmlns="http://schemas.wps.cn/vas-ai-hub/contract-review">25</start>
      <end xmlns="http://schemas.wps.cn/vas-ai-hub/contract-review">26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d5aa0052-b342-475f-ba94-afc702f5faf0</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72837D9E</paraID>
      <start xmlns="http://schemas.wps.cn/vas-ai-hub/contract-review">12</start>
      <end xmlns="http://schemas.wps.cn/vas-ai-hub/contract-review">13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6e8c1bdf-31de-4a90-9114-1eec86462f82</errorID>
      <errorWord xmlns="http://schemas.wps.cn/vas-ai-hub/contract-review">、就</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58DD9E3B</paraID>
      <start xmlns="http://schemas.wps.cn/vas-ai-hub/contract-review">67</start>
      <end xmlns="http://schemas.wps.cn/vas-ai-hub/contract-review">69</end>
      <status xmlns="http://schemas.wps.cn/vas-ai-hub/contract-review">modified</status>
      <modifiedWord xmlns="http://schemas.wps.cn/vas-ai-hub/contract-review">，就</modifiedWord>
      <trackRevisions xmlns="http://schemas.wps.cn/vas-ai-hub/contract-review">false</trackRevisions>
    </reviewItem>
    <reviewItem xmlns="http://schemas.wps.cn/vas-ai-hub/contract-review">
      <errorID xmlns="http://schemas.wps.cn/vas-ai-hub/contract-review">ead7474c-5802-4bb4-bac2-59c22fc37a9b</errorID>
      <errorWord xmlns="http://schemas.wps.cn/vas-ai-hub/contract-review">、就</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74CD78AE</paraID>
      <start xmlns="http://schemas.wps.cn/vas-ai-hub/contract-review">207</start>
      <end xmlns="http://schemas.wps.cn/vas-ai-hub/contract-review">209</end>
      <status xmlns="http://schemas.wps.cn/vas-ai-hub/contract-review">modified</status>
      <modifiedWord xmlns="http://schemas.wps.cn/vas-ai-hub/contract-review">，就</modifiedWord>
      <trackRevisions xmlns="http://schemas.wps.cn/vas-ai-hub/contract-review">false</trackRevisions>
    </reviewItem>
    <reviewItem xmlns="http://schemas.wps.cn/vas-ai-hub/contract-review">
      <errorID xmlns="http://schemas.wps.cn/vas-ai-hub/contract-review">fa84f451-781b-42ff-9c81-67cf22a27fa7</errorID>
      <errorWord xmlns="http://schemas.wps.cn/vas-ai-hub/contract-review">、就</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74CD78AE</paraID>
      <start xmlns="http://schemas.wps.cn/vas-ai-hub/contract-review">241</start>
      <end xmlns="http://schemas.wps.cn/vas-ai-hub/contract-review">243</end>
      <status xmlns="http://schemas.wps.cn/vas-ai-hub/contract-review">modified</status>
      <modifiedWord xmlns="http://schemas.wps.cn/vas-ai-hub/contract-review">，就</modifiedWord>
      <trackRevisions xmlns="http://schemas.wps.cn/vas-ai-hub/contract-review">false</trackRevisions>
    </reviewItem>
    <reviewItem xmlns="http://schemas.wps.cn/vas-ai-hub/contract-review">
      <errorID xmlns="http://schemas.wps.cn/vas-ai-hub/contract-review">71c5f5d9-2e95-4276-ad67-5aea164d6128</errorID>
      <errorWord xmlns="http://schemas.wps.cn/vas-ai-hub/contract-review">、就</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1AC20739</paraID>
      <start xmlns="http://schemas.wps.cn/vas-ai-hub/contract-review">206</start>
      <end xmlns="http://schemas.wps.cn/vas-ai-hub/contract-review">208</end>
      <status xmlns="http://schemas.wps.cn/vas-ai-hub/contract-review">modified</status>
      <modifiedWord xmlns="http://schemas.wps.cn/vas-ai-hub/contract-review">，就</modifiedWord>
      <trackRevisions xmlns="http://schemas.wps.cn/vas-ai-hub/contract-review">false</trackRevisions>
    </reviewItem>
    <reviewItem xmlns="http://schemas.wps.cn/vas-ai-hub/contract-review">
      <errorID xmlns="http://schemas.wps.cn/vas-ai-hub/contract-review">5d8b9dfa-138d-4c11-8da3-942c281ab4db</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1AC20739</paraID>
      <start xmlns="http://schemas.wps.cn/vas-ai-hub/contract-review">371</start>
      <end xmlns="http://schemas.wps.cn/vas-ai-hub/contract-review">372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deea3a05-e190-423a-82f1-cbe781d72a13</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392DD83F</paraID>
      <start xmlns="http://schemas.wps.cn/vas-ai-hub/contract-review">16</start>
      <end xmlns="http://schemas.wps.cn/vas-ai-hub/contract-review">17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11fa7a7d-f2b3-4cd5-b818-40b9cfe87250</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2CA754C9</paraID>
      <start xmlns="http://schemas.wps.cn/vas-ai-hub/contract-review">19</start>
      <end xmlns="http://schemas.wps.cn/vas-ai-hub/contract-review">20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de0d740f-5d2b-4529-ad77-a03a6f365b72</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2BD69624</paraID>
      <start xmlns="http://schemas.wps.cn/vas-ai-hub/contract-review">22</start>
      <end xmlns="http://schemas.wps.cn/vas-ai-hub/contract-review">23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c9ed8d79-2568-41a9-9ae7-62c2cceced70</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7DFA0326</paraID>
      <start xmlns="http://schemas.wps.cn/vas-ai-hub/contract-review">21</start>
      <end xmlns="http://schemas.wps.cn/vas-ai-hub/contract-review">22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674322c2-70fe-44a1-bef3-fef3de89aa0f</errorID>
      <errorWord xmlns="http://schemas.wps.cn/vas-ai-hub/contract-review">能源行业则</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能源行业</item>
      </candidateList>
      <explain xmlns="http://schemas.wps.cn/vas-ai-hub/contract-review"/>
      <paraID xmlns="http://schemas.wps.cn/vas-ai-hub/contract-review">673869FF</paraID>
      <start xmlns="http://schemas.wps.cn/vas-ai-hub/contract-review">80</start>
      <end xmlns="http://schemas.wps.cn/vas-ai-hub/contract-review">84</end>
      <status xmlns="http://schemas.wps.cn/vas-ai-hub/contract-review">modified</status>
      <modifiedWord xmlns="http://schemas.wps.cn/vas-ai-hub/contract-review">能源行业</modifiedWord>
      <trackRevisions xmlns="http://schemas.wps.cn/vas-ai-hub/contract-review">false</trackRevisions>
    </reviewItem>
    <reviewItem xmlns="http://schemas.wps.cn/vas-ai-hub/contract-review">
      <errorID xmlns="http://schemas.wps.cn/vas-ai-hub/contract-review">9f78dfd7-6495-4420-88ac-577f59d1faa0</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3D4E752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0a8e1193-490f-4c72-b7f2-79febcd2926a</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368C04E1</paraID>
      <start xmlns="http://schemas.wps.cn/vas-ai-hub/contract-review">16</start>
      <end xmlns="http://schemas.wps.cn/vas-ai-hub/contract-review">17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ff3bdd93-b256-4647-a209-2a7572ea16bc</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19599AA3</paraID>
      <start xmlns="http://schemas.wps.cn/vas-ai-hub/contract-review">17</start>
      <end xmlns="http://schemas.wps.cn/vas-ai-hub/contract-review">18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ea298a46-b3af-4242-ab23-20616d8e2e66</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786A5A55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0b4653af-be6a-459b-b89d-0ae164158e7d</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61159354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d3467af3-aa6e-4ae2-84ec-4a82a140da25</errorID>
      <errorWord xmlns="http://schemas.wps.cn/vas-ai-hub/contract-review">、就</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34B045FF</paraID>
      <start xmlns="http://schemas.wps.cn/vas-ai-hub/contract-review">155</start>
      <end xmlns="http://schemas.wps.cn/vas-ai-hub/contract-review">157</end>
      <status xmlns="http://schemas.wps.cn/vas-ai-hub/contract-review">modified</status>
      <modifiedWord xmlns="http://schemas.wps.cn/vas-ai-hub/contract-review">，就</modifiedWord>
      <trackRevisions xmlns="http://schemas.wps.cn/vas-ai-hub/contract-review">false</trackRevisions>
    </reviewItem>
    <reviewItem xmlns="http://schemas.wps.cn/vas-ai-hub/contract-review">
      <errorID xmlns="http://schemas.wps.cn/vas-ai-hub/contract-review">8e02959f-421c-41fa-a905-3a49065e2f72</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4AF1D6FA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cb57e2fa-fe33-49ff-ad8f-88d94c991eb2</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1E8452C2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8cf72b0f-b325-4179-8145-95da8ea932d3</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1C4158F1</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979df4b3-f3d2-4397-bbaf-763038f4f49a</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46C462F9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f21e51b4-4382-468f-a0e7-a590d9b6cc01</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48F8DE44</paraID>
      <start xmlns="http://schemas.wps.cn/vas-ai-hub/contract-review">101</start>
      <end xmlns="http://schemas.wps.cn/vas-ai-hub/contract-review">102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d6da4a1a-50c0-400f-a190-b689c5b16ab9</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15386959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f484765a-fc7b-4602-ad10-4bfaab33e17a</errorID>
      <errorWord xmlns="http://schemas.wps.cn/vas-ai-hub/contract-review">供应</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item>
      </candidateList>
      <explain xmlns="http://schemas.wps.cn/vas-ai-hub/contract-review">“供应～服务”搭配不当，建议修改为“提供～服务”。</explain>
      <paraID xmlns="http://schemas.wps.cn/vas-ai-hub/contract-review">48A7ABFA</paraID>
      <start xmlns="http://schemas.wps.cn/vas-ai-hub/contract-review">240</start>
      <end xmlns="http://schemas.wps.cn/vas-ai-hub/contract-review">242</end>
      <status xmlns="http://schemas.wps.cn/vas-ai-hub/contract-review">modified</status>
      <modifiedWord xmlns="http://schemas.wps.cn/vas-ai-hub/contract-review">提供</modifiedWord>
      <trackRevisions xmlns="http://schemas.wps.cn/vas-ai-hub/contract-review">false</trackRevisions>
    </reviewItem>
    <reviewItem xmlns="http://schemas.wps.cn/vas-ai-hub/contract-review">
      <errorID xmlns="http://schemas.wps.cn/vas-ai-hub/contract-review">7524c8cc-69ff-42ec-9e19-2b37fae9ec9b</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2B2F35E8</paraID>
      <start xmlns="http://schemas.wps.cn/vas-ai-hub/contract-review">68</start>
      <end xmlns="http://schemas.wps.cn/vas-ai-hub/contract-review">70</end>
      <status xmlns="http://schemas.wps.cn/vas-ai-hub/contract-review">modified</status>
      <modifiedWord xmlns="http://schemas.wps.cn/vas-ai-hub/contract-review">kW</modifiedWord>
      <trackRevisions xmlns="http://schemas.wps.cn/vas-ai-hub/contract-review">false</trackRevisions>
    </reviewItem>
    <reviewItem xmlns="http://schemas.wps.cn/vas-ai-hub/contract-review">
      <errorID xmlns="http://schemas.wps.cn/vas-ai-hub/contract-review">917a3767-0c36-4267-8a68-dbc0deae0aa7</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2B2F35E8</paraID>
      <start xmlns="http://schemas.wps.cn/vas-ai-hub/contract-review">81</start>
      <end xmlns="http://schemas.wps.cn/vas-ai-hub/contract-review">83</end>
      <status xmlns="http://schemas.wps.cn/vas-ai-hub/contract-review">modified</status>
      <modifiedWord xmlns="http://schemas.wps.cn/vas-ai-hub/contract-review">kW</modifiedWord>
      <trackRevisions xmlns="http://schemas.wps.cn/vas-ai-hub/contract-review">false</trackRevisions>
    </reviewItem>
    <reviewItem xmlns="http://schemas.wps.cn/vas-ai-hub/contract-review">
      <errorID xmlns="http://schemas.wps.cn/vas-ai-hub/contract-review">fb2aecd8-993f-4ad0-a68a-f369bb3c0fc7</errorID>
      <errorWord xmlns="http://schemas.wps.cn/vas-ai-hub/contract-review">、就</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6B8716FB</paraID>
      <start xmlns="http://schemas.wps.cn/vas-ai-hub/contract-review">116</start>
      <end xmlns="http://schemas.wps.cn/vas-ai-hub/contract-review">118</end>
      <status xmlns="http://schemas.wps.cn/vas-ai-hub/contract-review">modified</status>
      <modifiedWord xmlns="http://schemas.wps.cn/vas-ai-hub/contract-review">，就</modifiedWord>
      <trackRevisions xmlns="http://schemas.wps.cn/vas-ai-hub/contract-review">false</trackRevisions>
    </reviewItem>
    <reviewItem xmlns="http://schemas.wps.cn/vas-ai-hub/contract-review">
      <errorID xmlns="http://schemas.wps.cn/vas-ai-hub/contract-review">100e270d-de93-4b9f-acc0-074bb3ab12c5</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231C5766</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b615e4eb-9dfb-4b76-982d-fc870a456467</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explain xmlns="http://schemas.wps.cn/vas-ai-hub/contract-review">此处标点可能未正确匹配，请检查句子中是否存在标点冗余、缺失或使用错误的情况。</explain>
      <paraID xmlns="http://schemas.wps.cn/vas-ai-hub/contract-review"> F5E42C4</paraID>
      <start xmlns="http://schemas.wps.cn/vas-ai-hub/contract-review">141</start>
      <end xmlns="http://schemas.wps.cn/vas-ai-hub/contract-review">142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2454bd0a-64d6-4b6d-b8b7-0e2289fe7ab5</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破折号或连接号疑似使用错误。</explain>
      <paraID xmlns="http://schemas.wps.cn/vas-ai-hub/contract-review">782249B4</paraID>
      <start xmlns="http://schemas.wps.cn/vas-ai-hub/contract-review">54</start>
      <end xmlns="http://schemas.wps.cn/vas-ai-hub/contract-review">56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3757c223-76ff-46c3-a93e-02b14aa5ddeb</errorID>
      <errorWord xmlns="http://schemas.wps.cn/vas-ai-hub/contract-review">128.21千</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128210.00000000001</item>
      </candidateList>
      <explain xmlns="http://schemas.wps.cn/vas-ai-hub/contract-review"/>
      <paraID xmlns="http://schemas.wps.cn/vas-ai-hub/contract-review">782249B4</paraID>
      <start xmlns="http://schemas.wps.cn/vas-ai-hub/contract-review">126</start>
      <end xmlns="http://schemas.wps.cn/vas-ai-hub/contract-review">133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324ebd1f-668d-4db8-b67e-338c6e43502e</errorID>
      <errorWord xmlns="http://schemas.wps.cn/vas-ai-hub/contract-review">110.16千</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110160</item>
      </candidateList>
      <explain xmlns="http://schemas.wps.cn/vas-ai-hub/contract-review"/>
      <paraID xmlns="http://schemas.wps.cn/vas-ai-hub/contract-review">782249B4</paraID>
      <start xmlns="http://schemas.wps.cn/vas-ai-hub/contract-review">142</start>
      <end xmlns="http://schemas.wps.cn/vas-ai-hub/contract-review">149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4b1e8648-3ccd-43e2-9664-c7a74f156b9b</errorID>
      <errorWord xmlns="http://schemas.wps.cn/vas-ai-hub/contract-review">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降区</item>
      </candidateList>
      <explain xmlns="http://schemas.wps.cn/vas-ai-hub/contract-review"/>
      <paraID xmlns="http://schemas.wps.cn/vas-ai-hub/contract-review">2348D681</paraID>
      <start xmlns="http://schemas.wps.cn/vas-ai-hub/contract-review">13</start>
      <end xmlns="http://schemas.wps.cn/vas-ai-hub/contract-review">15</end>
      <status xmlns="http://schemas.wps.cn/vas-ai-hub/contract-review">modified</status>
      <modifiedWord xmlns="http://schemas.wps.cn/vas-ai-hub/contract-review">降区</modifiedWord>
      <trackRevisions xmlns="http://schemas.wps.cn/vas-ai-hub/contract-review">false</trackRevisions>
    </reviewItem>
    <reviewItem xmlns="http://schemas.wps.cn/vas-ai-hub/contract-review">
      <errorID xmlns="http://schemas.wps.cn/vas-ai-hub/contract-review">5ea9cf66-af55-4a54-a23b-06beb1a17c27</errorID>
      <errorWord xmlns="http://schemas.wps.cn/vas-ai-hub/contract-review">探</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滩</item>
      </candidateList>
      <explain xmlns="http://schemas.wps.cn/vas-ai-hub/contract-review">存在发音相同字词的误用。</explain>
      <paraID xmlns="http://schemas.wps.cn/vas-ai-hub/contract-review">2348D681</paraID>
      <start xmlns="http://schemas.wps.cn/vas-ai-hub/contract-review">123</start>
      <end xmlns="http://schemas.wps.cn/vas-ai-hub/contract-review">124</end>
      <status xmlns="http://schemas.wps.cn/vas-ai-hub/contract-review">modified</status>
      <modifiedWord xmlns="http://schemas.wps.cn/vas-ai-hub/contract-review">滩</modifiedWord>
      <trackRevisions xmlns="http://schemas.wps.cn/vas-ai-hub/contract-review">false</trackRevisions>
    </reviewItem>
    <reviewItem xmlns="http://schemas.wps.cn/vas-ai-hub/contract-review">
      <errorID xmlns="http://schemas.wps.cn/vas-ai-hub/contract-review">c5de229c-1615-4b69-b9bd-d76d99db3d69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52154A78</paraID>
      <start xmlns="http://schemas.wps.cn/vas-ai-hub/contract-review">15</start>
      <end xmlns="http://schemas.wps.cn/vas-ai-hub/contract-review">16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ace21c8b-a720-48ef-a367-61025d10802c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52154A78</paraID>
      <start xmlns="http://schemas.wps.cn/vas-ai-hub/contract-review">64</start>
      <end xmlns="http://schemas.wps.cn/vas-ai-hub/contract-review">65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b17fd8c5-749d-46c5-ad53-1fd57543d335</errorID>
      <errorWord xmlns="http://schemas.wps.cn/vas-ai-hub/contract-review">对于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xmlns="http://schemas.wps.cn/vas-ai-hub/contract-review">52154A78</paraID>
      <start xmlns="http://schemas.wps.cn/vas-ai-hub/contract-review">111</start>
      <end xmlns="http://schemas.wps.cn/vas-ai-hub/contract-review">112</end>
      <status xmlns="http://schemas.wps.cn/vas-ai-hub/contract-review">modified</status>
      <modifiedWord xmlns="http://schemas.wps.cn/vas-ai-hub/contract-review">对</modifiedWord>
      <trackRevisions xmlns="http://schemas.wps.cn/vas-ai-hub/contract-review">false</trackRevisions>
    </reviewItem>
    <reviewItem xmlns="http://schemas.wps.cn/vas-ai-hub/contract-review">
      <errorID xmlns="http://schemas.wps.cn/vas-ai-hub/contract-review">98d7770d-0eeb-4d38-b476-84e5c091bfb1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5095463F</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cc2f2486-0b91-43c7-9bd9-e8ebbd7ca568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5095463F</paraID>
      <start xmlns="http://schemas.wps.cn/vas-ai-hub/contract-review">10</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9c3afddb-0934-4540-ac12-d9de4bd3fcbe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53BFCA57</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3b0ec239-5d51-4334-a6b9-a9dd5fbce848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53BFCA57</paraID>
      <start xmlns="http://schemas.wps.cn/vas-ai-hub/contract-review">14</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4e9617e3-cf9a-40db-ad84-9fc8f55dc906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69B1FA6</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0f9462fb-bc5a-4f25-8d96-5a9a55c51156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69B1FA6</paraID>
      <start xmlns="http://schemas.wps.cn/vas-ai-hub/contract-review">14</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4e13a091-3fc6-4fc2-b81b-63a63eac64d3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325C43A4</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9915277b-c76b-4bf0-a4c3-29ad0e97ed6b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325C43A4</paraID>
      <start xmlns="http://schemas.wps.cn/vas-ai-hub/contract-review">14</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8b16e668-4a8c-4fa9-ac8e-c721f2dc549c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4AEC7EB7</paraID>
      <start xmlns="http://schemas.wps.cn/vas-ai-hub/contract-review">8</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4c80ec2f-d009-44e2-b732-702aabd57da5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4AEC7EB7</paraID>
      <start xmlns="http://schemas.wps.cn/vas-ai-hub/contract-review">16</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90d0c915-0bd4-4eac-bd56-4e91b9a5f768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64D4A202</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714ce6e9-70ea-4d45-a121-19ce333d34a1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64D4A202</paraID>
      <start xmlns="http://schemas.wps.cn/vas-ai-hub/contract-review">14</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ece62897-023a-409e-8599-1d1907934085</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75D1D7A8</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1407acf5-3e12-4e19-8085-806ed24ef615</errorID>
      <errorWord xmlns="http://schemas.wps.cn/vas-ai-hub/contract-review">滞阳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睢阳</item>
      </candidateList>
      <explain xmlns="http://schemas.wps.cn/vas-ai-hub/contract-review"/>
      <paraID xmlns="http://schemas.wps.cn/vas-ai-hub/contract-review">1ABF1892</paraID>
      <start xmlns="http://schemas.wps.cn/vas-ai-hub/contract-review">201</start>
      <end xmlns="http://schemas.wps.cn/vas-ai-hub/contract-review">203</end>
      <status xmlns="http://schemas.wps.cn/vas-ai-hub/contract-review">modified</status>
      <modifiedWord xmlns="http://schemas.wps.cn/vas-ai-hub/contract-review">睢阳</modifiedWord>
      <trackRevisions xmlns="http://schemas.wps.cn/vas-ai-hub/contract-review">false</trackRevisions>
    </reviewItem>
    <reviewItem xmlns="http://schemas.wps.cn/vas-ai-hub/contract-review">
      <errorID xmlns="http://schemas.wps.cn/vas-ai-hub/contract-review">28daccef-a1b1-4bc6-9426-845888dbd781</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3F3740EC</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82332047-e9b1-4991-8020-bd510d3466d2</errorID>
      <errorWord xmlns="http://schemas.wps.cn/vas-ai-hub/contract-review">年平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年均</item>
      </candidateList>
      <explain xmlns="http://schemas.wps.cn/vas-ai-hub/contract-review"/>
      <paraID xmlns="http://schemas.wps.cn/vas-ai-hub/contract-review">79F19878</paraID>
      <start xmlns="http://schemas.wps.cn/vas-ai-hub/contract-review">195</start>
      <end xmlns="http://schemas.wps.cn/vas-ai-hub/contract-review">197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f4e6dbfa-53a2-4220-aaf6-41aa83595087</errorID>
      <errorWord xmlns="http://schemas.wps.cn/vas-ai-hub/contract-review">年平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年均</item>
      </candidateList>
      <explain xmlns="http://schemas.wps.cn/vas-ai-hub/contract-review"/>
      <paraID xmlns="http://schemas.wps.cn/vas-ai-hub/contract-review">79F19878</paraID>
      <start xmlns="http://schemas.wps.cn/vas-ai-hub/contract-review">227</start>
      <end xmlns="http://schemas.wps.cn/vas-ai-hub/contract-review">229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3a7a6237-c8c5-4b3c-8052-2230c10a9f20</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1667E424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0da962b2-1133-474e-8cbf-aa45ea27a89b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D6F5F22</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f6f7a784-7fa0-4d19-a061-7a84183e9bf3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D6F5F22</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9c531158-1c17-4105-9e3e-cb245820b74b</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61ED0D88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14a27d89-0ab0-426a-8380-c1d187c424e1</errorID>
      <errorWord xmlns="http://schemas.wps.cn/vas-ai-hub/contract-review">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item>
      </candidateList>
      <explain xmlns="http://schemas.wps.cn/vas-ai-hub/contract-review">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 xmlns="http://schemas.wps.cn/vas-ai-hub/contract-review">5FA1925A</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8c9604a2-c870-4a26-b121-357847deb2ab</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14F583D2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17ecf0c2-9a94-41ef-8b53-dfbf0b93ed90</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7B86C3A9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5852e3df-9a35-453b-8e28-242459380549</errorID>
      <errorWord xmlns="http://schemas.wps.cn/vas-ai-hub/contract-review">及其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及</item>
      </candidateList>
      <explain xmlns="http://schemas.wps.cn/vas-ai-hub/contract-review">〈连〉连接并列的名词或名词性词组：图书、仪器、标本～其他。注意用“及”连接的成分多在意义上有主次之分，主要的成分放在“及”的前面。</explain>
      <paraID xmlns="http://schemas.wps.cn/vas-ai-hub/contract-review">661240CC</paraID>
      <start xmlns="http://schemas.wps.cn/vas-ai-hub/contract-review">45</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99a648b6-e3ae-49df-bd43-39cf6141cfff</errorID>
      <errorWord xmlns="http://schemas.wps.cn/vas-ai-hub/contract-review">通讯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通信</item>
      </candidateList>
      <explain xmlns="http://schemas.wps.cn/vas-ai-hub/contract-review"/>
      <paraID xmlns="http://schemas.wps.cn/vas-ai-hub/contract-review">40C3BDE7</paraID>
      <start xmlns="http://schemas.wps.cn/vas-ai-hub/contract-review">59</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6f90ac35-de03-4246-ac31-b180f7ca7f98</errorID>
      <errorWord xmlns="http://schemas.wps.cn/vas-ai-hub/contract-review">的其它有关</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的其他有关</item>
      </candidateList>
      <explain xmlns="http://schemas.wps.cn/vas-ai-hub/contract-review">词汇[的其它有关]为不规范表述或旧称，其规范书面表述为[的其他有关]。</explain>
      <paraID xmlns="http://schemas.wps.cn/vas-ai-hub/contract-review">1DC92F71</paraID>
      <start xmlns="http://schemas.wps.cn/vas-ai-hub/contract-review">6</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aad9cfa7-9761-4e55-9156-fe8443aa1535</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69A6D2E9</paraID>
      <start xmlns="http://schemas.wps.cn/vas-ai-hub/contract-review">167</start>
      <end xmlns="http://schemas.wps.cn/vas-ai-hub/contract-review">169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bb4130f0-0137-4bdc-ad12-ff7bf594a956</errorID>
      <errorWord xmlns="http://schemas.wps.cn/vas-ai-hub/contract-review">部部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部</item>
      </candidateList>
      <explain xmlns="http://schemas.wps.cn/vas-ai-hub/contract-review">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 xmlns="http://schemas.wps.cn/vas-ai-hub/contract-review">570F08DC</paraID>
      <start xmlns="http://schemas.wps.cn/vas-ai-hub/contract-review">21</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00ebdc90-a3e1-4d99-a7c6-b30b6727b976</errorID>
      <errorWord xmlns="http://schemas.wps.cn/vas-ai-hub/contract-review">侧侧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侧</item>
      </candidateList>
      <explain xmlns="http://schemas.wps.cn/vas-ai-hub/contract-review"/>
      <paraID xmlns="http://schemas.wps.cn/vas-ai-hub/contract-review">6A5727B3</paraID>
      <start xmlns="http://schemas.wps.cn/vas-ai-hub/contract-review">23</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b73e1911-0b24-4d2c-8773-bcbdbd3114bc</errorID>
      <errorWord xmlns="http://schemas.wps.cn/vas-ai-hub/contract-review">也也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也</item>
      </candidateList>
      <explain xmlns="http://schemas.wps.cn/vas-ai-hub/contract-review">〈副〉❶表示同样：水库可以灌溉、发电，～可以养鱼。❷单用或叠用，强调两事并列或对待：他会英语，～会法语｜游客里面～有坐车的，～有步行的。❸叠用，表示无论这样或那样，结果都相同：你去我～去，你不去我～去｜他左想～不是，右想～不是。❹用在转折或让步的句子里（常跟上文的“虽然、即使”等呼应），隐含结果相同的意思：虽然雨下得很大，他～来了｜即使你不说，我～知道（你说了，我知道；你不说，我也同样知道）。</explain>
      <paraID xmlns="http://schemas.wps.cn/vas-ai-hub/contract-review">6A5727B3</paraID>
      <start xmlns="http://schemas.wps.cn/vas-ai-hub/contract-review">50</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3e8ee31c-d217-473e-8b9d-e8e6a7f1879c</errorID>
      <errorWord xmlns="http://schemas.wps.cn/vas-ai-hub/contract-review">利用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利于</item>
      </candidateList>
      <explain xmlns="http://schemas.wps.cn/vas-ai-hub/contract-review"/>
      <paraID xmlns="http://schemas.wps.cn/vas-ai-hub/contract-review">6A5727B3</paraID>
      <start xmlns="http://schemas.wps.cn/vas-ai-hub/contract-review">52</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538ce775-a234-4690-9200-c3e7bd694c2c</errorID>
      <errorWord xmlns="http://schemas.wps.cn/vas-ai-hub/contract-review">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item>
      </candidateList>
      <explain xmlns="http://schemas.wps.cn/vas-ai-hub/contract-review">存在字形相近字词的误用。</explain>
      <paraID xmlns="http://schemas.wps.cn/vas-ai-hub/contract-review">13BEF517</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2c891d08-2ed2-4f62-aa77-2d1c6e99c290</errorID>
      <errorWord xmlns="http://schemas.wps.cn/vas-ai-hub/contract-review">方案在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方案</item>
      </candidateList>
      <explain xmlns="http://schemas.wps.cn/vas-ai-hub/contract-review"/>
      <paraID xmlns="http://schemas.wps.cn/vas-ai-hub/contract-review">6433B5ED</paraID>
      <start xmlns="http://schemas.wps.cn/vas-ai-hub/contract-review">1</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d0ad6696-7f7f-45aa-9825-9c1f22ceaf08</errorID>
      <errorWord xmlns="http://schemas.wps.cn/vas-ai-hub/contract-review">加大为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加大</item>
      </candidateList>
      <explain xmlns="http://schemas.wps.cn/vas-ai-hub/contract-review"/>
      <paraID xmlns="http://schemas.wps.cn/vas-ai-hub/contract-review">75F1BE77</paraID>
      <start xmlns="http://schemas.wps.cn/vas-ai-hub/contract-review">38</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48ae3f26-9f15-44e4-afe6-de0ce20ccfc5</errorID>
      <errorWord xmlns="http://schemas.wps.cn/vas-ai-hub/contract-review">大大</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大幅</item>
      </candidateList>
      <explain xmlns="http://schemas.wps.cn/vas-ai-hub/contract-review">“大大～提升”搭配不当，建议修改为“大幅～提升”。</explain>
      <paraID xmlns="http://schemas.wps.cn/vas-ai-hub/contract-review">75F1BE77</paraID>
      <start xmlns="http://schemas.wps.cn/vas-ai-hub/contract-review">67</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5c758dd6-5848-4c8d-8383-7e2961df000a</errorID>
      <errorWord xmlns="http://schemas.wps.cn/vas-ai-hub/contract-review">设计统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设计</item>
      </candidateList>
      <explain xmlns="http://schemas.wps.cn/vas-ai-hub/contract-review">❶〈动〉在正式做某项工作之前，根据一定的目的要求，预先制定方法、图样等：～师｜～图纸。❷〈名〉设计的方案或规划的蓝图等：那两项～已经完成。</explain>
      <paraID xmlns="http://schemas.wps.cn/vas-ai-hub/contract-review">5D2B0A6F</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bc167917-3e73-429a-bc3e-f58ebfe88707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5E0D008F</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8269b0f9-9ec4-4e05-8706-0adfaf59349e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5E0D008F</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03afb23b-90ab-448e-bea8-20df4342bbbe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A0F7F3</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349467d1-1f7c-4795-97dd-21074197bc78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A0F7F3</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d5dd0ff4-982b-49bc-8029-ee6a7b0571da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66A7B6C1</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1aabf5b7-17df-46c1-9c0d-fbd6ac287cd1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66A7B6C1</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061b144c-19c7-42b5-a4e3-1491d51548b6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24929DC3</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23dff79c-f381-4891-acc9-e1b6731717fe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24929DC3</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c78cdb32-c0b6-4d7b-8434-66641e605384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6317C729</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e23fbd4c-80f8-4990-830d-dae56f3c3569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6317C729</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79e227d9-301a-42d8-bafc-279ff5d06248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5B2277DD</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f6c2e101-41b3-4197-9431-79c374e7f75a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5B2277DD</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49f9b37c-0bda-4ed9-b0f8-65cddda057be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184FA30A</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17ffca70-11ad-476f-8db3-21f0c62761c7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184FA30A</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ea60519c-4ebd-41db-ba28-3e2ba5ee4439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1606B77C</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2ea25743-92bf-4906-bdb1-83bc82e7a3ea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1606B77C</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cfb8a8a0-bdcd-437a-afa0-370b15940ac2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45581E31</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e71a9e3d-ff09-46db-896f-251ab0635ee6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45581E31</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285a8b6a-8d0d-4243-bcc5-f71ba242d8d8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5ADA2E38</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27f66523-79c6-4c97-a8e2-5d746a7b8246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5ADA2E38</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ead4211e-8fdc-48cc-a787-4b4c4b3e92a4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2AE43CE6</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3e482e00-3fa0-43fc-88d7-a3de524f412b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2AE43CE6</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6d47e334-aa4b-47d1-b07d-671b3f378a56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3AA329EC</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fa6e1d21-4937-4882-b44f-b3ff08645405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3AA329EC</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45d10e79-6944-4903-a4a9-8a6cc10f98bf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5CF9A83B</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03f1f28f-0c74-4c7e-a6be-c79b4942627f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5CF9A83B</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47388941-d451-4739-b577-caf08640c53c</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explain xmlns="http://schemas.wps.cn/vas-ai-hub/contract-review">此处标点可能未正确匹配，请检查句子中是否存在标点冗余、缺失或使用错误的情况。</explain>
      <paraID xmlns="http://schemas.wps.cn/vas-ai-hub/contract-review">61BD435A</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2f92596e-535f-4dfa-a72f-4fa1bd92246a</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4F7A43C8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c9cb18f4-0f30-40e3-926c-c50b07ab8d2d</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12C8409F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f33c296c-5e0e-4912-9067-cef548a977a8</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25C5E3BD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7a7f24f7-bcfe-4d6d-b7a8-8da9ec55c7b6</errorID>
      <errorWord xmlns="http://schemas.wps.cn/vas-ai-hub/contract-review">防</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设防</item>
      </candidateList>
      <explain xmlns="http://schemas.wps.cn/vas-ai-hub/contract-review"/>
      <paraID xmlns="http://schemas.wps.cn/vas-ai-hub/contract-review"> 727723A</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61ccd4f9-2cf3-42e3-ace1-04b8677d2944</errorID>
      <errorWord xmlns="http://schemas.wps.cn/vas-ai-hub/contract-review">作综合评价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做综合评价</item>
      </candidateList>
      <explain xmlns="http://schemas.wps.cn/vas-ai-hub/contract-review"/>
      <paraID xmlns="http://schemas.wps.cn/vas-ai-hub/contract-review">12FC9F44</paraID>
      <start xmlns="http://schemas.wps.cn/vas-ai-hub/contract-review">17</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ae78dd6e-5946-4227-9f70-b8ed0e5b9275</errorID>
      <errorWord xmlns="http://schemas.wps.cn/vas-ai-hub/contract-review">如设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如</item>
      </candidateList>
      <explain xmlns="http://schemas.wps.cn/vas-ai-hub/contract-review"/>
      <paraID xmlns="http://schemas.wps.cn/vas-ai-hub/contract-review"> A9ABADA</paraID>
      <start xmlns="http://schemas.wps.cn/vas-ai-hub/contract-review">34</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6fc3af36-d4ee-4665-9e85-13fd47160278</errorID>
      <errorWord xmlns="http://schemas.wps.cn/vas-ai-hub/contract-review">其它有效的</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其他有效的</item>
      </candidateList>
      <explain xmlns="http://schemas.wps.cn/vas-ai-hub/contract-review">词汇[其它有效的]为不规范表述或旧称，其规范书面表述为[其他有效的]。</explain>
      <paraID xmlns="http://schemas.wps.cn/vas-ai-hub/contract-review"> 594A192</paraID>
      <start xmlns="http://schemas.wps.cn/vas-ai-hub/contract-review">0</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87fdbeb4-088e-425a-808e-99aaa3b4a89e</errorID>
      <errorWord xmlns="http://schemas.wps.cn/vas-ai-hub/contract-review">按照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（案）àn❶〈书〉考查；核对：有原文可～。❷（编者、作者等）加按语：编者～。</explain>
      <paraID xmlns="http://schemas.wps.cn/vas-ai-hub/contract-review">431E8F2B</paraID>
      <start xmlns="http://schemas.wps.cn/vas-ai-hub/contract-review">160</start>
      <end xmlns="http://schemas.wps.cn/vas-ai-hub/contract-review">162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e1a3acb9-6141-41cf-b0fc-b5271e473331</errorID>
      <errorWord xmlns="http://schemas.wps.cn/vas-ai-hub/contract-review">二台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两台</item>
      </candidateList>
      <explain xmlns="http://schemas.wps.cn/vas-ai-hub/contract-review"/>
      <paraID xmlns="http://schemas.wps.cn/vas-ai-hub/contract-review">47415797</paraID>
      <start xmlns="http://schemas.wps.cn/vas-ai-hub/contract-review">104</start>
      <end xmlns="http://schemas.wps.cn/vas-ai-hub/contract-review">106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1fc415b1-ef58-4822-8c36-d6cd2f1948a9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7FD3D734</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0431c17b-4feb-4f16-ab46-f10c1853a28b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4ABC2046</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42b78e1c-2130-40c5-bc35-87c15946f2a1</errorID>
      <errorWord xmlns="http://schemas.wps.cn/vas-ai-hub/contract-review">使用</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采取</item>
      </candidateList>
      <explain xmlns="http://schemas.wps.cn/vas-ai-hub/contract-review">“使用～措施”搭配不当，建议修改为“采取～措施”。</explain>
      <paraID xmlns="http://schemas.wps.cn/vas-ai-hub/contract-review">20F88941</paraID>
      <start xmlns="http://schemas.wps.cn/vas-ai-hub/contract-review">116</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4441ae1b-f137-4734-a145-dc6324a32c26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5180818A</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d37568f7-79e5-4cc7-9dd6-07db0f296f17</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585DB000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f6ad1d5f-dbcd-4a3b-8986-859f528fbfbb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72D68898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e3354cbf-fb9a-4efb-9b3b-b2bfeb075f4d</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27F7E197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792638b9-958a-470f-95a1-2858978ca3d0</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6B27FD4A</paraID>
      <start xmlns="http://schemas.wps.cn/vas-ai-hub/contract-review">45</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929a453c-2a7d-4ac8-9cef-df1c0dcae0ab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4220448E</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cbc66272-4875-4a6e-b943-16300f977f61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4220448E</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af70f054-f201-42d7-8a8a-c43483a4928c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31A86C54</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1dd6f5f0-01fe-41a5-8672-393f6b4e28c6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31A86C54</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3b895f72-584c-4a24-8940-41c70cf6f531</errorID>
      <errorWord xmlns="http://schemas.wps.cn/vas-ai-hub/contract-review">开敞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敞开</item>
      </candidateList>
      <explain xmlns="http://schemas.wps.cn/vas-ai-hub/contract-review"/>
      <paraID xmlns="http://schemas.wps.cn/vas-ai-hub/contract-review">5B9AC11D</paraID>
      <start xmlns="http://schemas.wps.cn/vas-ai-hub/contract-review">110</start>
      <end xmlns="http://schemas.wps.cn/vas-ai-hub/contract-review">112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52d3f876-a7f7-46a1-879c-4c905f37a975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706D326C</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e30a0fc3-e1ec-41f6-817b-80f9416f8413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706D326C</paraID>
      <start xmlns="http://schemas.wps.cn/vas-ai-hub/contract-review">53</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c13f3f81-d353-41dc-a546-c780ca6810e6</errorID>
      <errorWord xmlns="http://schemas.wps.cn/vas-ai-hub/contract-review">灯具应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灯具</item>
      </candidateList>
      <explain xmlns="http://schemas.wps.cn/vas-ai-hub/contract-review"/>
      <paraID xmlns="http://schemas.wps.cn/vas-ai-hub/contract-review">6AE0B249</paraID>
      <start xmlns="http://schemas.wps.cn/vas-ai-hub/contract-review">56</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dbb40651-f901-40c6-9370-c54583cc2c54</errorID>
      <errorWord xmlns="http://schemas.wps.cn/vas-ai-hub/contract-review">予埋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预埋</item>
      </candidateList>
      <explain xmlns="http://schemas.wps.cn/vas-ai-hub/contract-review"/>
      <paraID xmlns="http://schemas.wps.cn/vas-ai-hub/contract-review">201DA68C</paraID>
      <start xmlns="http://schemas.wps.cn/vas-ai-hub/contract-review">73</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00173b8e-fa76-40ab-818f-590358080c09</errorID>
      <errorWord xmlns="http://schemas.wps.cn/vas-ai-hub/contract-review">高荧光</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强荧光</item>
      </candidateList>
      <explain xmlns="http://schemas.wps.cn/vas-ai-hub/contract-review">医学名词[高荧光]为不规范表述或旧称，其规范书面表述为[强荧光]。</explain>
      <paraID xmlns="http://schemas.wps.cn/vas-ai-hub/contract-review"> 991F968</paraID>
      <start xmlns="http://schemas.wps.cn/vas-ai-hub/contract-review">32</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40acf099-5872-4cd2-811e-632ce2ba8ce5</errorID>
      <errorWord xmlns="http://schemas.wps.cn/vas-ai-hub/contract-review">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是为</item>
      </candidateList>
      <explain xmlns="http://schemas.wps.cn/vas-ai-hub/contract-review"/>
      <paraID xmlns="http://schemas.wps.cn/vas-ai-hub/contract-review">330D1024</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1d8f5cc7-db56-4de6-a6e4-80cdeece2b46</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5F5C107C</paraID>
      <start xmlns="http://schemas.wps.cn/vas-ai-hub/contract-review">20</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cfad3f8e-6dea-4bdc-bea7-3dbcbd33d5a6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312E881E</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19290a97-9f9c-41cd-88f4-759e0401a9ee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312E881E</paraID>
      <start xmlns="http://schemas.wps.cn/vas-ai-hub/contract-review">178</start>
      <end xmlns="http://schemas.wps.cn/vas-ai-hub/contract-review">179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555e0e75-0551-4fbf-944f-48fd55a4321a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312E881E</paraID>
      <start xmlns="http://schemas.wps.cn/vas-ai-hub/contract-review">217</start>
      <end xmlns="http://schemas.wps.cn/vas-ai-hub/contract-review">218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ed2da658-d9de-445f-a528-abb95d4a1a7d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312E881E</paraID>
      <start xmlns="http://schemas.wps.cn/vas-ai-hub/contract-review">238</start>
      <end xmlns="http://schemas.wps.cn/vas-ai-hub/contract-review">239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1b326523-6293-4d3c-abbe-9fcc4d51e180</errorID>
      <errorWord xmlns="http://schemas.wps.cn/vas-ai-hub/contract-review">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item>
      </candidateList>
      <explain xmlns="http://schemas.wps.cn/vas-ai-hub/contract-review">存在发音相同字词的误用。</explain>
      <paraID xmlns="http://schemas.wps.cn/vas-ai-hub/contract-review">312E881E</paraID>
      <start xmlns="http://schemas.wps.cn/vas-ai-hub/contract-review">440</start>
      <end xmlns="http://schemas.wps.cn/vas-ai-hub/contract-review">441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64759745-e1d8-4679-92ad-93d3e4ef614a</errorID>
      <errorWord xmlns="http://schemas.wps.cn/vas-ai-hub/contract-review">潮湿潮湿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潮湿</item>
      </candidateList>
      <explain xmlns="http://schemas.wps.cn/vas-ai-hub/contract-review"/>
      <paraID xmlns="http://schemas.wps.cn/vas-ai-hub/contract-review">67AD4E7F</paraID>
      <start xmlns="http://schemas.wps.cn/vas-ai-hub/contract-review">32</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e1270ddd-f5e9-405f-8890-5e75d4d0e0d8</errorID>
      <errorWord xmlns="http://schemas.wps.cn/vas-ai-hub/contract-review">联结</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连接</item>
      </candidateList>
      <explain xmlns="http://schemas.wps.cn/vas-ai-hub/contract-review">（联接）liánjiē〈动〉❶（事物）互相衔接：山岭～。❷使连接：～线路。</explain>
      <paraID xmlns="http://schemas.wps.cn/vas-ai-hub/contract-review">67AD4E7F</paraID>
      <start xmlns="http://schemas.wps.cn/vas-ai-hub/contract-review">68</start>
      <end xmlns="http://schemas.wps.cn/vas-ai-hub/contract-review">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b72e5b6e-dec0-41a3-b9f5-298699b0b614</errorID>
      <errorWord xmlns="http://schemas.wps.cn/vas-ai-hub/contract-review">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item>
      </candidateList>
      <explain xmlns="http://schemas.wps.cn/vas-ai-hub/contract-review">（作）zuò〈动〉❶制造：～衣服｜用这木头～张桌子。❷写作：～文章。❸从事某种工作或活动：～工｜～事｜～买卖。❹举行庆祝或纪念活动：～寿｜～生日。❺充当；担任：～母亲的｜～官｜～教员｜～保育员｜今天开会由他～主席。❻当做：树皮可以～造纸的原料｜这篇文章可以～教材。❼结成（某种关系）：～亲｜～对头｜～朋友。</explain>
      <paraID xmlns="http://schemas.wps.cn/vas-ai-hub/contract-review">6E4ED7E3</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32689409-d1cb-4261-9eb0-69a305f277c2</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）保</item>
      </candidateList>
      <explain xmlns="http://schemas.wps.cn/vas-ai-hub/contract-review"/>
      <paraID xmlns="http://schemas.wps.cn/vas-ai-hub/contract-review">715775F2</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b2ea98a1-5dca-4d1c-bd41-7b84cb57c84c</errorID>
      <errorWord xmlns="http://schemas.wps.cn/vas-ai-hub/contract-review">其它有效的</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其他有效的</item>
      </candidateList>
      <explain xmlns="http://schemas.wps.cn/vas-ai-hub/contract-review">词汇[其它有效的]为不规范表述或旧称，其规范书面表述为[其他有效的]。</explain>
      <paraID xmlns="http://schemas.wps.cn/vas-ai-hub/contract-review">5103411E</paraID>
      <start xmlns="http://schemas.wps.cn/vas-ai-hub/contract-review">0</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eb34fc2b-6925-4075-80ff-f53b3ec240ee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7A846CFE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b32c83e5-1dbc-4d3c-9ebe-a4db01513857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7A846CFE</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d725a406-7cad-44de-8b80-2350e7a4ce1e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7A846CFE</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1c3a59fa-defc-42d0-91c6-8386ebfe7e8d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7A846CFE</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518b62f0-3ae4-4aa6-a936-5deb3de3376e</errorID>
      <errorWord xmlns="http://schemas.wps.cn/vas-ai-hub/contract-review">距阵</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矩阵</item>
      </candidateList>
      <explain xmlns="http://schemas.wps.cn/vas-ai-hub/contract-review"/>
      <paraID xmlns="http://schemas.wps.cn/vas-ai-hub/contract-review">7A846CFE</paraID>
      <start xmlns="http://schemas.wps.cn/vas-ai-hub/contract-review">46</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7182729a-96ea-49cb-b409-80a136fe0151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58FF6013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66bf7f15-3e26-4a62-87aa-dfdd2c0e570d</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25D8BA0B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7020b3c2-05d5-4ae2-b9f7-ff9caa32c833</errorID>
      <errorWord xmlns="http://schemas.wps.cn/vas-ai-hub/contract-review">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所以</item>
      </candidateList>
      <explain xmlns="http://schemas.wps.cn/vas-ai-hub/contract-review"/>
      <paraID xmlns="http://schemas.wps.cn/vas-ai-hub/contract-review">748605A6</paraID>
      <start xmlns="http://schemas.wps.cn/vas-ai-hub/contract-review">91</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0a1f5c0d-3f0b-49f6-a7ee-cb92a034aca8</errorID>
      <errorWord xmlns="http://schemas.wps.cn/vas-ai-hub/contract-review">摄象机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摄像机</item>
      </candidateList>
      <explain xmlns="http://schemas.wps.cn/vas-ai-hub/contract-review"/>
      <paraID xmlns="http://schemas.wps.cn/vas-ai-hub/contract-review">1E0539D2</paraID>
      <start xmlns="http://schemas.wps.cn/vas-ai-hub/contract-review">10</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dc3ae706-f1df-43ff-9861-6f64a83ebf17</errorID>
      <errorWord xmlns="http://schemas.wps.cn/vas-ai-hub/contract-review">图象</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图像</item>
      </candidateList>
      <explain xmlns="http://schemas.wps.cn/vas-ai-hub/contract-review">词汇[图象]的规范词形写作[图像]。</explain>
      <paraID xmlns="http://schemas.wps.cn/vas-ai-hub/contract-review">1E0539D2</paraID>
      <start xmlns="http://schemas.wps.cn/vas-ai-hub/contract-review">26</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d8092984-37db-42d5-b32e-9d9a40610dec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1F1FAA06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1766d3e8-2654-4ebe-a1c7-5aae40343b3a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3FC1FA17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dbd5f59e-dbbf-4ede-b1dc-0708515b570e</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63AF356B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01154f8a-3b12-435f-9ca9-dd4dd369308f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488AF247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1e90e949-77d5-4bbf-9cb8-68f71f3a1170</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6B49503D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b8dc2506-7fa7-44a2-8f34-9a1cb9563a90</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4950E0F0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778c6e25-2048-4abb-a0e5-9d1e9070340b</errorID>
      <errorWord xmlns="http://schemas.wps.cn/vas-ai-hub/contract-review">WIFI</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Wi-Fi</item>
      </candidateList>
      <explain xmlns="http://schemas.wps.cn/vas-ai-hub/contract-review"/>
      <paraID xmlns="http://schemas.wps.cn/vas-ai-hub/contract-review">77D7D62F</paraID>
      <start xmlns="http://schemas.wps.cn/vas-ai-hub/contract-review">12</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2f9d930c-2461-478f-8e7c-7819a011a817</errorID>
      <errorWord xmlns="http://schemas.wps.cn/vas-ai-hub/contract-review">满足图象</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满足图像</item>
      </candidateList>
      <explain xmlns="http://schemas.wps.cn/vas-ai-hub/contract-review">词汇[满足图象]的规范词形写作[满足图像]。</explain>
      <paraID xmlns="http://schemas.wps.cn/vas-ai-hub/contract-review">42044BB8</paraID>
      <start xmlns="http://schemas.wps.cn/vas-ai-hub/contract-review">58</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d0ccbfce-ae97-4221-948d-d71793836ab6</errorID>
      <errorWord xmlns="http://schemas.wps.cn/vas-ai-hub/contract-review">无线通信的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无线通信</item>
      </candidateList>
      <explain xmlns="http://schemas.wps.cn/vas-ai-hub/contract-review"/>
      <paraID xmlns="http://schemas.wps.cn/vas-ai-hub/contract-review">5974907B</paraID>
      <start xmlns="http://schemas.wps.cn/vas-ai-hub/contract-review">43</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d0eb5f9a-88c9-440d-a94c-e86b6b70eccb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76FCD267</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a479e73c-583c-4420-8126-cfb9970840d6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76FCD267</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f09c55e7-eee3-4682-bdd5-478206f404e7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76FCD267</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749f76b8-b599-4899-b94f-a43a77e739e6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DC61B6A</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b15f16ca-fe00-4c79-b965-8570d1a7160c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DC61B6A</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2037367b-7eaa-4d9d-b688-a8d2ed6f56c4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1EF615A5</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0ad4832c-b6ec-44db-ab89-898b4deb6ac0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1EF615A5</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0ec1b600-4a67-4c16-9d65-0718cba8b52b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13BE02FF</paraID>
      <start xmlns="http://schemas.wps.cn/vas-ai-hub/contract-review">54</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8aa3db2d-c9e9-4d0f-b0f5-f75baf8e23d8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3C9D643</paraID>
      <start xmlns="http://schemas.wps.cn/vas-ai-hub/contract-review">55</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28e48584-a090-4721-84a6-81c62232ee0c</errorID>
      <errorWord xmlns="http://schemas.wps.cn/vas-ai-hub/contract-review">的的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item>
      </candidateList>
      <explain xmlns="http://schemas.wps.cn/vas-ai-hub/contract-review">“的”常用于连接修饰语与名词性中心语，表示属性、所属或描述。</explain>
      <paraID xmlns="http://schemas.wps.cn/vas-ai-hub/contract-review">36BAEA81</paraID>
      <start xmlns="http://schemas.wps.cn/vas-ai-hub/contract-review">4</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4892d459-93ce-4c77-a894-089d8a0cd502</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2152C104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85d77824-d659-4707-b4ad-66cfcb5a6d41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48904F46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1c7dc9de-700f-4d3b-a8ad-08f1f7ca1a56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48904F46</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ae7fcd55-45a0-4885-8269-1b4babdc25f4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4DBC335E</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d326f4fe-df9f-4a08-919c-5ebb8ec75eec</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5524E872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ded8ef05-32c0-49d6-b61b-b8721e103d49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42CCCACF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86145775-d45a-4e5a-880f-7cb113d57002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74899FAF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6ca31a4e-276b-4700-a8ab-d3074384861d</errorID>
      <errorWord xmlns="http://schemas.wps.cn/vas-ai-hub/contract-review">接受</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接收</item>
      </candidateList>
      <explain xmlns="http://schemas.wps.cn/vas-ai-hub/contract-review">存在发音相同字词的误用。</explain>
      <paraID xmlns="http://schemas.wps.cn/vas-ai-hub/contract-review">6ED09CCF</paraID>
      <start xmlns="http://schemas.wps.cn/vas-ai-hub/contract-review">39</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bad745a2-19b0-4af3-8303-f7b3ad036bb4</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21EFCF59</paraID>
      <start xmlns="http://schemas.wps.cn/vas-ai-hub/contract-review">120</start>
      <end xmlns="http://schemas.wps.cn/vas-ai-hub/contract-review">122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bad3e22c-8325-4364-bb1b-243e0f6434a3</errorID>
      <errorWord xmlns="http://schemas.wps.cn/vas-ai-hub/contract-review">荷荷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荷</item>
      </candidateList>
      <explain xmlns="http://schemas.wps.cn/vas-ai-hub/contract-review"/>
      <paraID xmlns="http://schemas.wps.cn/vas-ai-hub/contract-review">44A5DD5D</paraID>
      <start xmlns="http://schemas.wps.cn/vas-ai-hub/contract-review">66</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73cd1f18-0dd4-424f-a82e-5581573a4b9f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7731A0E6</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f52c46af-f188-4a5c-8e2e-874bd60ec075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3899A96B</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d72002ad-146c-4b01-907d-d46d0c2c771e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3899A96B</paraID>
      <start xmlns="http://schemas.wps.cn/vas-ai-hub/contract-review">54</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a3401fc5-d7b3-48ce-8bc3-803a823d016b</errorID>
      <errorWord xmlns="http://schemas.wps.cn/vas-ai-hub/contract-review">档杆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挡杆</item>
      </candidateList>
      <explain xmlns="http://schemas.wps.cn/vas-ai-hub/contract-review"/>
      <paraID xmlns="http://schemas.wps.cn/vas-ai-hub/contract-review">4A9415AA</paraID>
      <start xmlns="http://schemas.wps.cn/vas-ai-hub/contract-review">105</start>
      <end xmlns="http://schemas.wps.cn/vas-ai-hub/contract-review">107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5c899014-8e1f-4739-9819-51e2ad854d2b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6B0F92D7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a25f047a-4ea6-4f19-badf-fbb7c8f02238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3EE2CFE9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763e46ab-fa72-456c-b3c9-9e06824b4456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3EE2CFE9</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21329fcc-3994-42d7-96f7-5e349ec86673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3EE2CFE9</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c750f487-5cec-41f6-ac18-40224965f737</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74A420BE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8f09d726-f57c-410d-b94d-31a3bc8df380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254DDD89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6c526209-9bbf-4e07-8302-b10854ce1084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254DDD89</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2d646be8-5daf-43c9-9932-9758352c5d35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254DDD89</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8440f34e-b3f1-4653-9026-20c0e1fb1dff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2E80496B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4a07a36d-da00-4bb2-93a7-3c1fbd4ebb0f</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5DBC15BF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1bcde9fa-ca4d-453d-9524-76d3f438c8a6</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48C4AA08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6f9b5c18-f371-46f5-8fc1-10498ce1cc08</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45AC7C57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700ea71e-ef15-41fa-8a53-935d63a5c5b8</errorID>
      <errorWord xmlns="http://schemas.wps.cn/vas-ai-hub/contract-review">10)</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10）</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667F4AF4</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907a77f7-46d1-4edc-8a50-8f3e8b92203d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667F4AF4</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aafb6077-ac6d-454c-979a-bb9f53deeb7b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667F4AF4</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82e57885-6b70-449d-b330-acfb42370927</errorID>
      <errorWord xmlns="http://schemas.wps.cn/vas-ai-hub/contract-review">13)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59F76494</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c80d61a5-e594-4f25-91f2-70248a14186c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59F76494</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6606987e-75fb-4c2b-832a-9a09d1a55e56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59F76494</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13081c06-9146-4fc8-af18-27df40f233ec</errorID>
      <errorWord xmlns="http://schemas.wps.cn/vas-ai-hub/contract-review">14)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54725526</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f01a222c-04c2-4dd6-9546-ab36376aa805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54725526</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5b9bfb0f-421b-41a1-a651-0d64576be650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54725526</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50949435-4b4a-4bf3-8f38-311094bb02d1</errorID>
      <errorWord xmlns="http://schemas.wps.cn/vas-ai-hub/contract-review">19)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4601F4B4</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27b0616e-8b11-4adc-b580-08a79c118a6d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4601F4B4</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e452872c-6200-4dee-b65d-953d8c60de54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4601F4B4</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5259ca06-987f-4595-9f5d-39f94ff65218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5C6F2DAB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efe8cbdb-5def-4827-a797-1c1d97e79170</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1E2E2108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ee52273a-b0df-4330-a9ae-bcd887faea10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4D324A2B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652729b2-c030-4c32-87d6-f33662c80299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4D324A2B</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c1d60eb9-85fd-4c1b-b4c4-ea5ffeaaa432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12E9E6E9</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ba1e3a1f-8313-4a6d-82a6-c5e7855abb05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12E9E6E9</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c5645dee-6171-46ea-b12c-6225a5221432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28E6F4CE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defc511f-99e0-46ca-bb29-10638106f5de</errorID>
      <errorWord xmlns="http://schemas.wps.cn/vas-ai-hub/contract-review">水箱水箱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水箱</item>
      </candidateList>
      <explain xmlns="http://schemas.wps.cn/vas-ai-hub/contract-review"/>
      <paraID xmlns="http://schemas.wps.cn/vas-ai-hub/contract-review">7BC89D01</paraID>
      <start xmlns="http://schemas.wps.cn/vas-ai-hub/contract-review">3</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77b84360-80cb-43e7-901c-c33700e4930a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285D4BB9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d7267cf6-0c4f-45ce-84eb-11da02961aaa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73EBF09F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4c2c81a1-56c2-4fa3-bd29-0418b290909b</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279C1D13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ad7cfb83-24ab-475b-ad57-3ebb9d6c4ad1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4EEE69C0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1021231f-a63f-4f38-806b-b120b105480e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42C3ECAB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fa383ac7-2489-4550-91c3-ef1ef9de35c3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42C3ECAB</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5a7e594e-fa36-48b8-a56b-ac5f7fd6f92b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36F8909B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076f3d15-71b5-4fc9-a866-dfbab2467b0c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36F8909B</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55ab0666-115f-44bb-96fb-248780221c5d</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7C8DBE7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c35582dc-f1fd-4ffa-8151-3058070a8954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34D2EFA6</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d926e0c6-32c5-4eae-94e4-be1106991fcb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34D2EFA6</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d2cc5dbc-e5c4-435c-97c4-222622ce3eb8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52B078B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21b68b1f-a84b-4773-9a8a-174e568ffc37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52B078B</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d37d2a4a-a02c-42b4-9d49-79ee4050da07</errorID>
      <errorWord xmlns="http://schemas.wps.cn/vas-ai-hub/contract-review">只</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支</item>
      </candidateList>
      <explain xmlns="http://schemas.wps.cn/vas-ai-hub/contract-review">请检查“只”是否为量词使用错误，建议修改为“支”。</explain>
      <paraID xmlns="http://schemas.wps.cn/vas-ai-hub/contract-review">1DA45173</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f3074a7f-8ff1-43a9-9874-948c4e7a3c19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47B05DD7</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1cc0f9d6-8682-4cbc-8c44-8cc886c5e900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47B05DD7</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6fa1cf76-6825-4f85-8280-1c7c290d1b0f</errorID>
      <errorWord xmlns="http://schemas.wps.cn/vas-ai-hub/contract-review">有二股</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有两股</item>
      </candidateList>
      <explain xmlns="http://schemas.wps.cn/vas-ai-hub/contract-review"/>
      <paraID xmlns="http://schemas.wps.cn/vas-ai-hub/contract-review">47B05DD7</paraID>
      <start xmlns="http://schemas.wps.cn/vas-ai-hub/contract-review">43</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91c443b3-965d-4f05-bae8-f4133a7df1f9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4A2EF27</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c0153f5f-c7d7-41d2-b2b4-a94a22df0438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4A2EF27</paraID>
      <start xmlns="http://schemas.wps.cn/vas-ai-hub/contract-review">86</start>
      <end xmlns="http://schemas.wps.cn/vas-ai-hub/contract-review">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de5de37c-2cba-43eb-8d37-8712ba2a8eef</errorID>
      <errorWord xmlns="http://schemas.wps.cn/vas-ai-hub/contract-review">卫生洁具</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洁具</item>
      </candidateList>
      <explain xmlns="http://schemas.wps.cn/vas-ai-hub/contract-review"/>
      <paraID xmlns="http://schemas.wps.cn/vas-ai-hub/contract-review">1DF04EFA</paraID>
      <start xmlns="http://schemas.wps.cn/vas-ai-hub/contract-review">48</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6979d71f-7db1-407c-8c35-98fb7c5bd5ad</errorID>
      <errorWord xmlns="http://schemas.wps.cn/vas-ai-hub/contract-review">座便器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坐便器</item>
      </candidateList>
      <explain xmlns="http://schemas.wps.cn/vas-ai-hub/contract-review"/>
      <paraID xmlns="http://schemas.wps.cn/vas-ai-hub/contract-review">1DF04EFA</paraID>
      <start xmlns="http://schemas.wps.cn/vas-ai-hub/contract-review">72</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b659074a-d9df-4a50-840b-7c1dd8039828</errorID>
      <errorWord xmlns="http://schemas.wps.cn/vas-ai-hub/contract-review">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为了</item>
      </candidateList>
      <explain xmlns="http://schemas.wps.cn/vas-ai-hub/contract-review">〈介〉表示目的：～工作学习新知识｜～人民利益而献身｜～教育群众，首先要向群众学习。注意表示原因，一般用“因为”不用“为了”。</explain>
      <paraID xmlns="http://schemas.wps.cn/vas-ai-hub/contract-review">2A26D4FA</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1f84b9ab-582c-4abe-8db8-35a11ddb19ed</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 6FE3E37</paraID>
      <start xmlns="http://schemas.wps.cn/vas-ai-hub/contract-review">32</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6f7bc44f-5a3f-4065-b00e-66963b506dd0</errorID>
      <errorWord xmlns="http://schemas.wps.cn/vas-ai-hub/contract-review">曲饶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曲绕</item>
      </candidateList>
      <explain xmlns="http://schemas.wps.cn/vas-ai-hub/contract-review">存在发音相同字词的误用。</explain>
      <paraID xmlns="http://schemas.wps.cn/vas-ai-hub/contract-review">1BDB803C</paraID>
      <start xmlns="http://schemas.wps.cn/vas-ai-hub/contract-review">21</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fceee76b-8561-47a8-9572-ce7fe5a7d48d</errorID>
      <errorWord xmlns="http://schemas.wps.cn/vas-ai-hub/contract-review">噪音</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噪声</item>
      </candidateList>
      <explain xmlns="http://schemas.wps.cn/vas-ai-hub/contract-review">词汇[噪音]为不规范表述或旧称，其规范书面表述为[噪声]。</explain>
      <paraID xmlns="http://schemas.wps.cn/vas-ai-hub/contract-review">1BDB803C</paraID>
      <start xmlns="http://schemas.wps.cn/vas-ai-hub/contract-review">39</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1f4b8e57-6617-40fb-86b5-d2f5965c3ae4</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7D2DFA7F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c64cccb2-2502-4472-a4a3-feb3f20c416b</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5A24127F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56760f0e-de84-4f1c-848e-e25409d5a97c</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22788834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1ec3e79e-08ff-4b45-8f3b-a1b016e1505c</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37C912B5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c0ffa888-8720-4cce-b4de-c654e01c01f4</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69D7FE61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49794ae2-9a00-45ab-a005-911c4f8a637a</errorID>
      <errorWord xmlns="http://schemas.wps.cn/vas-ai-hub/contract-review">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了具</item>
      </candidateList>
      <explain xmlns="http://schemas.wps.cn/vas-ai-hub/contract-review"/>
      <paraID xmlns="http://schemas.wps.cn/vas-ai-hub/contract-review">3A477187</paraID>
      <start xmlns="http://schemas.wps.cn/vas-ai-hub/contract-review">158</start>
      <end xmlns="http://schemas.wps.cn/vas-ai-hub/contract-review">159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12bd14ce-4fae-4dc4-88c9-076f223de34c</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3B3D2F8B</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d42845b8-63db-40e2-bb38-f35e3cf8374d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59C4394B</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d41514f0-f5fc-4d07-9bd9-dd3781fccf41</errorID>
      <errorWord xmlns="http://schemas.wps.cn/vas-ai-hub/contract-review">几率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概率</item>
      </candidateList>
      <explain xmlns="http://schemas.wps.cn/vas-ai-hub/contract-review"/>
      <paraID xmlns="http://schemas.wps.cn/vas-ai-hub/contract-review"> DD13BC4</paraID>
      <start xmlns="http://schemas.wps.cn/vas-ai-hub/contract-review">96</start>
      <end xmlns="http://schemas.wps.cn/vas-ai-hub/contract-review">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2a2fcd1a-7b8b-4da7-b3c2-d30c0e84ac48</errorID>
      <errorWord xmlns="http://schemas.wps.cn/vas-ai-hub/contract-review">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见下</item>
      </candidateList>
      <explain xmlns="http://schemas.wps.cn/vas-ai-hub/contract-review"/>
      <paraID xmlns="http://schemas.wps.cn/vas-ai-hub/contract-review">4B9D336B</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6bcee62d-9a84-4cf2-ad06-dfb26379e93c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4B9D336B</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4e1d8998-bf22-4e3c-a002-ee0c0ac577d2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1365FB43</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5581cd47-9a40-4ee1-b3c3-b1c35bb05282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1365FB43</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489fbbd2-90ca-4aa1-b99f-3c8795afb533</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，使</item>
      </candidateList>
      <explain xmlns="http://schemas.wps.cn/vas-ai-hub/contract-review"/>
      <paraID xmlns="http://schemas.wps.cn/vas-ai-hub/contract-review">69D29D3F</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9bbc6f9d-413e-4975-ad0a-aa4b0a999865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69D29D3F</paraID>
      <start xmlns="http://schemas.wps.cn/vas-ai-hub/contract-review">89</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2f55f237-2d55-4515-9f5e-a14eb75b49e8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379A1D80</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0b34bc33-fe6b-4a48-bef1-a11cea158ee9</errorID>
      <errorWord xmlns="http://schemas.wps.cn/vas-ai-hub/contract-review">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见下</item>
      </candidateList>
      <explain xmlns="http://schemas.wps.cn/vas-ai-hub/contract-review"/>
      <paraID xmlns="http://schemas.wps.cn/vas-ai-hub/contract-review">4775DD7B</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d1c537dc-99d2-4c3b-b145-07417863f92d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497FCF0D</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830dc0a8-f7b5-4eb3-91c7-58be5a9f7ec2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5DB52C10</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a185cb9c-0a45-4a51-a7e9-c388eb3f02fb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5DB52C10</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768ae236-7fde-4466-bbb2-e4e8c30ca3cc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383AA40A</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69d99563-3786-4f53-a8f6-1fcce6cb6ba6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383AA40A</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ef1340ba-d0ee-4adc-a56a-cbaaa84e92f7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7B707DA8</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77e1d506-14f0-43c3-8963-aad877a14de0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7B707DA8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54236e7a-199e-48ec-ad19-352c8a7b4276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7B707DA8</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0e7b7281-50ef-43fb-9d3b-8b2c8f2d7569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7B707DA8</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52fcd8f6-b6a5-458f-893c-0b985328539d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2A3E022A</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9d65bde2-a9d9-47ee-8c6c-42a16af48053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2A3E022A</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4feb5022-775f-4c01-b331-1669a99e43e2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2A3E022A</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08fb7ee3-9e5b-463d-abf7-02cc62d57fb7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2A3E022A</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cf90feec-f3bd-42df-a8ca-b49c9d344f6a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414E6A3F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f3b39973-72b6-4ff8-90ff-da6a7a08b5ba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414E6A3F</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1e2e7926-fc48-433c-bd03-42218c38d102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414E6A3F</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4b5a208c-7ca5-4fa0-9bc5-b48fa827fe31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414E6A3F</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5eb0c982-35bb-4e09-9ac2-b9a98d254924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3AEB0B1A</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5334c365-cc64-4c09-a8fb-a014e3e44355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3AEB0B1A</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6db2c8e9-9aa4-4736-ba28-3473bd0d5e54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7977394C</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b86d5b72-a8a3-480b-be81-ddf36bdbb9bc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7977394C</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c7c3f4cf-534c-46b9-8c1d-5f677e6ada52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176A45C0</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cb35f83a-7ca3-4805-8302-827ebcdf6cf5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49B4AC72</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36a8cc66-0756-4821-8a88-94fa289a40e8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49B4AC72</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4d08a63e-1f40-4d26-b001-908c463ca12f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59AD1A6D</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718218b0-36e2-4ea2-9079-c5119178a83d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59AD1A6D</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49a88799-f14d-4c5d-a96d-c10d10b06667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3AD11005</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ebb0b6e3-9796-40b5-80a8-e65c5274e172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3AD11005</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1a96eb06-c0e2-4f12-997e-8974c7c0ef34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17A665E8</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0d509bf8-d3e7-4706-b79c-3b4eece7dac7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17A665E8</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aff0a6cd-a7a3-4e12-ac11-47a58b52230f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56E2B2C6</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86c90fbe-0f52-4045-95c8-058e80e1dc1a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56E2B2C6</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b2856a43-7a48-4f43-9b99-6e1f1c3a4390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53A1BE43</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0309f9df-cafc-4179-ba20-52d154429362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53A1BE43</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2e8856ab-3464-4322-a02b-f424c3d52564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1BD549F2</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c0082ff5-ab15-403b-a8cf-654141dcb37c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1BD549F2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9dc3b63d-b32c-4c9b-8150-2f731a75ef77</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21676778</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e1a2d9a7-bf48-42ca-b562-cb4f81c56671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48AC2848</paraID>
      <start xmlns="http://schemas.wps.cn/vas-ai-hub/contract-review">51</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319ae3d4-fc0b-4281-a29b-4fd2e1554f7b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48AC2848</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8e7dc7b6-8bd2-4ec7-b8f6-9b41ce764f4b</errorID>
      <errorWord xmlns="http://schemas.wps.cn/vas-ai-hub/contract-review">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定在</item>
      </candidateList>
      <explain xmlns="http://schemas.wps.cn/vas-ai-hub/contract-review"/>
      <paraID xmlns="http://schemas.wps.cn/vas-ai-hub/contract-review"> 18C0DF1</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e41fc928-7174-4e07-8f57-fe25ebe6ed1d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3282736A</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54b265b2-5e51-4349-b8ad-356416769c5e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3282736A</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0e7ce34a-963a-4bb1-9e70-3d6cb103a0c0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34DD7067</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3b82ec6c-500f-4c1b-a6ed-095215a3f6bb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34DD7067</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1e7a9196-5d93-426f-902f-e2a4b2ead8ce</errorID>
      <errorWord xmlns="http://schemas.wps.cn/vas-ai-hub/contract-review">在以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 xmlns="http://schemas.wps.cn/vas-ai-hub/contract-review">3D68F6CE</paraID>
      <start xmlns="http://schemas.wps.cn/vas-ai-hub/contract-review">21</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ff7dbceb-de5b-41be-800b-ac037b1a6c96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7A85A9C5</paraID>
      <start xmlns="http://schemas.wps.cn/vas-ai-hub/contract-review">72</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56979705-4190-4c82-8c05-007fa7e0bfef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7A85A9C5</paraID>
      <start xmlns="http://schemas.wps.cn/vas-ai-hub/contract-review">79</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e4bdfb01-59ba-4269-a6d6-04a14ab9e857</errorID>
      <errorWord xmlns="http://schemas.wps.cn/vas-ai-hub/contract-review">所以按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所以</item>
      </candidateList>
      <explain xmlns="http://schemas.wps.cn/vas-ai-hub/contract-review"/>
      <paraID xmlns="http://schemas.wps.cn/vas-ai-hub/contract-review">2086BCC0</paraID>
      <start xmlns="http://schemas.wps.cn/vas-ai-hub/contract-review">20</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5de84058-eb91-4953-a244-fffaaddf59ca</errorID>
      <errorWord xmlns="http://schemas.wps.cn/vas-ai-hub/contract-review">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item>
      </candidateList>
      <explain xmlns="http://schemas.wps.cn/vas-ai-hub/contract-review">存在发音相同字词的误用。</explain>
      <paraID xmlns="http://schemas.wps.cn/vas-ai-hub/contract-review">1EB40188</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9acc279c-ed76-4d02-a50e-39ea0c08acaf</errorID>
      <errorWord xmlns="http://schemas.wps.cn/vas-ai-hub/contract-review">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器具</item>
      </candidateList>
      <explain xmlns="http://schemas.wps.cn/vas-ai-hub/contract-review"/>
      <paraID xmlns="http://schemas.wps.cn/vas-ai-hub/contract-review">35D030C8</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7a3ebbe1-a3dc-480a-b791-ab6f4473685d</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1D3621CA</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0dc4b601-7daf-4350-8932-9cacb3b12e3f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76497B32</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14318983-009d-421d-a634-608fbdb7259d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37FFB76D</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66c091ca-1e82-40ff-a490-c01171d411d8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34BC0D4F</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9062c167-8668-4663-bdf6-546e5343eb51</errorID>
      <errorWord xmlns="http://schemas.wps.cn/vas-ai-hub/contract-review">对于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xmlns="http://schemas.wps.cn/vas-ai-hub/contract-review">3CFC4152</paraID>
      <start xmlns="http://schemas.wps.cn/vas-ai-hub/contract-review">9</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fdae5603-41ea-4198-8e70-9882e92a93f7</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3CFC4152</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3807d79d-8fd3-460b-a57b-a014bafe27ab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9E33E97</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4da0bdf0-aad2-4707-8e26-1b53afbd2cc9</errorID>
      <errorWord xmlns="http://schemas.wps.cn/vas-ai-hub/contract-review">0~95%</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0～95%</item>
      </candidateList>
      <explain xmlns="http://schemas.wps.cn/vas-ai-hub/contract-review">1. “0~95%”中的单位“%”仅出现在后一个数字上，容易引起歧义；根据《现代汉语标点符号数字用法规范手册》，数字表示范围两边需要使用统一的格式。2.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4B7EC198</paraID>
      <start xmlns="http://schemas.wps.cn/vas-ai-hub/contract-review">0</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66a60e0f-8dca-4625-afaa-f37abca18dbd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4B7EC198</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0da9104e-b7c8-45b2-a724-639bb81f8392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4B7EC198</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a52a3a9c-6832-4801-9b7e-e133cb8d1a5c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4E4A9E76</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9c201110-5fce-4003-9319-0cf1f6206e79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4E4A9E76</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de91728b-de46-43c7-8608-298bb894f1d3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25D30B09</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b26aea35-8282-4ca8-b3a5-4fc5e1337665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25D30B09</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42adeb5d-e83f-4973-82d1-59b7378791f7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11BEE9DB</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51a6b693-d6bd-405c-9823-44c40da66a2c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11BEE9DB</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18da8a8d-f8d9-4058-bf20-824563f68e4b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356021B6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7ff4a2dc-63b6-4c88-859d-df2fbe8f6029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356021B6</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68f0021d-0a59-4120-954f-418b2e23eb8a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2547ABB0</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0156ed99-7f5d-4fa9-97f4-cff549104cf1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2547ABB0</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e6110260-c10b-4e9d-b8bc-36fab31b0e64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62AADC98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8ba676c6-df05-4e7f-92cb-6772c266ff9f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62AADC98</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a80ab762-5803-4710-97f5-67dfb14465e0</errorID>
      <errorWord xmlns="http://schemas.wps.cn/vas-ai-hub/contract-review">20%~15%</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20%～15%</item>
      </candidateList>
      <explain xmlns="http://schemas.wps.cn/vas-ai-hub/contract-review">1. “20%~15%”中的单位“%”仅出现在后一个数字上，容易引起歧义；根据《现代汉语标点符号数字用法规范手册》，数字表示范围两边需要使用统一的格式。2.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 168F160</paraID>
      <start xmlns="http://schemas.wps.cn/vas-ai-hub/contract-review">5</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e3ad2307-bf34-456b-af4d-9bb4704c29ba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3854E147</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513b4153-134e-43b1-b374-d5cb2389dcbf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3854E147</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68bbe67a-06b3-4daf-9ddb-2d44f21c4d08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481C9387</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76c655dd-aefb-4136-af77-17b73622d080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481C9387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adf240dc-e362-4afb-a20a-7bf9ff43a42b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449FCB04</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c4c994ad-5846-4470-acd7-f64d791dc337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449FCB04</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de59b1cf-f4e9-41a3-954b-c983b0854319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2081584D</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88f408aa-d3c5-451c-8237-6b5b0701e99f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2081584D</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0c694438-222e-4861-9832-0c06b9080222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37854357</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8f827b81-aabc-4687-b534-d077f766db9b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37854357</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9e26a00c-191d-4079-bed3-d8d2da467b29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77F4F4C1</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3bad4131-c95f-49e5-a5ce-24ac15a527d3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77F4F4C1</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3089711d-bf28-44bb-b9ab-3570ffcc774b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22CA20C4</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83212e66-68d0-4226-bd72-1dea8b05eab5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22CA20C4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cc19630a-61b3-4e87-a0ed-609d07c20f7e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4D7ECD8F</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02196f0e-0db2-45a5-95d8-8161df818284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4D7ECD8F</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358a1d79-dfeb-4f3f-bf5c-c557ff85e2f4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77748A9F</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ae48e7d7-7e24-40c8-be53-14fbc1a3fbe9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77748A9F</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7d52fd32-1353-4954-a810-6c7531992964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77748A9F</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de81f9d0-f162-49ed-8fbc-f8d9c4a19d35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77748A9F</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4a3c327a-d23f-4bff-884b-740533553eba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7E5916EA</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2ecf6be5-5aa5-4f69-8058-e23739dea4f0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7E5916EA</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f68f3838-db95-4d86-b77e-b69fd31f6c3b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7E5916EA</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8a01970b-1fd8-40b7-9d8d-322d4b85a99b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7E5916EA</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ad469045-737a-4b24-ad1a-262e58a13df9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17077ADC</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d0725523-978d-4423-8df2-c4f9f30b3cf9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17077ADC</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2396218a-3117-4fe8-b709-77efa3ed90b9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1F7EBDE8</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865c7b2a-27c3-4bdb-9f58-8dfcd8e560f5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1F7EBDE8</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d8bd0584-a7ee-44bc-8afd-a78d0e784d0e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74B4B722</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4b0936ac-e9a6-4158-812f-4d710c224974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74B4B722</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56377921-24b6-4d4e-bde7-24085375da1a</errorID>
      <errorWord xmlns="http://schemas.wps.cn/vas-ai-hub/contract-review">0~95%</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0～95%</item>
      </candidateList>
      <explain xmlns="http://schemas.wps.cn/vas-ai-hub/contract-review">1. “0~95%”中的单位“%”仅出现在后一个数字上，容易引起歧义；根据《现代汉语标点符号数字用法规范手册》，数字表示范围两边需要使用统一的格式。2.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62E95F10</paraID>
      <start xmlns="http://schemas.wps.cn/vas-ai-hub/contract-review">0</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07d0e3f7-bea4-4707-9132-9bcca079d51c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62E95F10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a00f6ef3-3bd2-4abd-918c-87648d1a07fe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62E95F10</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67939517-f556-485c-8513-de8f4abae406</errorID>
      <errorWord xmlns="http://schemas.wps.cn/vas-ai-hub/contract-review">海拔高度</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海拔</item>
      </candidateList>
      <explain xmlns="http://schemas.wps.cn/vas-ai-hub/contract-review">〈名〉从平均海平面起算的高度。</explain>
      <paraID xmlns="http://schemas.wps.cn/vas-ai-hub/contract-review">30E914E7</paraID>
      <start xmlns="http://schemas.wps.cn/vas-ai-hub/contract-review">2</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c9f19016-9248-4051-93a2-95dce9448f3f</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5D888C4B</paraID>
      <start xmlns="http://schemas.wps.cn/vas-ai-hub/contract-review">8</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304acf01-934b-44d7-bdb4-5718f1d36ed1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1C175609</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2c9013e1-23ac-420d-b5cb-9b86063bd643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1C175609</paraID>
      <start xmlns="http://schemas.wps.cn/vas-ai-hub/contract-review">113</start>
      <end xmlns="http://schemas.wps.cn/vas-ai-hub/contract-review">114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fe9bd322-5331-4927-ac65-ab547a1f4ed4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2E626BF7</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6ae78c1c-cb23-460c-9638-9e46bf2a8dd0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2E626BF7</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d7e01f85-72b9-4a07-b971-ab8f12e3cefc</errorID>
      <errorWord xmlns="http://schemas.wps.cn/vas-ai-hub/contract-review">5%~95%</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5%～95%</item>
      </candidateList>
      <explain xmlns="http://schemas.wps.cn/vas-ai-hub/contract-review">1. “5%~95%”中的单位“%”仅出现在后一个数字上，容易引起歧义；根据《现代汉语标点符号数字用法规范手册》，数字表示范围两边需要使用统一的格式。2.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5FB7DA38</paraID>
      <start xmlns="http://schemas.wps.cn/vas-ai-hub/contract-review">0</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09bbc5d5-6ec1-4267-9498-3ccdd99a80de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2DCD0C49</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c0ee244f-8777-42fb-a964-6e8b59a3e6f7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2DCD0C49</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bd02a8b2-330b-4a99-975b-9cb024f2f18b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27388C2</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8affeb9d-8edb-4d61-81ba-ab28ae541f42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 27388C2</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f7781e73-1291-4623-a122-6461e8084cb0</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3C401A4A</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34202788-5270-465b-bedd-d1baf39d0d8e</errorID>
      <errorWord xmlns="http://schemas.wps.cn/vas-ai-hub/contract-review">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会部</item>
      </candidateList>
      <explain xmlns="http://schemas.wps.cn/vas-ai-hub/contract-review"/>
      <paraID xmlns="http://schemas.wps.cn/vas-ai-hub/contract-review">6A8D6BBF</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99071ec1-6c5c-434c-a079-a0a160298ef3</errorID>
      <errorWord xmlns="http://schemas.wps.cn/vas-ai-hub/contract-review">管理的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管理</item>
      </candidateList>
      <explain xmlns="http://schemas.wps.cn/vas-ai-hub/contract-review">〈动〉❶负责某项工作使顺利进行：～财务｜～国家大事。❷保管和料理：～图书｜公园～处。❸照管并约束（人或动物）：～罪犯｜～牲口。</explain>
      <paraID xmlns="http://schemas.wps.cn/vas-ai-hub/contract-review">7B300A68</paraID>
      <start xmlns="http://schemas.wps.cn/vas-ai-hub/contract-review">35</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2cf91370-b222-4217-ade8-0a0ce370940b</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BEB6A25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62768a87-9690-413f-a95f-704b81aaefb8</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57C9360B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7a020f2a-7139-4eae-b37a-129f2f20f379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747C51C3</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2952faae-5683-4391-a8e1-76957167d800</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D69E946</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84d09fc9-3dd2-4ec6-8fb6-42dd102a7631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5B1CB41</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9ea8d6f9-0fef-4c09-874c-db9e7a1bba57</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465C89C8</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b857459c-ed4c-40a8-a892-8da6880099a0</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4C6A7A29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89c3bba9-6cda-4e21-91ce-fc6fcf4011b3</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5C19C82B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4fb7d588-98c2-4860-8233-dadadfd1066f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6EAF20A7</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a3d51c2d-1b94-41b7-8dd5-1d3c6f9251d9</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28BB5F8A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abca95d5-d138-4d48-9104-cf2a096f2d9c</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61EA5E3</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5aa5428d-26f5-4409-af60-1c9f1993302c</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7C5EFE60</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c968b752-1b48-4388-ab41-0eca2b5515ce</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6773D744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038c7592-3937-4591-a7e8-3dc49468ea43</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B5B4E3E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6da87337-c85e-4a5b-9c66-f8a629d7b693</errorID>
      <errorWord xmlns="http://schemas.wps.cn/vas-ai-hub/contract-review">中要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主要</item>
      </candidateList>
      <explain xmlns="http://schemas.wps.cn/vas-ai-hub/contract-review">〈形〉属性词。有关事物中最重要的；起决定作用的：～原因｜～目的｜～人物。</explain>
      <paraID xmlns="http://schemas.wps.cn/vas-ai-hub/contract-review">7424F643</paraID>
      <start xmlns="http://schemas.wps.cn/vas-ai-hub/contract-review">50</start>
      <end xmlns="http://schemas.wps.cn/vas-ai-hub/contract-review">52</end>
      <status xmlns="http://schemas.wps.cn/vas-ai-hub/contract-review">modified</status>
      <modifiedWord xmlns="http://schemas.wps.cn/vas-ai-hub/contract-review">主要</modifiedWord>
      <trackRevisions xmlns="http://schemas.wps.cn/vas-ai-hub/contract-review">false</trackRevisions>
    </reviewItem>
    <reviewItem xmlns="http://schemas.wps.cn/vas-ai-hub/contract-review">
      <errorID xmlns="http://schemas.wps.cn/vas-ai-hub/contract-review">ad48ecb0-9590-437f-bc1f-7d368993994f</errorID>
      <errorWord xmlns="http://schemas.wps.cn/vas-ai-hub/contract-review">制订要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制定要</item>
      </candidateList>
      <explain xmlns="http://schemas.wps.cn/vas-ai-hub/contract-review"/>
      <paraID xmlns="http://schemas.wps.cn/vas-ai-hub/contract-review">7340283C</paraID>
      <start xmlns="http://schemas.wps.cn/vas-ai-hub/contract-review">32</start>
      <end xmlns="http://schemas.wps.cn/vas-ai-hub/contract-review">35</end>
      <status xmlns="http://schemas.wps.cn/vas-ai-hub/contract-review">modified</status>
      <modifiedWord xmlns="http://schemas.wps.cn/vas-ai-hub/contract-review">制定要</modifiedWord>
      <trackRevisions xmlns="http://schemas.wps.cn/vas-ai-hub/contract-review">false</trackRevisions>
    </reviewItem>
    <reviewItem xmlns="http://schemas.wps.cn/vas-ai-hub/contract-review">
      <errorID xmlns="http://schemas.wps.cn/vas-ai-hub/contract-review">8b71c935-7414-4dd8-b586-d1d042569b48</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32E4D1AB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29d7bbd9-65c3-4b51-b4f4-ad5a892641ec</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70ADC5FB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bc5c3fe6-566b-416e-99b5-35156d1026b9</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4CA1292E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4f9e30f2-cbe4-4855-a3bd-c1fd431e8c6e</errorID>
      <errorWord xmlns="http://schemas.wps.cn/vas-ai-hub/contract-review">使用性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实用性</item>
      </candidateList>
      <explain xmlns="http://schemas.wps.cn/vas-ai-hub/contract-review">存在发音相同字词的误用。</explain>
      <paraID xmlns="http://schemas.wps.cn/vas-ai-hub/contract-review">451E5F08</paraID>
      <start xmlns="http://schemas.wps.cn/vas-ai-hub/contract-review">40</start>
      <end xmlns="http://schemas.wps.cn/vas-ai-hub/contract-review">43</end>
      <status xmlns="http://schemas.wps.cn/vas-ai-hub/contract-review">modified</status>
      <modifiedWord xmlns="http://schemas.wps.cn/vas-ai-hub/contract-review">实用性</modifiedWord>
      <trackRevisions xmlns="http://schemas.wps.cn/vas-ai-hub/contract-review">false</trackRevisions>
    </reviewItem>
    <reviewItem xmlns="http://schemas.wps.cn/vas-ai-hub/contract-review">
      <errorID xmlns="http://schemas.wps.cn/vas-ai-hub/contract-review">3b76f6e1-bb42-474e-a995-d2137fdd630d</errorID>
      <errorWord xmlns="http://schemas.wps.cn/vas-ai-hub/contract-review">发挥出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发挥</item>
      </candidateList>
      <explain xmlns="http://schemas.wps.cn/vas-ai-hub/contract-review"/>
      <paraID xmlns="http://schemas.wps.cn/vas-ai-hub/contract-review">451E5F08</paraID>
      <start xmlns="http://schemas.wps.cn/vas-ai-hub/contract-review">73</start>
      <end xmlns="http://schemas.wps.cn/vas-ai-hub/contract-review">75</end>
      <status xmlns="http://schemas.wps.cn/vas-ai-hub/contract-review">modified</status>
      <modifiedWord xmlns="http://schemas.wps.cn/vas-ai-hub/contract-review">发挥</modifiedWord>
      <trackRevisions xmlns="http://schemas.wps.cn/vas-ai-hub/contract-review">false</trackRevisions>
    </reviewItem>
    <reviewItem xmlns="http://schemas.wps.cn/vas-ai-hub/contract-review">
      <errorID xmlns="http://schemas.wps.cn/vas-ai-hub/contract-review">7df86568-ed9b-4b27-a801-da97926e3526</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1CC39824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abdbfe24-4257-4ed7-a379-41fa47819b44</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E85CE1D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5682d5c2-09ba-4f05-801a-82f179669206</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732B4B5B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cce903b9-a3af-4de0-8add-973fa5be124c</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22A66287</paraID>
      <start xmlns="http://schemas.wps.cn/vas-ai-hub/contract-review">60</start>
      <end xmlns="http://schemas.wps.cn/vas-ai-hub/contract-review">62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c02d85f3-ea4c-4b9f-b047-8b485c0f5830</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464493C5</paraID>
      <start xmlns="http://schemas.wps.cn/vas-ai-hub/contract-review">31</start>
      <end xmlns="http://schemas.wps.cn/vas-ai-hub/contract-review">32</end>
      <status xmlns="http://schemas.wps.cn/vas-ai-hub/contract-review">modified</status>
      <modifiedWord xmlns="http://schemas.wps.cn/vas-ai-hub/contract-review">地</modifiedWord>
      <trackRevisions xmlns="http://schemas.wps.cn/vas-ai-hub/contract-review">false</trackRevisions>
    </reviewItem>
    <reviewItem xmlns="http://schemas.wps.cn/vas-ai-hub/contract-review">
      <errorID xmlns="http://schemas.wps.cn/vas-ai-hub/contract-review">cfc82491-9519-45d1-acaa-ca3107d54ecb</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 2E408BB</paraID>
      <start xmlns="http://schemas.wps.cn/vas-ai-hub/contract-review">25</start>
      <end xmlns="http://schemas.wps.cn/vas-ai-hub/contract-review">26</end>
      <status xmlns="http://schemas.wps.cn/vas-ai-hub/contract-review">modified</status>
      <modifiedWord xmlns="http://schemas.wps.cn/vas-ai-hub/contract-review">地</modifiedWord>
      <trackRevisions xmlns="http://schemas.wps.cn/vas-ai-hub/contract-review">false</trackRevisions>
    </reviewItem>
    <reviewItem xmlns="http://schemas.wps.cn/vas-ai-hub/contract-review">
      <errorID xmlns="http://schemas.wps.cn/vas-ai-hub/contract-review">7e91d837-4b05-474d-8eaf-452936994654</errorID>
      <errorWord xmlns="http://schemas.wps.cn/vas-ai-hub/contract-review">人员可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人员</item>
      </candidateList>
      <explain xmlns="http://schemas.wps.cn/vas-ai-hub/contract-review">〈名〉担任某种职务的人：机关工作～｜值班～｜～配备。</explain>
      <paraID xmlns="http://schemas.wps.cn/vas-ai-hub/contract-review"> D50B6E5</paraID>
      <start xmlns="http://schemas.wps.cn/vas-ai-hub/contract-review">21</start>
      <end xmlns="http://schemas.wps.cn/vas-ai-hub/contract-review">23</end>
      <status xmlns="http://schemas.wps.cn/vas-ai-hub/contract-review">modified</status>
      <modifiedWord xmlns="http://schemas.wps.cn/vas-ai-hub/contract-review">人员</modifiedWord>
      <trackRevisions xmlns="http://schemas.wps.cn/vas-ai-hub/contract-review">false</trackRevisions>
    </reviewItem>
    <reviewItem xmlns="http://schemas.wps.cn/vas-ai-hub/contract-review">
      <errorID xmlns="http://schemas.wps.cn/vas-ai-hub/contract-review">42ca0e1e-9063-41b7-9a21-1ae4ecae28c5</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411AB284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d1579997-b873-433e-b393-b939bbc97abb</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6A0D8BFF</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602579ca-6f20-4df7-8a91-12740c46abcc</errorID>
      <errorWord xmlns="http://schemas.wps.cn/vas-ai-hub/contract-review">约为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约</item>
      </candidateList>
      <explain xmlns="http://schemas.wps.cn/vas-ai-hub/contract-review"/>
      <paraID xmlns="http://schemas.wps.cn/vas-ai-hub/contract-review">2412A46E</paraID>
      <start xmlns="http://schemas.wps.cn/vas-ai-hub/contract-review">53</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b9d45a7e-a685-4bbf-9a1b-62aba99b9944</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 DBC2573</paraID>
      <start xmlns="http://schemas.wps.cn/vas-ai-hub/contract-review">36</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54aaf4e5-4f50-471d-bf4a-15b0590f4bfb</errorID>
      <errorWord xmlns="http://schemas.wps.cn/vas-ai-hub/contract-review">威能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未能</item>
      </candidateList>
      <explain xmlns="http://schemas.wps.cn/vas-ai-hub/contract-review"/>
      <paraID xmlns="http://schemas.wps.cn/vas-ai-hub/contract-review"> 5AA4B63</paraID>
      <start xmlns="http://schemas.wps.cn/vas-ai-hub/contract-review">24</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1a22b245-c700-44d0-8b43-09ec4c8341be</errorID>
      <errorWord xmlns="http://schemas.wps.cn/vas-ai-hub/contract-review">(2016)504号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〔2016〕504号</item>
      </candidateList>
      <explain xmlns="http://schemas.wps.cn/vas-ai-hub/contract-review">发文字号格式错误。</explain>
      <paraID xmlns="http://schemas.wps.cn/vas-ai-hub/contract-review">6B49FA42</paraID>
      <start xmlns="http://schemas.wps.cn/vas-ai-hub/contract-review">4</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ce0cd201-3e42-459b-beba-c853e5ef949d</errorID>
      <errorWord xmlns="http://schemas.wps.cn/vas-ai-hub/contract-review">（1999）1283号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〔1999〕1283号</item>
      </candidateList>
      <explain xmlns="http://schemas.wps.cn/vas-ai-hub/contract-review">发文字号格式错误。</explain>
      <paraID xmlns="http://schemas.wps.cn/vas-ai-hub/contract-review">72AF843D</paraID>
      <start xmlns="http://schemas.wps.cn/vas-ai-hub/contract-review">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0e6ad776-93cf-4c09-9d1c-ef7941b2fd09</errorID>
      <errorWord xmlns="http://schemas.wps.cn/vas-ai-hub/contract-review">[2015]299号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〔2015〕299号</item>
      </candidateList>
      <explain xmlns="http://schemas.wps.cn/vas-ai-hub/contract-review">发文字号格式错误。</explain>
      <paraID xmlns="http://schemas.wps.cn/vas-ai-hub/contract-review">7BF3DEBE</paraID>
      <start xmlns="http://schemas.wps.cn/vas-ai-hub/contract-review">6</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97412632-11f1-4364-9108-ccffeec698b0</errorID>
      <errorWord xmlns="http://schemas.wps.cn/vas-ai-hub/contract-review">[2015]299号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〔2015〕299号</item>
      </candidateList>
      <explain xmlns="http://schemas.wps.cn/vas-ai-hub/contract-review">发文字号格式错误。</explain>
      <paraID xmlns="http://schemas.wps.cn/vas-ai-hub/contract-review">7BF3DEBE</paraID>
      <start xmlns="http://schemas.wps.cn/vas-ai-hub/contract-review">21</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18095557-e912-4302-a7db-9c2f9233383e</errorID>
      <errorWord xmlns="http://schemas.wps.cn/vas-ai-hub/contract-review">（2002）10号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〔2002〕10号</item>
      </candidateList>
      <explain xmlns="http://schemas.wps.cn/vas-ai-hub/contract-review">发文字号格式错误。</explain>
      <paraID xmlns="http://schemas.wps.cn/vas-ai-hub/contract-review">64CAEAD9</paraID>
      <start xmlns="http://schemas.wps.cn/vas-ai-hub/contract-review">13</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d2c37630-d537-4ea6-a992-0cbb42f5ad86</errorID>
      <errorWord xmlns="http://schemas.wps.cn/vas-ai-hub/contract-review">[2015]299号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〔2015〕299号</item>
      </candidateList>
      <explain xmlns="http://schemas.wps.cn/vas-ai-hub/contract-review">发文字号格式错误。</explain>
      <paraID xmlns="http://schemas.wps.cn/vas-ai-hub/contract-review">64CAEAD9</paraID>
      <start xmlns="http://schemas.wps.cn/vas-ai-hub/contract-review">28</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fccdd16f-7c6c-47c1-8356-5c51a665ed7d</errorID>
      <errorWord xmlns="http://schemas.wps.cn/vas-ai-hub/contract-review">（2002）10号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〔2002〕10号</item>
      </candidateList>
      <explain xmlns="http://schemas.wps.cn/vas-ai-hub/contract-review">发文字号格式错误。</explain>
      <paraID xmlns="http://schemas.wps.cn/vas-ai-hub/contract-review">4D80A7C4</paraID>
      <start xmlns="http://schemas.wps.cn/vas-ai-hub/contract-review">13</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ada44fba-dd0a-40d2-a1ec-f2cb71238912</errorID>
      <errorWord xmlns="http://schemas.wps.cn/vas-ai-hub/contract-review">[2015]299号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〔2015〕299号</item>
      </candidateList>
      <explain xmlns="http://schemas.wps.cn/vas-ai-hub/contract-review">发文字号格式错误。</explain>
      <paraID xmlns="http://schemas.wps.cn/vas-ai-hub/contract-review">4D80A7C4</paraID>
      <start xmlns="http://schemas.wps.cn/vas-ai-hub/contract-review">28</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62327580-36a3-4e5e-b1d4-d18747b57949</errorID>
      <errorWord xmlns="http://schemas.wps.cn/vas-ai-hub/contract-review">（2015）299号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〔2015〕299号</item>
      </candidateList>
      <explain xmlns="http://schemas.wps.cn/vas-ai-hub/contract-review">发文字号格式错误。</explain>
      <paraID xmlns="http://schemas.wps.cn/vas-ai-hub/contract-review">42E948E5</paraID>
      <start xmlns="http://schemas.wps.cn/vas-ai-hub/contract-review">6</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cf206ad6-b58c-422c-8b77-7419d9400ad4</errorID>
      <errorWord xmlns="http://schemas.wps.cn/vas-ai-hub/contract-review">（2015）19号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〔2015〕19号</item>
      </candidateList>
      <explain xmlns="http://schemas.wps.cn/vas-ai-hub/contract-review">发文字号格式错误。</explain>
      <paraID xmlns="http://schemas.wps.cn/vas-ai-hub/contract-review">42E948E5</paraID>
      <start xmlns="http://schemas.wps.cn/vas-ai-hub/contract-review">21</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30761b31-ce76-40c2-a956-5142baba386a</errorID>
      <errorWord xmlns="http://schemas.wps.cn/vas-ai-hub/contract-review">[2011]627号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〔2011〕627号</item>
      </candidateList>
      <explain xmlns="http://schemas.wps.cn/vas-ai-hub/contract-review">发文字号格式错误。</explain>
      <paraID xmlns="http://schemas.wps.cn/vas-ai-hub/contract-review">3C1FA2EF</paraID>
      <start xmlns="http://schemas.wps.cn/vas-ai-hub/contract-review">7</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1cd361be-96ee-43bf-b5c0-e6706bae0c9e</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5D84E837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c5685da5-edbe-49aa-932a-10ca5d542eea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37F834A4</paraID>
      <start xmlns="http://schemas.wps.cn/vas-ai-hub/contract-review">135</start>
      <end xmlns="http://schemas.wps.cn/vas-ai-hub/contract-review">136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307bf156-159f-4f76-8261-5c20c4cde353</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4F166D67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9e92efa3-6c65-4ee7-8230-7275a9eb3c8b</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2E5AE8BE</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db706b22-7e50-4034-b0bc-77085b999007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6FFEC38A</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57878e96-f1c3-4ad1-b473-1e1e5b8dde89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6FFEC38A</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4b8d3f9d-b33f-45aa-a301-33e5ad6f444f</errorID>
      <errorWord xmlns="http://schemas.wps.cn/vas-ai-hub/contract-review">[2002]</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〔2002〕</item>
      </candidateList>
      <explain xmlns="http://schemas.wps.cn/vas-ai-hub/contract-review"/>
      <paraID xmlns="http://schemas.wps.cn/vas-ai-hub/contract-review">6C67CF89</paraID>
      <start xmlns="http://schemas.wps.cn/vas-ai-hub/contract-review">4</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ae8c9d32-526d-4e9a-8a70-4cd1d91ce7d5</errorID>
      <errorWord xmlns="http://schemas.wps.cn/vas-ai-hub/contract-review">[2015]</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〔2015〕</item>
      </candidateList>
      <explain xmlns="http://schemas.wps.cn/vas-ai-hub/contract-review"/>
      <paraID xmlns="http://schemas.wps.cn/vas-ai-hub/contract-review">6C67CF89</paraID>
      <start xmlns="http://schemas.wps.cn/vas-ai-hub/contract-review">20</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1b0513ba-6b42-4e48-a3a6-2ca4f631dbe5</errorID>
      <errorWord xmlns="http://schemas.wps.cn/vas-ai-hub/contract-review">[2015]</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〔2015〕</item>
      </candidateList>
      <explain xmlns="http://schemas.wps.cn/vas-ai-hub/contract-review"/>
      <paraID xmlns="http://schemas.wps.cn/vas-ai-hub/contract-review">293DC9F5</paraID>
      <start xmlns="http://schemas.wps.cn/vas-ai-hub/contract-review">27</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db1fa2d4-6a53-41e0-bfcf-0eae7d732553</errorID>
      <errorWord xmlns="http://schemas.wps.cn/vas-ai-hub/contract-review">[2015]</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〔2015〕</item>
      </candidateList>
      <explain xmlns="http://schemas.wps.cn/vas-ai-hub/contract-review"/>
      <paraID xmlns="http://schemas.wps.cn/vas-ai-hub/contract-review">5BD31C5A</paraID>
      <start xmlns="http://schemas.wps.cn/vas-ai-hub/contract-review">27</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2baf9a55-7900-4395-8093-62eadf621451</errorID>
      <errorWord xmlns="http://schemas.wps.cn/vas-ai-hub/contract-review">[2015]</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〔2015〕</item>
      </candidateList>
      <explain xmlns="http://schemas.wps.cn/vas-ai-hub/contract-review"/>
      <paraID xmlns="http://schemas.wps.cn/vas-ai-hub/contract-review">6E283B9C</paraID>
      <start xmlns="http://schemas.wps.cn/vas-ai-hub/contract-review">4</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00712927-0542-48ce-a5c1-288b59bb84bf</errorID>
      <errorWord xmlns="http://schemas.wps.cn/vas-ai-hub/contract-review">[2015]</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〔2015〕</item>
      </candidateList>
      <explain xmlns="http://schemas.wps.cn/vas-ai-hub/contract-review"/>
      <paraID xmlns="http://schemas.wps.cn/vas-ai-hub/contract-review">6E283B9C</paraID>
      <start xmlns="http://schemas.wps.cn/vas-ai-hub/contract-review">19</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de743f6b-c763-46a6-9b68-074a6422562a</errorID>
      <errorWord xmlns="http://schemas.wps.cn/vas-ai-hub/contract-review">[2011]</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〔2011〕</item>
      </candidateList>
      <explain xmlns="http://schemas.wps.cn/vas-ai-hub/contract-review"/>
      <paraID xmlns="http://schemas.wps.cn/vas-ai-hub/contract-review">40BB6C97</paraID>
      <start xmlns="http://schemas.wps.cn/vas-ai-hub/contract-review">5</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984d5439-dafa-4172-8043-90ebf8123b8f</errorID>
      <errorWord xmlns="http://schemas.wps.cn/vas-ai-hub/contract-review">[2008]</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〔2008〕</item>
      </candidateList>
      <explain xmlns="http://schemas.wps.cn/vas-ai-hub/contract-review"/>
      <paraID xmlns="http://schemas.wps.cn/vas-ai-hub/contract-review">1E2A0D13</paraID>
      <start xmlns="http://schemas.wps.cn/vas-ai-hub/contract-review">5</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ab6aedf6-2727-41bf-9624-d7d38f39fe31</errorID>
      <errorWord xmlns="http://schemas.wps.cn/vas-ai-hub/contract-review">【2022】6号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〔2022〕6号</item>
      </candidateList>
      <explain xmlns="http://schemas.wps.cn/vas-ai-hub/contract-review">发文字号格式错误。</explain>
      <paraID xmlns="http://schemas.wps.cn/vas-ai-hub/contract-review">1E2A0D13</paraID>
      <start xmlns="http://schemas.wps.cn/vas-ai-hub/contract-review">21</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0d468e6a-cd7f-44d7-8aeb-1b8d66b6ca1b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645C2590</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1397a307-1fdc-4c11-bb4f-6f465a4d08ac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645C2590</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5d845284-2744-45ae-ba88-b978b16c78ec</errorID>
      <errorWord xmlns="http://schemas.wps.cn/vas-ai-hub/contract-review">或者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331C59B2</paraID>
      <start xmlns="http://schemas.wps.cn/vas-ai-hub/contract-review">76</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9fdac3e9-6547-4aff-99f4-aab450182232</errorID>
      <errorWord xmlns="http://schemas.wps.cn/vas-ai-hub/contract-review">国民经济与社会发展</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国民经济和社会发展</item>
      </candidateList>
      <explain xmlns="http://schemas.wps.cn/vas-ai-hub/contract-review">词汇“国民经济和社会发展”在特定场景下为固定表述形式，请确认此处的“国民经济与社会发展”是否存在不当。</explain>
      <paraID xmlns="http://schemas.wps.cn/vas-ai-hub/contract-review">1E00A780</paraID>
      <start xmlns="http://schemas.wps.cn/vas-ai-hub/contract-review">26</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597359ea-20e1-4da0-bf80-38e991b09605</errorID>
      <errorWord xmlns="http://schemas.wps.cn/vas-ai-hub/contract-review">国家发展改革委员会</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国家发展和改革委员会</item>
      </candidateList>
      <explain xmlns="http://schemas.wps.cn/vas-ai-hub/contract-review">机关单位全简称表述错误</explain>
      <paraID xmlns="http://schemas.wps.cn/vas-ai-hub/contract-review">2DD9BD2A</paraID>
      <start xmlns="http://schemas.wps.cn/vas-ai-hub/contract-review">1</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cb374670-e1a6-40a4-8c38-315d40c81557</errorID>
      <errorWord xmlns="http://schemas.wps.cn/vas-ai-hub/contract-review">[2006]1325号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〔2006〕1325号</item>
      </candidateList>
      <explain xmlns="http://schemas.wps.cn/vas-ai-hub/contract-review">发文字号格式错误。</explain>
      <paraID xmlns="http://schemas.wps.cn/vas-ai-hub/contract-review">2DD9BD2A</paraID>
      <start xmlns="http://schemas.wps.cn/vas-ai-hub/contract-review">37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c3389cff-53cd-4a45-905a-13a344179d1b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31F44B07</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4b55d6d0-98b1-43c7-bdb4-6319248a7400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31F44B07</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afb635b1-a181-46e8-8d94-cf59822c42b1</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explain xmlns="http://schemas.wps.cn/vas-ai-hub/contract-review">此处标点可能未正确匹配，请检查句子中是否存在标点冗余、缺失或使用错误的情况。</explain>
      <paraID xmlns="http://schemas.wps.cn/vas-ai-hub/contract-review">79888B70</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02fa09dc-e8ec-4050-8bf4-2542601491bd</errorID>
      <errorWord xmlns="http://schemas.wps.cn/vas-ai-hub/contract-review">城市建设维护税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城市维护建设税</item>
      </candidateList>
      <explain xmlns="http://schemas.wps.cn/vas-ai-hub/contract-review"/>
      <paraID xmlns="http://schemas.wps.cn/vas-ai-hub/contract-review"> 10C7F35</paraID>
      <start xmlns="http://schemas.wps.cn/vas-ai-hub/contract-review">67</start>
      <end xmlns="http://schemas.wps.cn/vas-ai-hub/contract-review">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9c90ff9e-19a4-43cd-8e6f-f37f22e8e00d</errorID>
      <errorWord xmlns="http://schemas.wps.cn/vas-ai-hub/contract-review">定位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定为</item>
      </candidateList>
      <explain xmlns="http://schemas.wps.cn/vas-ai-hub/contract-review"/>
      <paraID xmlns="http://schemas.wps.cn/vas-ai-hub/contract-review">3306B38A</paraID>
      <start xmlns="http://schemas.wps.cn/vas-ai-hub/contract-review">105</start>
      <end xmlns="http://schemas.wps.cn/vas-ai-hub/contract-review">107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8b5fdfd7-ff2c-4ce6-90d0-e55c6a32d3c5</errorID>
      <errorWord xmlns="http://schemas.wps.cn/vas-ai-hub/contract-review">企链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企业</item>
      </candidateList>
      <explain xmlns="http://schemas.wps.cn/vas-ai-hub/contract-review">〈名〉从事生产、运输、贸易等经济活动的部门，如工厂、矿山、铁路、公司等。</explain>
      <paraID xmlns="http://schemas.wps.cn/vas-ai-hub/contract-review">7C5965CD</paraID>
      <start xmlns="http://schemas.wps.cn/vas-ai-hub/contract-review">28</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eb582d1b-1521-47e8-ae6a-28ce980c5d24</errorID>
      <errorWord xmlns="http://schemas.wps.cn/vas-ai-hub/contract-review">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企业</item>
      </candidateList>
      <explain xmlns="http://schemas.wps.cn/vas-ai-hub/contract-review">〈名〉从事生产、运输、贸易等经济活动的部门，如工厂、矿山、铁路、公司等。</explain>
      <paraID xmlns="http://schemas.wps.cn/vas-ai-hub/contract-review">7C5965CD</paraID>
      <start xmlns="http://schemas.wps.cn/vas-ai-hub/contract-review">51</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d37e5793-062f-426a-98de-0b04589fb285</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3492C31F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321e41f1-25ed-48c3-9d6b-3aba32d23360</errorID>
      <errorWord xmlns="http://schemas.wps.cn/vas-ai-hub/contract-review">供应</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item>
      </candidateList>
      <explain xmlns="http://schemas.wps.cn/vas-ai-hub/contract-review">“供应～服务”搭配不当，建议修改为“提供～服务”。</explain>
      <paraID xmlns="http://schemas.wps.cn/vas-ai-hub/contract-review">77708508</paraID>
      <start xmlns="http://schemas.wps.cn/vas-ai-hub/contract-review">82</start>
      <end xmlns="http://schemas.wps.cn/vas-ai-hub/contract-review">84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10beabeb-e06c-4298-ba32-850cca3dd7a4</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2EFDF482</paraID>
      <start xmlns="http://schemas.wps.cn/vas-ai-hub/contract-review">1</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36df309e-f045-4c16-afe5-ef85d0e5a6ee</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2EFDF482</paraID>
      <start xmlns="http://schemas.wps.cn/vas-ai-hub/contract-review">93</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0dbe9171-6162-431b-a270-c6fefa577877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2EFDF482</paraID>
      <start xmlns="http://schemas.wps.cn/vas-ai-hub/contract-review">121</start>
      <end xmlns="http://schemas.wps.cn/vas-ai-hub/contract-review">122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eb18b9bc-76de-4f6b-88e2-0c4c509a3caa</errorID>
      <errorWord xmlns="http://schemas.wps.cn/vas-ai-hub/contract-review">1千-10千</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1千—10千</item>
      </candidateList>
      <explain xmlns="http://schemas.wps.cn/vas-ai-hub/contract-review">1. “1千-10千”中的单位“千”仅出现在后一个数字上，容易引起歧义；根据《现代汉语标点符号数字用法规范手册》，数字表示范围两边需要使用统一的格式。2.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67370FF9</paraID>
      <start xmlns="http://schemas.wps.cn/vas-ai-hub/contract-review">41</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c40fa2b6-3f82-4479-9e95-8ff2f2996ecd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67370FF9</paraID>
      <start xmlns="http://schemas.wps.cn/vas-ai-hub/contract-review">107</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c5414229-0f68-4518-97b4-f3dbd441b240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67370FF9</paraID>
      <start xmlns="http://schemas.wps.cn/vas-ai-hub/contract-review">171</start>
      <end xmlns="http://schemas.wps.cn/vas-ai-hub/contract-review">172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9b6037e1-d931-44d8-ac1e-9c15d10d5d8a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67370FF9</paraID>
      <start xmlns="http://schemas.wps.cn/vas-ai-hub/contract-review">177</start>
      <end xmlns="http://schemas.wps.cn/vas-ai-hub/contract-review">178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9c9b6f15-c9f4-442c-a750-b5521695ee87</errorID>
      <errorWord xmlns="http://schemas.wps.cn/vas-ai-hub/contract-review">售电电</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售电</item>
      </candidateList>
      <explain xmlns="http://schemas.wps.cn/vas-ai-hub/contract-review"/>
      <paraID xmlns="http://schemas.wps.cn/vas-ai-hub/contract-review">10DB8A8B</paraID>
      <start xmlns="http://schemas.wps.cn/vas-ai-hub/contract-review">176</start>
      <end xmlns="http://schemas.wps.cn/vas-ai-hub/contract-review">179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cfb6ebce-cf8e-40b5-86bf-29c9b16e595c</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38087211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7f48ebb9-bc3a-4bf9-9695-f1abf262c539</errorID>
      <errorWord xmlns="http://schemas.wps.cn/vas-ai-hub/contract-review">根据2026年4月河南省工商业代理购电价格显示</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根据2026年4月河南省工商业代理购电价格</item>
      </candidateList>
      <explain xmlns="http://schemas.wps.cn/vas-ai-hub/contract-review"/>
      <paraID xmlns="http://schemas.wps.cn/vas-ai-hub/contract-review">5C2C6D30</paraID>
      <start xmlns="http://schemas.wps.cn/vas-ai-hub/contract-review">134</start>
      <end xmlns="http://schemas.wps.cn/vas-ai-hub/contract-review">157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0021476c-043d-4a1f-b5ba-ba16ef8f1996</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7C1727B8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cc6a52be-7e2d-4fef-af1e-4c848d9bc63b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79667ADF</paraID>
      <start xmlns="http://schemas.wps.cn/vas-ai-hub/contract-review">127</start>
      <end xmlns="http://schemas.wps.cn/vas-ai-hub/contract-review">128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67579b7d-a769-429a-9309-0426e715a3e0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79667ADF</paraID>
      <start xmlns="http://schemas.wps.cn/vas-ai-hub/contract-review">131</start>
      <end xmlns="http://schemas.wps.cn/vas-ai-hub/contract-review">132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2a1848a0-d4ad-4461-97c3-424f0ee8dca5</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4A198ED8</paraID>
      <start xmlns="http://schemas.wps.cn/vas-ai-hub/contract-review">65</start>
      <end xmlns="http://schemas.wps.cn/vas-ai-hub/contract-review">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0ad41062-cecd-4483-8445-7f8c3bf62294</errorID>
      <errorWord xmlns="http://schemas.wps.cn/vas-ai-hub/contract-review">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item>
      </candidateList>
      <explain xmlns="http://schemas.wps.cn/vas-ai-hub/contract-review">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 xmlns="http://schemas.wps.cn/vas-ai-hub/contract-review">5AF32FDC</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44a5bf04-f95d-4d4d-be9a-506836ebbcba</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33365BC3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b8a9a6d0-9661-4a7c-a7b1-375c58f8d973</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17035389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390e7f47-eee0-49b4-a7a2-0f43f3d1c092</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5056DC07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b5543868-537d-4ed5-b988-eeb77e380ef2</errorID>
      <errorWord xmlns="http://schemas.wps.cn/vas-ai-hub/contract-review">到达</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达到</item>
      </candidateList>
      <explain xmlns="http://schemas.wps.cn/vas-ai-hub/contract-review">〈动〉到（多指抽象事物或程度）：达得到｜达不到｜目的没有～｜～国际水平。</explain>
      <paraID xmlns="http://schemas.wps.cn/vas-ai-hub/contract-review">71A57404</paraID>
      <start xmlns="http://schemas.wps.cn/vas-ai-hub/contract-review">37</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b8c174f2-5e95-4a6a-b7df-a4150700ef35</errorID>
      <errorWord xmlns="http://schemas.wps.cn/vas-ai-hub/contract-review">占用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占</item>
      </candidateList>
      <explain xmlns="http://schemas.wps.cn/vas-ai-hub/contract-review"/>
      <paraID xmlns="http://schemas.wps.cn/vas-ai-hub/contract-review">55738717</paraID>
      <start xmlns="http://schemas.wps.cn/vas-ai-hub/contract-review">31</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bd4c1a7d-dc5e-44a3-be35-c14b6c140fbf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106E6C60</paraID>
      <start xmlns="http://schemas.wps.cn/vas-ai-hub/contract-review">54</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35889c01-296c-47b3-850c-9d104631670b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106E6C60</paraID>
      <start xmlns="http://schemas.wps.cn/vas-ai-hub/contract-review">86</start>
      <end xmlns="http://schemas.wps.cn/vas-ai-hub/contract-review">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be87ba6e-bc2a-494d-9eff-ef3d6d774234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106E6C60</paraID>
      <start xmlns="http://schemas.wps.cn/vas-ai-hub/contract-review">106</start>
      <end xmlns="http://schemas.wps.cn/vas-ai-hub/contract-review">107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3d6ac967-c171-45a0-9764-4d1e6619560f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106E6C60</paraID>
      <start xmlns="http://schemas.wps.cn/vas-ai-hub/contract-review">138</start>
      <end xmlns="http://schemas.wps.cn/vas-ai-hub/contract-review">139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4d2b615b-ad7f-4b1d-9239-cc4a03e0e64a</errorID>
      <errorWord xmlns="http://schemas.wps.cn/vas-ai-hub/contract-review">或者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5AFA0DD5</paraID>
      <start xmlns="http://schemas.wps.cn/vas-ai-hub/contract-review">76</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680f1415-1ee1-4fc3-9d81-e4292d1a48dc</errorID>
      <errorWord xmlns="http://schemas.wps.cn/vas-ai-hub/contract-review">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且有</item>
      </candidateList>
      <explain xmlns="http://schemas.wps.cn/vas-ai-hub/contract-review"/>
      <paraID xmlns="http://schemas.wps.cn/vas-ai-hub/contract-review">6EE8B2A7</paraID>
      <start xmlns="http://schemas.wps.cn/vas-ai-hub/contract-review">144</start>
      <end xmlns="http://schemas.wps.cn/vas-ai-hub/contract-review">145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1535fc83-aefe-4ff2-932a-dd813849ec43</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6C995688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38498811-3690-4e1a-95cc-cf8252f68962</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6744D72F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ac9d2081-cf02-4a40-b524-67e4de67a3a1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2F650282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b276b8f7-1bc5-4ba3-9b94-f5f6bbb5d39d</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63391DB8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8ab2867a-23f4-48d3-a551-5191d35a6d42</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2EF1D24A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f686f18d-04d3-48f0-b5a2-54a84511275b</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C3718AE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67d28c89-3dc6-437b-bf19-a702509ad17d</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110FCBCC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576ec0ad-4f0a-4a92-9ad5-0614832f6c21</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18F88CB4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cdaa88d6-2cc5-42f0-a7c0-9e9498f6ddf3</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84062A3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52c54d54-0b92-4963-a0c5-d136cddf754a</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77A850CE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72e39514-7337-40c2-b16b-60a685ccf4c8</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1DB98CD0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49dd155c-9ff5-457c-be44-86346b0faa34</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6DA849D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5a252fae-0ed7-4162-b1a1-965ced4c1676</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3A9AAD3C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7ab3f796-1d19-4ab6-8896-9a832ec47300</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46D522A9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68bb63da-3b4b-410d-a6be-18c29c922553</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3C9CE68C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a4f9ebfd-bbea-4b89-9ebc-27bc35f30a26</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2F9676DB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32a43df6-8e50-411e-9634-ec8bca395478</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4CB3D01D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02ff9e3c-ae9a-413f-a6c9-700f3d2e3a68</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5F78D40F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7f060b4e-3e8a-4c10-b3b2-9fa247888c98</errorID>
      <errorWord xmlns="http://schemas.wps.cn/vas-ai-hub/contract-review">震动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振动</item>
      </candidateList>
      <explain xmlns="http://schemas.wps.cn/vas-ai-hub/contract-review">存在发音相同字词的误用。</explain>
      <paraID xmlns="http://schemas.wps.cn/vas-ai-hub/contract-review">5C537FB1</paraID>
      <start xmlns="http://schemas.wps.cn/vas-ai-hub/contract-review">6</start>
      <end xmlns="http://schemas.wps.cn/vas-ai-hub/contract-review">8</end>
      <status xmlns="http://schemas.wps.cn/vas-ai-hub/contract-review">modified</status>
      <modifiedWord xmlns="http://schemas.wps.cn/vas-ai-hub/contract-review">振动</modifiedWord>
      <trackRevisions xmlns="http://schemas.wps.cn/vas-ai-hub/contract-review">false</trackRevisions>
    </reviewItem>
    <reviewItem xmlns="http://schemas.wps.cn/vas-ai-hub/contract-review">
      <errorID xmlns="http://schemas.wps.cn/vas-ai-hub/contract-review">327b95f1-f394-4159-bbb0-ecf6897e13e4</errorID>
      <errorWord xmlns="http://schemas.wps.cn/vas-ai-hub/contract-review">震动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振动</item>
      </candidateList>
      <explain xmlns="http://schemas.wps.cn/vas-ai-hub/contract-review">存在发音相同字词的误用。</explain>
      <paraID xmlns="http://schemas.wps.cn/vas-ai-hub/contract-review">512ABCFF</paraID>
      <start xmlns="http://schemas.wps.cn/vas-ai-hub/contract-review">11</start>
      <end xmlns="http://schemas.wps.cn/vas-ai-hub/contract-review">13</end>
      <status xmlns="http://schemas.wps.cn/vas-ai-hub/contract-review">modified</status>
      <modifiedWord xmlns="http://schemas.wps.cn/vas-ai-hub/contract-review">振动</modifiedWord>
      <trackRevisions xmlns="http://schemas.wps.cn/vas-ai-hub/contract-review">false</trackRevisions>
    </reviewItem>
    <reviewItem xmlns="http://schemas.wps.cn/vas-ai-hub/contract-review">
      <errorID xmlns="http://schemas.wps.cn/vas-ai-hub/contract-review">9be7ed05-4987-462d-b214-a7bd8b759dcb</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5419BBFE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4fd4b85c-efd6-4f53-aa9b-0144abb6e5ad</errorID>
      <errorWord xmlns="http://schemas.wps.cn/vas-ai-hub/contract-review">境</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境和</item>
      </candidateList>
      <explain xmlns="http://schemas.wps.cn/vas-ai-hub/contract-review"/>
      <paraID xmlns="http://schemas.wps.cn/vas-ai-hub/contract-review">64033098</paraID>
      <start xmlns="http://schemas.wps.cn/vas-ai-hub/contract-review">46</start>
      <end xmlns="http://schemas.wps.cn/vas-ai-hub/contract-review">48</end>
      <status xmlns="http://schemas.wps.cn/vas-ai-hub/contract-review">modified</status>
      <modifiedWord xmlns="http://schemas.wps.cn/vas-ai-hub/contract-review">境和</modifiedWord>
      <trackRevisions xmlns="http://schemas.wps.cn/vas-ai-hub/contract-review">false</trackRevisions>
    </reviewItem>
    <reviewItem xmlns="http://schemas.wps.cn/vas-ai-hub/contract-review">
      <errorID xmlns="http://schemas.wps.cn/vas-ai-hub/contract-review">1721ac23-f75c-4b5b-a885-faf6f53f4a2d</errorID>
      <errorWord xmlns="http://schemas.wps.cn/vas-ai-hub/contract-review">国民经济和社会的发展</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国民经济和社会发展</item>
      </candidateList>
      <explain xmlns="http://schemas.wps.cn/vas-ai-hub/contract-review">词汇“国民经济和社会发展”在特定场景下为固定表述形式，请确认此处的“国民经济和社会的发展”是否存在不当。</explain>
      <paraID xmlns="http://schemas.wps.cn/vas-ai-hub/contract-review">64033098</paraID>
      <start xmlns="http://schemas.wps.cn/vas-ai-hub/contract-review">114</start>
      <end xmlns="http://schemas.wps.cn/vas-ai-hub/contract-review">123</end>
      <status xmlns="http://schemas.wps.cn/vas-ai-hub/contract-review">modified</status>
      <modifiedWord xmlns="http://schemas.wps.cn/vas-ai-hub/contract-review">国民经济和社会发展</modifiedWord>
      <trackRevisions xmlns="http://schemas.wps.cn/vas-ai-hub/contract-review">false</trackRevisions>
    </reviewItem>
    <reviewItem xmlns="http://schemas.wps.cn/vas-ai-hub/contract-review">
      <errorID xmlns="http://schemas.wps.cn/vas-ai-hub/contract-review">b56d28de-c199-4c6f-b490-a0e14ce2755c</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  928110</paraID>
      <start xmlns="http://schemas.wps.cn/vas-ai-hub/contract-review">17</start>
      <end xmlns="http://schemas.wps.cn/vas-ai-hub/contract-review">18</end>
      <status xmlns="http://schemas.wps.cn/vas-ai-hub/contract-review">modified</status>
      <modifiedWord xmlns="http://schemas.wps.cn/vas-ai-hub/contract-review">地</modifiedWord>
      <trackRevisions xmlns="http://schemas.wps.cn/vas-ai-hub/contract-review">false</trackRevisions>
    </reviewItem>
    <reviewItem xmlns="http://schemas.wps.cn/vas-ai-hub/contract-review">
      <errorID xmlns="http://schemas.wps.cn/vas-ai-hub/contract-review">57fd891d-ed6b-4607-9082-11a7febeba79</errorID>
      <errorWord xmlns="http://schemas.wps.cn/vas-ai-hub/contract-review">、就</errorWord>
      <group xmlns="http://schemas.wps.cn/vas-ai-hub/contract-review">L1_Punc</group>
      <groupName xmlns="http://schemas.wps.cn/vas-ai-hub/contract-review">标点问题</groupName>
      <ability xmlns="http://schemas.wps.cn/vas-ai-hub/contract-review">L2_Punc_CN</ability>
      <abilityName xmlns="http://schemas.wps.cn/vas-ai-hub/contract-review"/>
      <candidateList xmlns="http://schemas.wps.cn/vas-ai-hub/contract-review">
        <item xmlns="http://schemas.wps.cn/vas-ai-hub/contract-review">，就</item>
      </candidateList>
      <explain xmlns="http://schemas.wps.cn/vas-ai-hub/contract-review">连接词前后不宜使用顿号，建议使用逗号。</explain>
      <paraID xmlns="http://schemas.wps.cn/vas-ai-hub/contract-review">2EB24EE1</paraID>
      <start xmlns="http://schemas.wps.cn/vas-ai-hub/contract-review">75</start>
      <end xmlns="http://schemas.wps.cn/vas-ai-hub/contract-review">77</end>
      <status xmlns="http://schemas.wps.cn/vas-ai-hub/contract-review">modified</status>
      <modifiedWord xmlns="http://schemas.wps.cn/vas-ai-hub/contract-review">，就</modifiedWord>
      <trackRevisions xmlns="http://schemas.wps.cn/vas-ai-hub/contract-review">false</trackRevisions>
    </reviewItem>
    <reviewItem xmlns="http://schemas.wps.cn/vas-ai-hub/contract-review">
      <errorID xmlns="http://schemas.wps.cn/vas-ai-hub/contract-review">ba19efa7-fb93-40f9-9df8-af2f20380fd7</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77B19EA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d70e25b2-1fab-4975-9ff4-35dbe6001fc8</errorID>
      <errorWord xmlns="http://schemas.wps.cn/vas-ai-hub/contract-review">双碳</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“双碳”</item>
      </candidateList>
      <explain xmlns="http://schemas.wps.cn/vas-ai-hub/contract-review">注意检查当前固定表述标点是否使用规范。</explain>
      <paraID xmlns="http://schemas.wps.cn/vas-ai-hub/contract-review">6019E663</paraID>
      <start xmlns="http://schemas.wps.cn/vas-ai-hub/contract-review">151</start>
      <end xmlns="http://schemas.wps.cn/vas-ai-hub/contract-review">155</end>
      <status xmlns="http://schemas.wps.cn/vas-ai-hub/contract-review">modified</status>
      <modifiedWord xmlns="http://schemas.wps.cn/vas-ai-hub/contract-review">“双碳”</modifiedWord>
      <trackRevisions xmlns="http://schemas.wps.cn/vas-ai-hub/contract-review">false</trackRevisions>
    </reviewItem>
    <reviewItem xmlns="http://schemas.wps.cn/vas-ai-hub/contract-review">
      <errorID xmlns="http://schemas.wps.cn/vas-ai-hub/contract-review">b927b98e-951c-4231-931c-bff2976e2fa9</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5A4D626A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fd76c3b8-be5b-448e-aad6-b06b04d0c972</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78C77A6F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a1cf5cb1-e2ed-44a9-bdb6-1c8e0c799178</errorID>
      <errorWord xmlns="http://schemas.wps.cn/vas-ai-hub/contract-review">“双碳”战略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“双碳”目标</item>
      </candidateList>
      <explain xmlns="http://schemas.wps.cn/vas-ai-hub/contract-review"/>
      <paraID xmlns="http://schemas.wps.cn/vas-ai-hub/contract-review"> E21A774</paraID>
      <start xmlns="http://schemas.wps.cn/vas-ai-hub/contract-review">70</start>
      <end xmlns="http://schemas.wps.cn/vas-ai-hub/contract-review">76</end>
      <status xmlns="http://schemas.wps.cn/vas-ai-hub/contract-review">modified</status>
      <modifiedWord xmlns="http://schemas.wps.cn/vas-ai-hub/contract-review">“双碳”目标</modifiedWord>
      <trackRevisions xmlns="http://schemas.wps.cn/vas-ai-hub/contract-review">false</trackRevisions>
    </reviewItem>
    <reviewItem xmlns="http://schemas.wps.cn/vas-ai-hub/contract-review">
      <errorID xmlns="http://schemas.wps.cn/vas-ai-hub/contract-review">cb28794d-6bea-450a-aa7b-1c69f2637be0</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2F840230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db48801f-7179-4477-be78-1f804c77e222</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A1C75AA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ddbcba82-4d95-419f-92ee-c978448bf4f0</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558D4D5C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58fab837-88a9-4fa0-a686-dc9f19193aaf</errorID>
      <errorWord xmlns="http://schemas.wps.cn/vas-ai-hub/contract-review">创新驱动战略</errorWord>
      <group xmlns="http://schemas.wps.cn/vas-ai-hub/contract-review">L1_Political</group>
      <groupName xmlns="http://schemas.wps.cn/vas-ai-hub/contract-review">政治性问题</groupName>
      <ability xmlns="http://schemas.wps.cn/vas-ai-hub/contract-review">L2_Unpolitical</ability>
      <abilityName xmlns="http://schemas.wps.cn/vas-ai-hub/contract-review">政治敏感错误</abilityName>
      <candidateList xmlns="http://schemas.wps.cn/vas-ai-hub/contract-review">
        <item xmlns="http://schemas.wps.cn/vas-ai-hub/contract-review">创新驱动发展战略</item>
      </candidateList>
      <explain xmlns="http://schemas.wps.cn/vas-ai-hub/contract-review"/>
      <paraID xmlns="http://schemas.wps.cn/vas-ai-hub/contract-review">3E039AF8</paraID>
      <start xmlns="http://schemas.wps.cn/vas-ai-hub/contract-review">28</start>
      <end xmlns="http://schemas.wps.cn/vas-ai-hub/contract-review">36</end>
      <status xmlns="http://schemas.wps.cn/vas-ai-hub/contract-review">modified</status>
      <modifiedWord xmlns="http://schemas.wps.cn/vas-ai-hub/contract-review">创新驱动发展战略</modifiedWord>
      <trackRevisions xmlns="http://schemas.wps.cn/vas-ai-hub/contract-review">false</trackRevisions>
    </reviewItem>
    <reviewItem xmlns="http://schemas.wps.cn/vas-ai-hub/contract-review">
      <errorID xmlns="http://schemas.wps.cn/vas-ai-hub/contract-review">af747536-b6d4-42e0-b03b-059fc11a373a</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3D5B1BDB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bddec7ae-6ae2-44c3-b7c5-6d87d8426490</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5EFA9F9D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2bcb9e66-0078-4a8c-a139-71bc97875109</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21E9E678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2455a641-ed12-4d11-9e04-0e663a94c045</errorID>
      <errorWord xmlns="http://schemas.wps.cn/vas-ai-hub/contract-review">繁琐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烦琐</item>
      </candidateList>
      <explain xmlns="http://schemas.wps.cn/vas-ai-hub/contract-review"/>
      <paraID xmlns="http://schemas.wps.cn/vas-ai-hub/contract-review">21E9E678</paraID>
      <start xmlns="http://schemas.wps.cn/vas-ai-hub/contract-review">62</start>
      <end xmlns="http://schemas.wps.cn/vas-ai-hub/contract-review">64</end>
      <status xmlns="http://schemas.wps.cn/vas-ai-hub/contract-review">modified</status>
      <modifiedWord xmlns="http://schemas.wps.cn/vas-ai-hub/contract-review">烦琐</modifiedWord>
      <trackRevisions xmlns="http://schemas.wps.cn/vas-ai-hub/contract-review">false</trackRevisions>
    </reviewItem>
    <reviewItem xmlns="http://schemas.wps.cn/vas-ai-hub/contract-review">
      <errorID xmlns="http://schemas.wps.cn/vas-ai-hub/contract-review">6bdbb6df-fac7-46ab-98b7-6f05be285789</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478D311C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7b5669f9-a833-468b-a11a-da2bfa6e1860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263178AF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bb06d5b9-d717-4feb-a8c6-e05dd263dadf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263178AF</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d06f8801-e971-401c-8835-e500cf0be2ee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668AA2A0</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8230005a-06b3-4e5e-9d40-1b263314332a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668AA2A0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0118291d-d3aa-472a-8047-d2eb1aadfd43</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4104134F</paraID>
      <start xmlns="http://schemas.wps.cn/vas-ai-hub/contract-review">3</start>
      <end xmlns="http://schemas.wps.cn/vas-ai-hub/contract-review">5</end>
      <status xmlns="http://schemas.wps.cn/vas-ai-hub/contract-review">modified</status>
      <modifiedWord xmlns="http://schemas.wps.cn/vas-ai-hub/contract-review">kW</modifiedWord>
      <trackRevisions xmlns="http://schemas.wps.cn/vas-ai-hub/contract-review">false</trackRevisions>
    </reviewItem>
    <reviewItem xmlns="http://schemas.wps.cn/vas-ai-hub/contract-review">
      <errorID xmlns="http://schemas.wps.cn/vas-ai-hub/contract-review">edc48860-1473-4dbf-ba74-c38b77926213</errorID>
      <errorWord xmlns="http://schemas.wps.cn/vas-ai-hub/contract-review">充电柱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充电桩</item>
      </candidateList>
      <explain xmlns="http://schemas.wps.cn/vas-ai-hub/contract-review"/>
      <paraID xmlns="http://schemas.wps.cn/vas-ai-hub/contract-review">4104134F</paraID>
      <start xmlns="http://schemas.wps.cn/vas-ai-hub/contract-review">11</start>
      <end xmlns="http://schemas.wps.cn/vas-ai-hub/contract-review">14</end>
      <status xmlns="http://schemas.wps.cn/vas-ai-hub/contract-review">modified</status>
      <modifiedWord xmlns="http://schemas.wps.cn/vas-ai-hub/contract-review">充电桩</modifiedWord>
      <trackRevisions xmlns="http://schemas.wps.cn/vas-ai-hub/contract-review">false</trackRevisions>
    </reviewItem>
    <reviewItem xmlns="http://schemas.wps.cn/vas-ai-hub/contract-review">
      <errorID xmlns="http://schemas.wps.cn/vas-ai-hub/contract-review">b235e784-a869-44b6-89c5-8f429b938326</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76F16CDC</paraID>
      <start xmlns="http://schemas.wps.cn/vas-ai-hub/contract-review">3</start>
      <end xmlns="http://schemas.wps.cn/vas-ai-hub/contract-review">5</end>
      <status xmlns="http://schemas.wps.cn/vas-ai-hub/contract-review">modified</status>
      <modifiedWord xmlns="http://schemas.wps.cn/vas-ai-hub/contract-review">kW</modifiedWord>
      <trackRevisions xmlns="http://schemas.wps.cn/vas-ai-hub/contract-review">false</trackRevisions>
    </reviewItem>
    <reviewItem xmlns="http://schemas.wps.cn/vas-ai-hub/contract-review">
      <errorID xmlns="http://schemas.wps.cn/vas-ai-hub/contract-review">a4e6460e-ae1e-4e42-a8e0-64431880e273</errorID>
      <errorWord xmlns="http://schemas.wps.cn/vas-ai-hub/contract-review">充电柱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充电桩</item>
      </candidateList>
      <explain xmlns="http://schemas.wps.cn/vas-ai-hub/contract-review"/>
      <paraID xmlns="http://schemas.wps.cn/vas-ai-hub/contract-review">76F16CDC</paraID>
      <start xmlns="http://schemas.wps.cn/vas-ai-hub/contract-review">11</start>
      <end xmlns="http://schemas.wps.cn/vas-ai-hub/contract-review">14</end>
      <status xmlns="http://schemas.wps.cn/vas-ai-hub/contract-review">modified</status>
      <modifiedWord xmlns="http://schemas.wps.cn/vas-ai-hub/contract-review">充电桩</modifiedWord>
      <trackRevisions xmlns="http://schemas.wps.cn/vas-ai-hub/contract-review">false</trackRevisions>
    </reviewItem>
    <reviewItem xmlns="http://schemas.wps.cn/vas-ai-hub/contract-review">
      <errorID xmlns="http://schemas.wps.cn/vas-ai-hub/contract-review">c3854140-0bd6-4a5a-9b09-4f707b5ac9ca</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790BC510</paraID>
      <start xmlns="http://schemas.wps.cn/vas-ai-hub/contract-review">1</start>
      <end xmlns="http://schemas.wps.cn/vas-ai-hub/contract-review">3</end>
      <status xmlns="http://schemas.wps.cn/vas-ai-hub/contract-review">modified</status>
      <modifiedWord xmlns="http://schemas.wps.cn/vas-ai-hub/contract-review">kW</modifiedWord>
      <trackRevisions xmlns="http://schemas.wps.cn/vas-ai-hub/contract-review">false</trackRevisions>
    </reviewItem>
    <reviewItem xmlns="http://schemas.wps.cn/vas-ai-hub/contract-review">
      <errorID xmlns="http://schemas.wps.cn/vas-ai-hub/contract-review">5ef88aa5-f1c5-4403-92dc-e7d682de623c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1CE842CF</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0116c0dc-fd7c-4002-ac51-2f1a88ec324d</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21B615F3</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26e8369c-a736-4182-8569-ca378581a97a</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3FD2C85C</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1683a93e-9eb2-4898-ae93-39cd07de848d</errorID>
      <errorWord xmlns="http://schemas.wps.cn/vas-ai-hub/contract-review">城市建设维护税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城市维护建设税</item>
      </candidateList>
      <explain xmlns="http://schemas.wps.cn/vas-ai-hub/contract-review"/>
      <paraID xmlns="http://schemas.wps.cn/vas-ai-hub/contract-review">5A532AB3</paraID>
      <start xmlns="http://schemas.wps.cn/vas-ai-hub/contract-review">0</start>
      <end xmlns="http://schemas.wps.cn/vas-ai-hub/contract-review">7</end>
      <status xmlns="http://schemas.wps.cn/vas-ai-hub/contract-review">modified</status>
      <modifiedWord xmlns="http://schemas.wps.cn/vas-ai-hub/contract-review">城市维护建设税</modifiedWord>
      <trackRevisions xmlns="http://schemas.wps.cn/vas-ai-hub/contract-review">false</trackRevisions>
    </reviewItem>
    <reviewItem xmlns="http://schemas.wps.cn/vas-ai-hub/contract-review">
      <errorID xmlns="http://schemas.wps.cn/vas-ai-hub/contract-review">632fe32f-8122-46c0-9ea6-794fed2990c7</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62576665</paraID>
      <start xmlns="http://schemas.wps.cn/vas-ai-hub/contract-review">1</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2cc80cf9-5834-42b5-9afb-11931a4498c1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19BC48D8</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83a9e9f1-3aea-4a45-87ef-0c57db4f6dd9</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1143FED7</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b8f067bf-3a9d-45ae-9c77-a388abc6ec85</errorID>
      <errorWord xmlns="http://schemas.wps.cn/vas-ai-hub/contract-review">kw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kW</item>
      </candidateList>
      <explain xmlns="http://schemas.wps.cn/vas-ai-hub/contract-review"/>
      <paraID xmlns="http://schemas.wps.cn/vas-ai-hub/contract-review">6CA79406</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e24d77ff-e2be-4f50-b76f-082cd557654b</errorID>
      <errorWord xmlns="http://schemas.wps.cn/vas-ai-hub/contract-review">城市建设维护税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城市维护建设税</item>
      </candidateList>
      <explain xmlns="http://schemas.wps.cn/vas-ai-hub/contract-review"/>
      <paraID xmlns="http://schemas.wps.cn/vas-ai-hub/contract-review">6BECB351</paraID>
      <start xmlns="http://schemas.wps.cn/vas-ai-hub/contract-review">0</start>
      <end xmlns="http://schemas.wps.cn/vas-ai-hub/contract-review">7</end>
      <status xmlns="http://schemas.wps.cn/vas-ai-hub/contract-review">modified</status>
      <modifiedWord xmlns="http://schemas.wps.cn/vas-ai-hub/contract-review">城市维护建设税</modifiedWord>
      <trackRevisions xmlns="http://schemas.wps.cn/vas-ai-hub/contract-review">false</trackRevisions>
    </reviewItem>
    <reviewItem xmlns="http://schemas.wps.cn/vas-ai-hub/contract-review">
      <errorID xmlns="http://schemas.wps.cn/vas-ai-hub/contract-review">b309bfbd-dae0-41b5-aa3a-0d978cb39813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74E2D545</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58103d83-4bc4-4751-91d8-d115a3e20631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
      <candidateList xmlns="http://schemas.wps.cn/vas-ai-hub/contract-review">
        <item xmlns="http://schemas.wps.cn/vas-ai-hub/contract-review">）</item>
      </candidateList>
      <explain xmlns="http://schemas.wps.cn/vas-ai-hub/contract-review">文本全半角错误。</explain>
      <paraID xmlns="http://schemas.wps.cn/vas-ai-hub/contract-review">563A2BFF</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856edd-fd9d-49d5-9858-37b0bc41b739}">
  <ds:schemaRefs/>
</ds:datastoreItem>
</file>

<file path=docProps/app.xml><?xml version="1.0" encoding="utf-8"?>
<Properties xmlns="http://schemas.openxmlformats.org/officeDocument/2006/extended-properties" xmlns:vt="http://schemas.openxmlformats.org/officeDocument/2006/docPropsVTypes">
  <Pages>91</Pages>
  <Words>8732</Words>
  <Characters>9910</Characters>
  <Lines>1</Lines>
  <Paragraphs>1</Paragraphs>
  <TotalTime>105</TotalTime>
  <ScaleCrop>false</ScaleCrop>
  <LinksUpToDate>false</LinksUpToDate>
  <CharactersWithSpaces>10180</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2026-01-17T23:58:00Z</dcterms:created>
  <dc:creator>Administrator</dc:creator>
  <cp:lastModifiedBy>小朋友</cp:lastModifiedBy>
  <dcterms:modified xsi:type="dcterms:W3CDTF">2026-06-09T10:25:14Z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eyJoZGlkIjoiZThkMDBkMmNmMTAxYzQ0ZjE0YmYzMTY1ZjVhZjJjOGMiLCJ1c2VySWQiOiIxOTkzNTgyNTUifQ==</vt:lpwstr>
  </property>
  <property fmtid="{D5CDD505-2E9C-101B-9397-08002B2CF9AE}" pid="3" name="KSOProductBuildVer">
    <vt:lpwstr>2052-12.1.0.26375</vt:lpwstr>
  </property>
  <property fmtid="{D5CDD505-2E9C-101B-9397-08002B2CF9AE}" pid="4" name="ICV">
    <vt:lpwstr>5A2AC0F92F33F937277E276A50411A18_43</vt:lpwstr>
  </property>
</Properties>
</file>