
<file path=[Content_Types].xml><?xml version="1.0" encoding="utf-8"?>
<Types xmlns="http://schemas.openxmlformats.org/package/2006/content-types">
  <Default Extension="png" ContentType="image/pn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otnotes.xml" ContentType="application/vnd.openxmlformats-officedocument.wordprocessingml.footnot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endnotes.xml" ContentType="application/vnd.openxmlformats-officedocument.wordprocessingml.endnot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5="http://schemas.microsoft.com/office/word/2012/wordml"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xmlns:mc="http://schemas.openxmlformats.org/markup-compatibility/2006" mc:Ignorable="w15">
  <w:body>
    <w:p>
      <w:pPr>
        <w:rPr>
          <w:rFonts w:hint="eastAsia" w:eastAsia="宋体"/>
          <w:lang w:val="en-US" w:eastAsia="zh-CN"/>
        </w:rPr>
      </w:pPr>
      <w:r>
        <w:rPr>
          <w:rFonts w:hint="eastAsia" w:eastAsia="宋体"/>
          <w:lang w:val="en-US" w:eastAsia="zh-CN"/>
        </w:rPr>
        <w:t xml:space="preserve">  </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outlineLvl w:val="9"/>
        <w:rPr>
          <w:rFonts w:hint="eastAsia" w:ascii="宋体" w:hAnsi="宋体" w:eastAsia="宋体" w:cs="宋体"/>
          <w:b/>
          <w:bCs/>
          <w:snapToGrid w:val="false"/>
          <w:color w:val="000000"/>
          <w:kern w:val="0"/>
          <w:sz w:val="52"/>
          <w:szCs w:val="52"/>
          <w:lang w:val="en-US" w:eastAsia="zh-CN"/>
        </w:rPr>
      </w:pPr>
      <w:r>
        <w:rPr>
          <w:rFonts w:hint="eastAsia" w:ascii="宋体" w:hAnsi="宋体" w:eastAsia="宋体" w:cs="宋体"/>
          <w:b/>
          <w:bCs/>
          <w:snapToGrid w:val="false"/>
          <w:color w:val="000000"/>
          <w:kern w:val="0"/>
          <w:sz w:val="52"/>
          <w:szCs w:val="52"/>
          <w:lang w:val="en-US" w:eastAsia="zh-CN"/>
        </w:rPr>
        <w:t>河南大成包装材料有限公司源网荷储一体化项目</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rPr>
          <w:rFonts w:hint="eastAsia" w:ascii="宋体" w:hAnsi="宋体" w:eastAsia="宋体" w:cs="宋体"/>
          <w:sz w:val="52"/>
          <w:szCs w:val="52"/>
        </w:rPr>
      </w:pPr>
      <w:r>
        <w:rPr>
          <w:rFonts w:hint="eastAsia" w:ascii="宋体" w:hAnsi="宋体" w:eastAsia="宋体" w:cs="宋体"/>
          <w:b/>
          <w:bCs/>
          <w:snapToGrid w:val="false"/>
          <w:color w:val="000000"/>
          <w:kern w:val="0"/>
          <w:sz w:val="52"/>
          <w:szCs w:val="52"/>
          <w:lang w:val="en-US" w:eastAsia="zh-CN"/>
        </w:rPr>
        <w:t>可行性研究报告</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bookmarkStart w:id="1" w:name="_Toc396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建设单位：</w:t>
      </w:r>
      <w:bookmarkEnd w:id="1"/>
      <w:r>
        <w:rPr>
          <w:rFonts w:hint="eastAsia" w:ascii="宋体" w:hAnsi="宋体" w:eastAsia="宋体" w:cs="宋体"/>
          <w:b/>
          <w:bCs/>
          <w:sz w:val="32"/>
          <w:szCs w:val="32"/>
          <w:lang w:val="en-US" w:eastAsia="zh-CN"/>
        </w:rPr>
        <w:t>河南中原智慧冷链物流园管理运营有限公司</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bookmarkStart w:id="2" w:name="_Toc32090"/>
      <w:r>
        <w:rPr>
          <w:rFonts w:hint="eastAsia" w:ascii="宋体" w:hAnsi="宋体" w:eastAsia="宋体" w:cs="宋体"/>
          <w:b/>
          <w:bCs/>
          <w:sz w:val="32"/>
          <w:szCs w:val="32"/>
          <w:lang w:val="en-US" w:eastAsia="zh-CN"/>
        </w:rPr>
        <w:t>编制单位：北京新元工程咨询有限公司</w:t>
      </w:r>
      <w:bookmarkEnd w:id="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t>编制日期：2025年5月</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drawing>
          <wp:inline distT="0" distB="0" distL="114300" distR="114300">
            <wp:extent cx="7040880" cy="4984115"/>
            <wp:effectExtent l="0" t="0" r="7620" b="6985"/>
            <wp:docPr id="2" name="图片 1" descr="1"/>
            <wp:cNvGraphicFramePr>
              <a:graphicFrameLocks noChangeAspect="true"/>
            </wp:cNvGraphicFramePr>
            <a:graphic>
              <a:graphicData uri="http://schemas.openxmlformats.org/drawingml/2006/picture">
                <pic:pic>
                  <pic:nvPicPr>
                    <pic:cNvPr id="3" name="图片 1" descr="1"/>
                    <pic:cNvPicPr>
                      <a:picLocks noChangeAspect="true"/>
                    </pic:cNvPicPr>
                  </pic:nvPicPr>
                  <pic:blipFill>
                    <a:blip r:embed="rId7"/>
                    <a:stretch>
                      <a:fillRect/>
                    </a:stretch>
                  </pic:blipFill>
                  <pic:spPr>
                    <a:xfrm>
                      <a:off x="0" y="0"/>
                      <a:ext cx="7040880" cy="4984115"/>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6872605" cy="4757420"/>
            <wp:effectExtent l="0" t="0" r="4445" b="5080"/>
            <wp:docPr id="5" name="图片 3" descr="2"/>
            <wp:cNvGraphicFramePr>
              <a:graphicFrameLocks noChangeAspect="true"/>
            </wp:cNvGraphicFramePr>
            <a:graphic>
              <a:graphicData uri="http://schemas.openxmlformats.org/drawingml/2006/picture">
                <pic:pic>
                  <pic:nvPicPr>
                    <pic:cNvPr id="6" name="图片 3" descr="2"/>
                    <pic:cNvPicPr>
                      <a:picLocks noChangeAspect="true"/>
                    </pic:cNvPicPr>
                  </pic:nvPicPr>
                  <pic:blipFill>
                    <a:blip r:embed="rId8"/>
                    <a:stretch>
                      <a:fillRect/>
                    </a:stretch>
                  </pic:blipFill>
                  <pic:spPr>
                    <a:xfrm>
                      <a:off x="0" y="0"/>
                      <a:ext cx="6872605" cy="4757420"/>
                    </a:xfrm>
                    <a:prstGeom prst="rect">
                      <a:avLst/>
                    </a:prstGeom>
                  </pic:spPr>
                </pic:pic>
              </a:graphicData>
            </a:graphic>
          </wp:inline>
        </w:drawing>
      </w:r>
    </w:p>
    <w:sdt>
      <w:sdtPr>
        <w:rPr>
          <w:rFonts w:ascii="宋体" w:hAnsi="宋体" w:eastAsia="宋体" w:cs="Arial"/>
          <w:snapToGrid w:val="false"/>
          <w:color w:val="000000"/>
          <w:kern w:val="0"/>
          <w:sz w:val="21"/>
          <w:szCs w:val="21"/>
          <w:lang w:val="en-US" w:eastAsia="en-US" w:bidi="ar-SA"/>
        </w:rPr>
        <w:id w:val="147457988"/>
        <w15:color w:val="DBDBDB"/>
        <w:docPartObj>
          <w:docPartGallery w:val="Table of Contents"/>
          <w:docPartUnique/>
        </w:docPartObj>
      </w:sdtPr>
      <w:sdtEndPr>
        <w:rPr>
          <w:rFonts w:ascii="宋体" w:hAnsi="宋体" w:eastAsia="宋体" w:cs="Arial"/>
          <w:b/>
          <w:snapToGrid w:val="false"/>
          <w:color w:val="000000"/>
          <w:kern w:val="0"/>
          <w:sz w:val="21"/>
          <w:szCs w:val="21"/>
          <w:lang w:val="en-US" w:eastAsia="en-US" w:bidi="ar-SA"/>
        </w:rPr>
      </w:sdtEndPr>
      <w:sdtContent>
        <w:bookmarkStart w:id="3" w:name="_GoBack"/>
        <w:bookmarkEnd w:id="3"/>
        <w:bookmarkStart w:id="4" w:name="_Toc32442"/>
        <w:bookmarkStart w:id="5" w:name="_Toc32307"/>
        <w:bookmarkStart w:id="6" w:name="_Toc13134"/>
        <w:p>
          <w:pPr>
            <w:keepNext w:val="false"/>
            <w:keepLines w:val="false"/>
            <w:pageBreakBefore w:val="false"/>
            <w:widowControl/>
            <w:wordWrap/>
            <w:overflowPunct/>
            <w:topLinePunct w:val="false"/>
            <w:bidi w:val="false"/>
            <w:spacing w:before="0" w:beforeLines="0" w:after="0" w:afterLines="0" w:line="36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目录</w:t>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_Toc19208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第一章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_Toc19208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_Toc17556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1.2 企业及实际控制人概况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_Toc20656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1.4 研究范围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_Toc17379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_Toc12322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1.5 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_Toc12322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_Toc2447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第二章 项目建设背景及必要性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_Toc5056 </w:instrText>
          </w:r>
          <w:r>
            <w:rPr>
              <w:rFonts w:hint="eastAsia" w:ascii="宋体" w:hAnsi="宋体" w:eastAsia="宋体" w:cs="宋体"/>
              <w:sz w:val="24"/>
              <w:szCs w:val="24"/>
            </w:rPr>
            <w:fldChar w:fldCharType="separate"/>
          </w:r>
          <w:r>
            <w:rPr>
              <w:rFonts w:hint="eastAsia" w:ascii="宋体" w:hAnsi="宋体" w:eastAsia="宋体" w:cs="宋体"/>
              <w:bCs/>
              <w:sz w:val="24"/>
              <w:szCs w:val="24"/>
            </w:rPr>
            <w:t>2.1 规划政策符合性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_Toc5056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_Toc7919 </w:instrText>
          </w:r>
          <w:r>
            <w:rPr>
              <w:rFonts w:hint="eastAsia" w:ascii="宋体" w:hAnsi="宋体" w:eastAsia="宋体" w:cs="宋体"/>
              <w:sz w:val="24"/>
              <w:szCs w:val="24"/>
            </w:rPr>
            <w:fldChar w:fldCharType="separate"/>
          </w:r>
          <w:r>
            <w:rPr>
              <w:rFonts w:hint="eastAsia" w:ascii="宋体" w:hAnsi="宋体" w:eastAsia="宋体" w:cs="宋体"/>
              <w:bCs/>
              <w:sz w:val="24"/>
              <w:szCs w:val="24"/>
            </w:rPr>
            <w:t>2.2 项目主体发展战略需求分析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_Toc7919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_Toc30857 </w:instrText>
          </w:r>
          <w:r>
            <w:rPr>
              <w:rFonts w:hint="eastAsia" w:ascii="宋体" w:hAnsi="宋体" w:eastAsia="宋体" w:cs="宋体"/>
              <w:sz w:val="24"/>
              <w:szCs w:val="24"/>
            </w:rPr>
            <w:fldChar w:fldCharType="separate"/>
          </w:r>
          <w:r>
            <w:rPr>
              <w:rFonts w:hint="eastAsia" w:ascii="宋体" w:hAnsi="宋体" w:eastAsia="宋体" w:cs="宋体"/>
              <w:bCs/>
              <w:sz w:val="24"/>
              <w:szCs w:val="24"/>
            </w:rPr>
            <w:t>2.3 项目市场需求分析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_Toc30857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_Toc20731 </w:instrText>
          </w:r>
          <w:r>
            <w:rPr>
              <w:rFonts w:hint="eastAsia" w:ascii="宋体" w:hAnsi="宋体" w:eastAsia="宋体" w:cs="宋体"/>
              <w:sz w:val="24"/>
              <w:szCs w:val="24"/>
            </w:rPr>
            <w:fldChar w:fldCharType="separate"/>
          </w:r>
          <w:r>
            <w:rPr>
              <w:rFonts w:hint="eastAsia" w:ascii="宋体" w:hAnsi="宋体" w:eastAsia="宋体" w:cs="宋体"/>
              <w:bCs/>
              <w:sz w:val="24"/>
              <w:szCs w:val="24"/>
            </w:rPr>
            <w:t>2.4 项目建设内容、规模及产出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_Toc20731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_Toc21466 </w:instrText>
          </w:r>
          <w:r>
            <w:rPr>
              <w:rFonts w:hint="eastAsia" w:ascii="宋体" w:hAnsi="宋体" w:eastAsia="宋体" w:cs="宋体"/>
              <w:sz w:val="24"/>
              <w:szCs w:val="24"/>
            </w:rPr>
            <w:fldChar w:fldCharType="separate"/>
          </w:r>
          <w:r>
            <w:rPr>
              <w:rFonts w:hint="eastAsia" w:ascii="宋体" w:hAnsi="宋体" w:eastAsia="宋体" w:cs="宋体"/>
              <w:bCs/>
              <w:sz w:val="24"/>
              <w:szCs w:val="24"/>
            </w:rPr>
            <w:t>2.5 项目商业模式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_Toc21466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_Toc13005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第三章 项目选址与要素保障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_Toc13005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_Toc31412 </w:instrText>
          </w:r>
          <w:r>
            <w:rPr>
              <w:rFonts w:hint="eastAsia" w:ascii="宋体" w:hAnsi="宋体" w:eastAsia="宋体" w:cs="宋体"/>
              <w:sz w:val="24"/>
              <w:szCs w:val="24"/>
            </w:rPr>
            <w:fldChar w:fldCharType="separate"/>
          </w:r>
          <w:r>
            <w:rPr>
              <w:rFonts w:hint="eastAsia" w:ascii="宋体" w:hAnsi="宋体" w:eastAsia="宋体" w:cs="宋体"/>
              <w:bCs/>
              <w:sz w:val="24"/>
              <w:szCs w:val="24"/>
            </w:rPr>
            <w:t>3.1 项目地址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_Toc31412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_Toc25200 </w:instrText>
          </w:r>
          <w:r>
            <w:rPr>
              <w:rFonts w:hint="eastAsia" w:ascii="宋体" w:hAnsi="宋体" w:eastAsia="宋体" w:cs="宋体"/>
              <w:sz w:val="24"/>
              <w:szCs w:val="24"/>
            </w:rPr>
            <w:fldChar w:fldCharType="separate"/>
          </w:r>
          <w:r>
            <w:rPr>
              <w:rFonts w:hint="eastAsia" w:ascii="宋体" w:hAnsi="宋体" w:eastAsia="宋体" w:cs="宋体"/>
              <w:bCs/>
              <w:sz w:val="24"/>
              <w:szCs w:val="24"/>
            </w:rPr>
            <w:t>3.2 项目建设条件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_Toc25200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_Toc25559 </w:instrText>
          </w:r>
          <w:r>
            <w:rPr>
              <w:rFonts w:hint="eastAsia" w:ascii="宋体" w:hAnsi="宋体" w:eastAsia="宋体" w:cs="宋体"/>
              <w:sz w:val="24"/>
              <w:szCs w:val="24"/>
            </w:rPr>
            <w:fldChar w:fldCharType="separate"/>
          </w:r>
          <w:r>
            <w:rPr>
              <w:rFonts w:hint="eastAsia" w:ascii="宋体" w:hAnsi="宋体" w:eastAsia="宋体" w:cs="宋体"/>
              <w:i w:val="false"/>
              <w:strike w:val="false"/>
              <w:spacing w:val="0"/>
              <w:sz w:val="24"/>
              <w:szCs w:val="24"/>
              <w:vertAlign w:val="baseline"/>
            </w:rPr>
            <w:t>3.3 要素保障分析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_Toc25559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_Toc4346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第四章 项目建设方案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_Toc4346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_Toc9208 </w:instrText>
          </w:r>
          <w:r>
            <w:rPr>
              <w:rFonts w:hint="eastAsia" w:ascii="宋体" w:hAnsi="宋体" w:eastAsia="宋体" w:cs="宋体"/>
              <w:sz w:val="24"/>
              <w:szCs w:val="24"/>
            </w:rPr>
            <w:fldChar w:fldCharType="separate"/>
          </w:r>
          <w:r>
            <w:rPr>
              <w:rFonts w:hint="eastAsia" w:ascii="宋体" w:hAnsi="宋体" w:eastAsia="宋体" w:cs="宋体"/>
              <w:bCs/>
              <w:sz w:val="24"/>
              <w:szCs w:val="24"/>
            </w:rPr>
            <w:t>4.1 技术方案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_Toc9208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_Toc20607 </w:instrText>
          </w:r>
          <w:r>
            <w:rPr>
              <w:rFonts w:hint="eastAsia" w:ascii="宋体" w:hAnsi="宋体" w:eastAsia="宋体" w:cs="宋体"/>
              <w:sz w:val="24"/>
              <w:szCs w:val="24"/>
            </w:rPr>
            <w:fldChar w:fldCharType="separate"/>
          </w:r>
          <w:r>
            <w:rPr>
              <w:rFonts w:hint="eastAsia" w:ascii="宋体" w:hAnsi="宋体" w:eastAsia="宋体" w:cs="宋体"/>
              <w:bCs/>
              <w:sz w:val="24"/>
              <w:szCs w:val="24"/>
            </w:rPr>
            <w:t>4.2 设备方案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_Toc20607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_Toc15450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4.3 储能系统配置方案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_Toc15450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_Toc32422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4.4 建设管理方案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_Toc32422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_Toc22426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_Toc22426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_Toc6377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_Toc6377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_Toc11627 </w:instrText>
          </w:r>
          <w:r>
            <w:rPr>
              <w:rFonts w:hint="eastAsia" w:ascii="宋体" w:hAnsi="宋体" w:eastAsia="宋体" w:cs="宋体"/>
              <w:sz w:val="24"/>
              <w:szCs w:val="24"/>
            </w:rPr>
            <w:fldChar w:fldCharType="separate"/>
          </w:r>
          <w:r>
            <w:rPr>
              <w:rFonts w:hint="eastAsia" w:ascii="宋体" w:hAnsi="宋体" w:eastAsia="宋体" w:cs="宋体"/>
              <w:bCs/>
              <w:sz w:val="24"/>
              <w:szCs w:val="24"/>
            </w:rPr>
            <w:t>5.2 安全保障方案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_Toc11627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_Toc28611 </w:instrText>
          </w:r>
          <w:r>
            <w:rPr>
              <w:rFonts w:hint="eastAsia" w:ascii="宋体" w:hAnsi="宋体" w:eastAsia="宋体" w:cs="宋体"/>
              <w:sz w:val="24"/>
              <w:szCs w:val="24"/>
            </w:rPr>
            <w:fldChar w:fldCharType="separate"/>
          </w:r>
          <w:r>
            <w:rPr>
              <w:rFonts w:hint="eastAsia" w:ascii="宋体" w:hAnsi="宋体" w:eastAsia="宋体" w:cs="宋体"/>
              <w:bCs/>
              <w:sz w:val="24"/>
              <w:szCs w:val="24"/>
            </w:rPr>
            <w:t>5.3 运营管理方案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_Toc28611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_Toc19857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第六章 项目投融资与财务方案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_Toc19857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_Toc6231 </w:instrText>
          </w:r>
          <w:r>
            <w:rPr>
              <w:rFonts w:hint="eastAsia" w:ascii="宋体" w:hAnsi="宋体" w:eastAsia="宋体" w:cs="宋体"/>
              <w:sz w:val="24"/>
              <w:szCs w:val="24"/>
            </w:rPr>
            <w:fldChar w:fldCharType="separate"/>
          </w:r>
          <w:r>
            <w:rPr>
              <w:rFonts w:hint="eastAsia" w:ascii="宋体" w:hAnsi="宋体" w:eastAsia="宋体" w:cs="宋体"/>
              <w:bCs/>
              <w:sz w:val="24"/>
              <w:szCs w:val="24"/>
            </w:rPr>
            <w:t>6.1 项目投资估算及说明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_Toc6231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_Toc21346 </w:instrText>
          </w:r>
          <w:r>
            <w:rPr>
              <w:rFonts w:hint="eastAsia" w:ascii="宋体" w:hAnsi="宋体" w:eastAsia="宋体" w:cs="宋体"/>
              <w:sz w:val="24"/>
              <w:szCs w:val="24"/>
            </w:rPr>
            <w:fldChar w:fldCharType="separate"/>
          </w:r>
          <w:r>
            <w:rPr>
              <w:rFonts w:hint="eastAsia" w:ascii="宋体" w:hAnsi="宋体" w:eastAsia="宋体" w:cs="宋体"/>
              <w:bCs/>
              <w:sz w:val="24"/>
              <w:szCs w:val="24"/>
            </w:rPr>
            <w:t>6.2 财务盈利能力分析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_Toc21346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_Toc14428 </w:instrText>
          </w:r>
          <w:r>
            <w:rPr>
              <w:rFonts w:hint="eastAsia" w:ascii="宋体" w:hAnsi="宋体" w:eastAsia="宋体" w:cs="宋体"/>
              <w:sz w:val="24"/>
              <w:szCs w:val="24"/>
            </w:rPr>
            <w:fldChar w:fldCharType="separate"/>
          </w:r>
          <w:r>
            <w:rPr>
              <w:rFonts w:hint="eastAsia" w:ascii="宋体" w:hAnsi="宋体" w:eastAsia="宋体" w:cs="宋体"/>
              <w:bCs/>
              <w:sz w:val="24"/>
              <w:szCs w:val="24"/>
            </w:rPr>
            <w:t>6.3 资金投入计划和筹措方案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_Toc14428 \h </w:instrText>
          </w:r>
          <w:r>
            <w:rPr>
              <w:rFonts w:hint="eastAsia" w:ascii="宋体" w:hAnsi="宋体" w:eastAsia="宋体" w:cs="宋体"/>
              <w:sz w:val="24"/>
              <w:szCs w:val="24"/>
            </w:rPr>
            <w:fldChar w:fldCharType="separate"/>
          </w:r>
          <w:r>
            <w:rPr>
              <w:rFonts w:hint="eastAsia" w:ascii="宋体" w:hAnsi="宋体" w:eastAsia="宋体" w:cs="宋体"/>
              <w:sz w:val="24"/>
              <w:szCs w:val="24"/>
            </w:rPr>
            <w:t>109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_Toc20110 </w:instrText>
          </w:r>
          <w:r>
            <w:rPr>
              <w:rFonts w:hint="eastAsia" w:ascii="宋体" w:hAnsi="宋体" w:eastAsia="宋体" w:cs="宋体"/>
              <w:sz w:val="24"/>
              <w:szCs w:val="24"/>
            </w:rPr>
            <w:fldChar w:fldCharType="separate"/>
          </w:r>
          <w:r>
            <w:rPr>
              <w:rFonts w:hint="eastAsia" w:ascii="宋体" w:hAnsi="宋体" w:eastAsia="宋体" w:cs="宋体"/>
              <w:bCs/>
              <w:sz w:val="24"/>
              <w:szCs w:val="24"/>
            </w:rPr>
            <w:t>6.4 债务清偿能力分析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_Toc20110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_Toc26187 </w:instrText>
          </w:r>
          <w:r>
            <w:rPr>
              <w:rFonts w:hint="eastAsia" w:ascii="宋体" w:hAnsi="宋体" w:eastAsia="宋体" w:cs="宋体"/>
              <w:sz w:val="24"/>
              <w:szCs w:val="24"/>
            </w:rPr>
            <w:fldChar w:fldCharType="separate"/>
          </w:r>
          <w:r>
            <w:rPr>
              <w:rFonts w:hint="eastAsia" w:ascii="宋体" w:hAnsi="宋体" w:eastAsia="宋体" w:cs="宋体"/>
              <w:bCs/>
              <w:sz w:val="24"/>
              <w:szCs w:val="24"/>
            </w:rPr>
            <w:t>6.5 财务可持续性分析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_Toc26187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_Toc21255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第七章 项目影响效果分析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_Toc21255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_Toc26664 </w:instrText>
          </w:r>
          <w:r>
            <w:rPr>
              <w:rFonts w:hint="eastAsia" w:ascii="宋体" w:hAnsi="宋体" w:eastAsia="宋体" w:cs="宋体"/>
              <w:sz w:val="24"/>
              <w:szCs w:val="24"/>
            </w:rPr>
            <w:fldChar w:fldCharType="separate"/>
          </w:r>
          <w:r>
            <w:rPr>
              <w:rFonts w:hint="eastAsia" w:ascii="宋体" w:hAnsi="宋体" w:eastAsia="宋体" w:cs="宋体"/>
              <w:bCs/>
              <w:sz w:val="24"/>
              <w:szCs w:val="24"/>
            </w:rPr>
            <w:t>7.1 经济影响分析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_Toc26664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_Toc28986 </w:instrText>
          </w:r>
          <w:r>
            <w:rPr>
              <w:rFonts w:hint="eastAsia" w:ascii="宋体" w:hAnsi="宋体" w:eastAsia="宋体" w:cs="宋体"/>
              <w:sz w:val="24"/>
              <w:szCs w:val="24"/>
            </w:rPr>
            <w:fldChar w:fldCharType="separate"/>
          </w:r>
          <w:r>
            <w:rPr>
              <w:rFonts w:hint="eastAsia" w:ascii="宋体" w:hAnsi="宋体" w:eastAsia="宋体" w:cs="宋体"/>
              <w:bCs/>
              <w:sz w:val="24"/>
              <w:szCs w:val="24"/>
            </w:rPr>
            <w:t>7.2 社会影响分析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_Toc28986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_Toc11607 </w:instrText>
          </w:r>
          <w:r>
            <w:rPr>
              <w:rFonts w:hint="eastAsia" w:ascii="宋体" w:hAnsi="宋体" w:eastAsia="宋体" w:cs="宋体"/>
              <w:sz w:val="24"/>
              <w:szCs w:val="24"/>
            </w:rPr>
            <w:fldChar w:fldCharType="separate"/>
          </w:r>
          <w:r>
            <w:rPr>
              <w:rFonts w:hint="eastAsia" w:ascii="宋体" w:hAnsi="宋体" w:eastAsia="宋体" w:cs="宋体"/>
              <w:bCs/>
              <w:sz w:val="24"/>
              <w:szCs w:val="24"/>
            </w:rPr>
            <w:t>7.3 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_Toc11607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_Toc8439 </w:instrText>
          </w:r>
          <w:r>
            <w:rPr>
              <w:rFonts w:hint="eastAsia" w:ascii="宋体" w:hAnsi="宋体" w:eastAsia="宋体" w:cs="宋体"/>
              <w:sz w:val="24"/>
              <w:szCs w:val="24"/>
            </w:rPr>
            <w:fldChar w:fldCharType="separate"/>
          </w:r>
          <w:r>
            <w:rPr>
              <w:rFonts w:hint="eastAsia" w:ascii="宋体" w:hAnsi="宋体" w:eastAsia="宋体" w:cs="宋体"/>
              <w:bCs/>
              <w:sz w:val="24"/>
              <w:szCs w:val="24"/>
            </w:rPr>
            <w:t>7.4 资源和能源利用效果分析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_Toc8439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_Toc1119 </w:instrText>
          </w:r>
          <w:r>
            <w:rPr>
              <w:rFonts w:hint="eastAsia" w:ascii="宋体" w:hAnsi="宋体" w:eastAsia="宋体" w:cs="宋体"/>
              <w:sz w:val="24"/>
              <w:szCs w:val="24"/>
            </w:rPr>
            <w:fldChar w:fldCharType="separate"/>
          </w:r>
          <w:r>
            <w:rPr>
              <w:rFonts w:hint="eastAsia" w:ascii="宋体" w:hAnsi="宋体" w:eastAsia="宋体" w:cs="宋体"/>
              <w:bCs/>
              <w:sz w:val="24"/>
              <w:szCs w:val="24"/>
            </w:rPr>
            <w:t>7.5 碳达峰碳中和分析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_Toc1119 \h </w:instrText>
          </w:r>
          <w:r>
            <w:rPr>
              <w:rFonts w:hint="eastAsia" w:ascii="宋体" w:hAnsi="宋体" w:eastAsia="宋体" w:cs="宋体"/>
              <w:sz w:val="24"/>
              <w:szCs w:val="24"/>
            </w:rPr>
            <w:fldChar w:fldCharType="separate"/>
          </w:r>
          <w:r>
            <w:rPr>
              <w:rFonts w:hint="eastAsia" w:ascii="宋体" w:hAnsi="宋体" w:eastAsia="宋体" w:cs="宋体"/>
              <w:sz w:val="24"/>
              <w:szCs w:val="24"/>
            </w:rPr>
            <w:t>127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_Toc15550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第八章 项目风险管控方案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_Toc15550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_Toc21389 </w:instrText>
          </w:r>
          <w:r>
            <w:rPr>
              <w:rFonts w:hint="eastAsia" w:ascii="宋体" w:hAnsi="宋体" w:eastAsia="宋体" w:cs="宋体"/>
              <w:sz w:val="24"/>
              <w:szCs w:val="24"/>
            </w:rPr>
            <w:fldChar w:fldCharType="separate"/>
          </w:r>
          <w:r>
            <w:rPr>
              <w:rFonts w:hint="eastAsia" w:ascii="宋体" w:hAnsi="宋体" w:eastAsia="宋体" w:cs="宋体"/>
              <w:bCs/>
              <w:sz w:val="24"/>
              <w:szCs w:val="24"/>
            </w:rPr>
            <w:t>8.1 风险识别与评价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_Toc21389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_Toc22602 </w:instrText>
          </w:r>
          <w:r>
            <w:rPr>
              <w:rFonts w:hint="eastAsia" w:ascii="宋体" w:hAnsi="宋体" w:eastAsia="宋体" w:cs="宋体"/>
              <w:sz w:val="24"/>
              <w:szCs w:val="24"/>
            </w:rPr>
            <w:fldChar w:fldCharType="separate"/>
          </w:r>
          <w:r>
            <w:rPr>
              <w:rFonts w:hint="eastAsia" w:ascii="宋体" w:hAnsi="宋体" w:eastAsia="宋体" w:cs="宋体"/>
              <w:bCs/>
              <w:sz w:val="24"/>
              <w:szCs w:val="24"/>
            </w:rPr>
            <w:t>8.2 风险评估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_Toc22602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_Toc5068 </w:instrText>
          </w:r>
          <w:r>
            <w:rPr>
              <w:rFonts w:hint="eastAsia" w:ascii="宋体" w:hAnsi="宋体" w:eastAsia="宋体" w:cs="宋体"/>
              <w:sz w:val="24"/>
              <w:szCs w:val="24"/>
            </w:rPr>
            <w:fldChar w:fldCharType="separate"/>
          </w:r>
          <w:r>
            <w:rPr>
              <w:rFonts w:hint="eastAsia" w:ascii="宋体" w:hAnsi="宋体" w:eastAsia="宋体" w:cs="宋体"/>
              <w:bCs/>
              <w:sz w:val="24"/>
              <w:szCs w:val="24"/>
            </w:rPr>
            <w:t>8.3 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_Toc5068 \h </w:instrText>
          </w:r>
          <w:r>
            <w:rPr>
              <w:rFonts w:hint="eastAsia" w:ascii="宋体" w:hAnsi="宋体" w:eastAsia="宋体" w:cs="宋体"/>
              <w:sz w:val="24"/>
              <w:szCs w:val="24"/>
            </w:rPr>
            <w:fldChar w:fldCharType="separate"/>
          </w:r>
          <w:r>
            <w:rPr>
              <w:rFonts w:hint="eastAsia" w:ascii="宋体" w:hAnsi="宋体" w:eastAsia="宋体" w:cs="宋体"/>
              <w:sz w:val="24"/>
              <w:szCs w:val="24"/>
            </w:rPr>
            <w:t>131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_Toc21641 </w:instrText>
          </w:r>
          <w:r>
            <w:rPr>
              <w:rFonts w:hint="eastAsia" w:ascii="宋体" w:hAnsi="宋体" w:eastAsia="宋体" w:cs="宋体"/>
              <w:sz w:val="24"/>
              <w:szCs w:val="24"/>
            </w:rPr>
            <w:fldChar w:fldCharType="separate"/>
          </w:r>
          <w:r>
            <w:rPr>
              <w:rFonts w:hint="eastAsia" w:ascii="宋体" w:hAnsi="宋体" w:eastAsia="宋体" w:cs="宋体"/>
              <w:bCs/>
              <w:sz w:val="24"/>
              <w:szCs w:val="24"/>
            </w:rPr>
            <w:t>8.4 重大风险管控应急预案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_Toc21641 \h </w:instrText>
          </w:r>
          <w:r>
            <w:rPr>
              <w:rFonts w:hint="eastAsia" w:ascii="宋体" w:hAnsi="宋体" w:eastAsia="宋体" w:cs="宋体"/>
              <w:sz w:val="24"/>
              <w:szCs w:val="24"/>
            </w:rPr>
            <w:fldChar w:fldCharType="separate"/>
          </w:r>
          <w:r>
            <w:rPr>
              <w:rFonts w:hint="eastAsia" w:ascii="宋体" w:hAnsi="宋体" w:eastAsia="宋体" w:cs="宋体"/>
              <w:sz w:val="24"/>
              <w:szCs w:val="24"/>
            </w:rPr>
            <w:t>133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_Toc1846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第九章 结论和建议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_Toc1846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_Toc25714 </w:instrText>
          </w:r>
          <w:r>
            <w:rPr>
              <w:rFonts w:hint="eastAsia" w:ascii="宋体" w:hAnsi="宋体" w:eastAsia="宋体" w:cs="宋体"/>
              <w:sz w:val="24"/>
              <w:szCs w:val="24"/>
            </w:rPr>
            <w:fldChar w:fldCharType="separate"/>
          </w:r>
          <w:r>
            <w:rPr>
              <w:rFonts w:hint="eastAsia" w:ascii="宋体" w:hAnsi="宋体" w:eastAsia="宋体" w:cs="宋体"/>
              <w:bCs/>
              <w:sz w:val="24"/>
              <w:szCs w:val="24"/>
            </w:rPr>
            <w:t>9.1 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_Toc25714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_Toc12580 </w:instrText>
          </w:r>
          <w:r>
            <w:rPr>
              <w:rFonts w:hint="eastAsia" w:ascii="宋体" w:hAnsi="宋体" w:eastAsia="宋体" w:cs="宋体"/>
              <w:sz w:val="24"/>
              <w:szCs w:val="24"/>
            </w:rPr>
            <w:fldChar w:fldCharType="separate"/>
          </w:r>
          <w:r>
            <w:rPr>
              <w:rFonts w:hint="eastAsia" w:ascii="宋体" w:hAnsi="宋体" w:eastAsia="宋体" w:cs="宋体"/>
              <w:bCs/>
              <w:sz w:val="24"/>
              <w:szCs w:val="24"/>
            </w:rPr>
            <w:t>9.2 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_Toc12580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_Toc4429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附表1：建设投资估算表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_Toc4429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_Toc967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附表2：固定资产折旧表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_Toc967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_Toc614 \h </w:instrText>
          </w:r>
          <w:r>
            <w:rPr>
              <w:rFonts w:hint="eastAsia" w:ascii="宋体" w:hAnsi="宋体" w:eastAsia="宋体" w:cs="宋体"/>
              <w:sz w:val="24"/>
              <w:szCs w:val="24"/>
            </w:rPr>
            <w:fldChar w:fldCharType="separate"/>
          </w:r>
          <w:r>
            <w:rPr>
              <w:rFonts w:hint="eastAsia" w:ascii="宋体" w:hAnsi="宋体" w:eastAsia="宋体" w:cs="宋体"/>
              <w:sz w:val="24"/>
              <w:szCs w:val="24"/>
            </w:rPr>
            <w:t>143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_Toc6038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附表4：总成本费用表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_Toc6038 \h </w:instrText>
          </w:r>
          <w:r>
            <w:rPr>
              <w:rFonts w:hint="eastAsia" w:ascii="宋体" w:hAnsi="宋体" w:eastAsia="宋体" w:cs="宋体"/>
              <w:sz w:val="24"/>
              <w:szCs w:val="24"/>
            </w:rPr>
            <w:fldChar w:fldCharType="separate"/>
          </w:r>
          <w:r>
            <w:rPr>
              <w:rFonts w:hint="eastAsia" w:ascii="宋体" w:hAnsi="宋体" w:eastAsia="宋体" w:cs="宋体"/>
              <w:sz w:val="24"/>
              <w:szCs w:val="24"/>
            </w:rPr>
            <w:t>147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_Toc11083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附表5：利润及利润分配表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_Toc11083 \h </w:instrText>
          </w:r>
          <w:r>
            <w:rPr>
              <w:rFonts w:hint="eastAsia" w:ascii="宋体" w:hAnsi="宋体" w:eastAsia="宋体" w:cs="宋体"/>
              <w:sz w:val="24"/>
              <w:szCs w:val="24"/>
            </w:rPr>
            <w:fldChar w:fldCharType="separate"/>
          </w:r>
          <w:r>
            <w:rPr>
              <w:rFonts w:hint="eastAsia" w:ascii="宋体" w:hAnsi="宋体" w:eastAsia="宋体" w:cs="宋体"/>
              <w:sz w:val="24"/>
              <w:szCs w:val="24"/>
            </w:rPr>
            <w:t>149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_Toc8976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附表6：项目投资现金流量表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_Toc8976 \h </w:instrText>
          </w:r>
          <w:r>
            <w:rPr>
              <w:rFonts w:hint="eastAsia" w:ascii="宋体" w:hAnsi="宋体" w:eastAsia="宋体" w:cs="宋体"/>
              <w:sz w:val="24"/>
              <w:szCs w:val="24"/>
            </w:rPr>
            <w:fldChar w:fldCharType="separate"/>
          </w:r>
          <w:r>
            <w:rPr>
              <w:rFonts w:hint="eastAsia" w:ascii="宋体" w:hAnsi="宋体" w:eastAsia="宋体" w:cs="宋体"/>
              <w:sz w:val="24"/>
              <w:szCs w:val="24"/>
            </w:rPr>
            <w:t>153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_Toc23809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附表7：还本付息表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_Toc23809 \h </w:instrText>
          </w:r>
          <w:r>
            <w:rPr>
              <w:rFonts w:hint="eastAsia" w:ascii="宋体" w:hAnsi="宋体" w:eastAsia="宋体" w:cs="宋体"/>
              <w:sz w:val="24"/>
              <w:szCs w:val="24"/>
            </w:rPr>
            <w:fldChar w:fldCharType="separate"/>
          </w:r>
          <w:r>
            <w:rPr>
              <w:rFonts w:hint="eastAsia" w:ascii="宋体" w:hAnsi="宋体" w:eastAsia="宋体" w:cs="宋体"/>
              <w:sz w:val="24"/>
              <w:szCs w:val="24"/>
            </w:rPr>
            <w:t>157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false"/>
            <w:keepLines w:val="false"/>
            <w:pageBreakBefore w:val="false"/>
            <w:widowControl/>
            <w:wordWrap/>
            <w:overflowPunct/>
            <w:topLinePunct w:val="false"/>
            <w:bidi w:val="false"/>
            <w:spacing w:line="360" w:lineRule="auto"/>
            <w:rPr>
              <w:b/>
            </w:rPr>
          </w:pPr>
          <w:r>
            <w:rPr>
              <w:rFonts w:hint="eastAsia" w:ascii="宋体" w:hAnsi="宋体" w:eastAsia="宋体" w:cs="宋体"/>
              <w:szCs w:val="24"/>
            </w:rPr>
            <w:fldChar w:fldCharType="end"/>
          </w:r>
        </w:p>
      </w:sdtContent>
    </w:sdt>
    <w:p>
      <w:pPr>
        <w:rPr>
          <w:b/>
        </w:rPr>
      </w:pPr>
    </w:p>
    <w:p>
      <w:pPr>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7" w:name="_Toc19208"/>
      <w:r>
        <w:rPr>
          <w:rFonts w:hint="eastAsia" w:ascii="宋体" w:hAnsi="宋体" w:eastAsia="宋体" w:cs="宋体"/>
          <w:b/>
          <w:bCs/>
          <w:sz w:val="36"/>
          <w:szCs w:val="36"/>
        </w:rPr>
        <w:t>第一章 总论</w:t>
      </w:r>
      <w:bookmarkEnd w:id="4"/>
      <w:bookmarkEnd w:id="5"/>
      <w:bookmarkEnd w:id="6"/>
      <w:bookmarkEnd w:id="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8" w:name="_Toc27673"/>
      <w:bookmarkStart w:id="9" w:name="_Toc15962"/>
      <w:bookmarkStart w:id="10" w:name="_Toc17556"/>
      <w:bookmarkStart w:id="11" w:name="_Toc1387"/>
      <w:bookmarkStart w:id="12" w:name="_Toc18612"/>
      <w:r>
        <w:rPr>
          <w:rFonts w:hint="eastAsia" w:ascii="宋体" w:hAnsi="宋体" w:eastAsia="宋体" w:cs="宋体"/>
          <w:b/>
          <w:bCs/>
          <w:sz w:val="28"/>
          <w:szCs w:val="28"/>
          <w:lang w:val="en-US" w:eastAsia="zh-CN"/>
        </w:rPr>
        <w:t>1.1 项目概况</w:t>
      </w:r>
      <w:bookmarkEnd w:id="8"/>
      <w:bookmarkEnd w:id="9"/>
      <w:bookmarkEnd w:id="10"/>
      <w:bookmarkEnd w:id="11"/>
      <w:bookmarkEnd w:id="1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1.1.1 项目名称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河南大成包装材料有限公司源网荷储一体化项目</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1.1.2 项目建设单位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单位名称：河南中原智慧冷链物流园管理运营有限公司</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1.1.3 建设地点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项目地点位于：新乡市获嘉县</w:t>
      </w:r>
      <w:r>
        <w:rPr>
          <w:rFonts w:ascii="宋体" w:hAnsi="宋体" w:eastAsia="宋体" w:cs="宋体"/>
          <w:i w:val="false"/>
          <w:strike w:val="false"/>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w:t>
      </w:r>
    </w:p>
    <w:p>
      <w:pPr>
        <w:snapToGrid w:val="false"/>
        <w:spacing w:before="157" w:after="157" w:line="360" w:lineRule="auto"/>
        <w:ind w:right="0"/>
        <w:jc w:val="both"/>
        <w:rPr>
          <w:rFonts w:hint="eastAsia" w:eastAsia="宋体"/>
          <w:lang w:eastAsia="zh-CN"/>
        </w:rPr>
      </w:pPr>
      <w:r>
        <w:rPr>
          <w:rFonts w:hint="eastAsia" w:eastAsia="宋体"/>
          <w:lang w:eastAsia="zh-CN"/>
        </w:rPr>
        <w:drawing>
          <wp:inline distT="0" distB="0" distL="114300" distR="114300">
            <wp:extent cx="5264785" cy="2599055"/>
            <wp:effectExtent l="0" t="0" r="8255" b="6985"/>
            <wp:docPr id="8" name="图片 4" descr="项目所在地图"/>
            <wp:cNvGraphicFramePr>
              <a:graphicFrameLocks noChangeAspect="true"/>
            </wp:cNvGraphicFramePr>
            <a:graphic>
              <a:graphicData uri="http://schemas.openxmlformats.org/drawingml/2006/picture">
                <pic:pic>
                  <pic:nvPicPr>
                    <pic:cNvPr id="9" name="图片 4" descr="项目所在地图"/>
                    <pic:cNvPicPr>
                      <a:picLocks noChangeAspect="true"/>
                    </pic:cNvPicPr>
                  </pic:nvPicPr>
                  <pic:blipFill>
                    <a:blip r:embed="rId9"/>
                    <a:stretch>
                      <a:fillRect/>
                    </a:stretch>
                  </pic:blipFill>
                  <pic:spPr>
                    <a:xfrm>
                      <a:off x="0" y="0"/>
                      <a:ext cx="5264785" cy="2599055"/>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1.1.4 建设性质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1.1.5 项目建设内容和规模</w:t>
      </w:r>
    </w:p>
    <w:p>
      <w:pPr>
        <w:snapToGrid/>
        <w:spacing w:before="0" w:after="0" w:line="360" w:lineRule="auto"/>
        <w:ind w:left="0" w:right="0" w:firstLine="560" w:firstLineChars="200"/>
        <w:jc w:val="both"/>
        <w:rPr>
          <w:rFonts w:ascii="宋体" w:hAnsi="宋体" w:eastAsia="宋体" w:cs="宋体"/>
          <w:i w:val="false"/>
          <w:strike w:val="false"/>
          <w:spacing w:val="0"/>
          <w:sz w:val="28"/>
          <w:u w:val="none"/>
        </w:rPr>
      </w:pPr>
    </w:p>
    <w:p>
      <w:pPr>
        <w:snapToGrid/>
        <w:spacing w:before="0" w:after="0" w:line="360" w:lineRule="auto"/>
        <w:ind w:left="0" w:right="0" w:firstLine="560" w:firstLineChars="200"/>
        <w:jc w:val="both"/>
        <w:rPr>
          <w:rFonts w:hint="default" w:ascii="宋体" w:hAnsi="宋体" w:eastAsia="宋体" w:cs="宋体"/>
          <w:i w:val="false"/>
          <w:strike w:val="false"/>
          <w:spacing w:val="0"/>
          <w:sz w:val="28"/>
          <w:u w:val="none"/>
          <w:lang w:val="en-US" w:eastAsia="zh-CN"/>
        </w:rPr>
      </w:pPr>
      <w:r>
        <w:rPr>
          <w:rFonts w:hint="eastAsia" w:ascii="宋体" w:hAnsi="宋体" w:eastAsia="宋体" w:cs="宋体"/>
          <w:i w:val="false"/>
          <w:strike w:val="false"/>
          <w:spacing w:val="0"/>
          <w:sz w:val="28"/>
          <w:u w:val="none"/>
          <w:lang w:val="en-US" w:eastAsia="zh-CN"/>
        </w:rPr>
        <w:t>1、建设内容及规模</w:t>
      </w:r>
    </w:p>
    <w:p>
      <w:pPr>
        <w:snapToGrid/>
        <w:spacing w:before="0" w:after="0" w:line="360" w:lineRule="auto"/>
        <w:ind w:left="0" w:right="0" w:firstLine="560" w:firstLineChars="200"/>
        <w:jc w:val="both"/>
        <w:rPr>
          <w:rFonts w:hint="eastAsia" w:ascii="宋体" w:hAnsi="宋体" w:eastAsia="宋体" w:cs="宋体"/>
          <w:snapToGrid/>
          <w:color w:val="000000"/>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false"/>
          <w:strike w:val="false"/>
          <w:spacing w:val="0"/>
          <w:sz w:val="28"/>
          <w:u w:val="none"/>
        </w:rPr>
        <w:t>园区内工业厂房屋顶部署</w:t>
      </w:r>
      <w:r>
        <w:rPr>
          <w:rFonts w:hint="eastAsia" w:ascii="宋体" w:hAnsi="宋体" w:eastAsia="宋体" w:cs="宋体"/>
          <w:i w:val="false"/>
          <w:strike w:val="false"/>
          <w:spacing w:val="0"/>
          <w:sz w:val="28"/>
          <w:u w:val="none"/>
          <w:lang w:val="en-US" w:eastAsia="zh-CN"/>
        </w:rPr>
        <w:t>5956</w:t>
      </w:r>
      <w:r>
        <w:rPr>
          <w:rFonts w:ascii="宋体" w:hAnsi="宋体" w:eastAsia="宋体" w:cs="宋体"/>
          <w:i w:val="false"/>
          <w:strike w:val="false"/>
          <w:spacing w:val="0"/>
          <w:sz w:val="28"/>
          <w:u w:val="none"/>
        </w:rPr>
        <w:t>KW的分布式光伏发电系统，并配套安装用户侧储能设施，总规模达到</w:t>
      </w:r>
      <w:r>
        <w:rPr>
          <w:rFonts w:hint="eastAsia" w:ascii="宋体" w:hAnsi="宋体" w:eastAsia="宋体" w:cs="宋体"/>
          <w:i w:val="false"/>
          <w:strike w:val="false"/>
          <w:spacing w:val="0"/>
          <w:sz w:val="28"/>
          <w:u w:val="none"/>
          <w:lang w:val="en-US" w:eastAsia="zh-CN"/>
        </w:rPr>
        <w:t>20</w:t>
      </w:r>
      <w:r>
        <w:rPr>
          <w:rFonts w:ascii="宋体" w:hAnsi="宋体" w:eastAsia="宋体" w:cs="宋体"/>
          <w:i w:val="false"/>
          <w:strike w:val="false"/>
          <w:spacing w:val="0"/>
          <w:sz w:val="28"/>
          <w:u w:val="none"/>
        </w:rPr>
        <w:t>MW/</w:t>
      </w:r>
      <w:r>
        <w:rPr>
          <w:rFonts w:hint="eastAsia" w:ascii="宋体" w:hAnsi="宋体" w:eastAsia="宋体" w:cs="宋体"/>
          <w:i w:val="false"/>
          <w:strike w:val="false"/>
          <w:spacing w:val="0"/>
          <w:sz w:val="28"/>
          <w:u w:val="none"/>
          <w:lang w:val="en-US" w:eastAsia="zh-CN"/>
        </w:rPr>
        <w:t>40</w:t>
      </w:r>
      <w:r>
        <w:rPr>
          <w:rFonts w:ascii="宋体" w:hAnsi="宋体" w:eastAsia="宋体" w:cs="宋体"/>
          <w:i w:val="false"/>
          <w:strike w:val="false"/>
          <w:spacing w:val="0"/>
          <w:sz w:val="28"/>
          <w:u w:val="none"/>
        </w:rPr>
        <w:t>MWh。此外，项目规划安装</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个光伏充电桩，并同步实施园区其他相关配套工程。通过源网荷储一体化方案，项目所产出的新能源电力将直供给</w:t>
      </w:r>
      <w:r>
        <w:rPr>
          <w:rFonts w:hint="eastAsia" w:ascii="宋体" w:hAnsi="宋体" w:eastAsia="宋体" w:cs="宋体"/>
          <w:i w:val="false"/>
          <w:strike w:val="false"/>
          <w:spacing w:val="0"/>
          <w:sz w:val="28"/>
          <w:u w:val="none"/>
          <w:lang w:val="en-US" w:eastAsia="zh-CN"/>
        </w:rPr>
        <w:t>大成包装</w:t>
      </w:r>
      <w:r>
        <w:rPr>
          <w:rFonts w:ascii="宋体" w:hAnsi="宋体" w:eastAsia="宋体" w:cs="宋体"/>
          <w:i w:val="false"/>
          <w:strike w:val="false"/>
          <w:spacing w:val="0"/>
          <w:sz w:val="28"/>
          <w:u w:val="none"/>
        </w:rPr>
        <w:t>使用</w:t>
      </w:r>
      <w:r>
        <w:rPr>
          <w:rFonts w:hint="eastAsia" w:ascii="宋体" w:hAnsi="宋体" w:eastAsia="宋体" w:cs="宋体"/>
          <w:snapToGrid/>
          <w:color w:val="000000"/>
          <w:spacing w:val="0"/>
          <w:w w:val="100"/>
          <w:kern w:val="2"/>
          <w:position w:val="0"/>
          <w:sz w:val="28"/>
          <w:szCs w:val="28"/>
          <w:lang w:val="en-US" w:eastAsia="zh-CN" w:bidi="zh-CN"/>
        </w:rPr>
        <w:t>。</w:t>
      </w:r>
    </w:p>
    <w:p>
      <w:pPr>
        <w:snapToGrid/>
        <w:spacing w:before="0" w:after="0" w:line="360" w:lineRule="auto"/>
        <w:ind w:left="0" w:right="0" w:firstLine="560" w:firstLineChars="200"/>
        <w:jc w:val="both"/>
        <w:rPr>
          <w:rFonts w:hint="default" w:ascii="宋体" w:hAnsi="宋体" w:eastAsia="宋体" w:cs="宋体"/>
          <w:i w:val="false"/>
          <w:strike w:val="false"/>
          <w:color w:val="000000"/>
          <w:spacing w:val="0"/>
          <w:sz w:val="28"/>
          <w:u w:val="none"/>
          <w:lang w:val="en-US" w:eastAsia="zh-CN"/>
        </w:rPr>
      </w:pPr>
      <w:r>
        <w:rPr>
          <w:rFonts w:hint="eastAsia" w:ascii="宋体" w:hAnsi="宋体" w:eastAsia="宋体" w:cs="宋体"/>
          <w:i w:val="false"/>
          <w:strike w:val="false"/>
          <w:color w:val="000000"/>
          <w:spacing w:val="0"/>
          <w:sz w:val="28"/>
          <w:u w:val="none"/>
          <w:lang w:val="en-US" w:eastAsia="zh-CN"/>
        </w:rPr>
        <w:t>2、光伏储能设备占用面积</w:t>
      </w:r>
    </w:p>
    <w:p>
      <w:pPr>
        <w:snapToGrid/>
        <w:spacing w:before="0" w:after="0" w:line="360" w:lineRule="auto"/>
        <w:ind w:left="0" w:right="0" w:firstLine="560" w:firstLineChars="200"/>
        <w:jc w:val="both"/>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项目规划利用获嘉县产业集聚区中小企业创业孵化园项目屋顶面积为31530.09㎡，园区内可使用道路区域面积为12267.68㎡，合计可使用面积为42807.95㎡。</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建设参数表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541"/>
        <w:gridCol w:w="1419"/>
        <w:gridCol w:w="1504"/>
        <w:gridCol w:w="1956"/>
      </w:tblGrid>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i w:val="false"/>
                <w:strike w:val="false"/>
                <w:color w:val="000000"/>
                <w:spacing w:val="0"/>
                <w:sz w:val="21"/>
                <w:szCs w:val="21"/>
                <w:u w:val="none"/>
                <w:vertAlign w:val="baseline"/>
              </w:rPr>
              <w:t>序号</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i w:val="false"/>
                <w:strike w:val="false"/>
                <w:color w:val="000000"/>
                <w:spacing w:val="0"/>
                <w:sz w:val="21"/>
                <w:szCs w:val="21"/>
                <w:u w:val="none"/>
                <w:vertAlign w:val="baseline"/>
              </w:rPr>
              <w:t>名称</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单位</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数量</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备注</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1</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sz w:val="21"/>
                <w:szCs w:val="21"/>
              </w:rPr>
              <w:t>光伏发电设备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KW</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595</w:t>
            </w:r>
            <w:r>
              <w:rPr>
                <w:rFonts w:hint="eastAsia" w:ascii="宋体" w:hAnsi="宋体" w:eastAsia="宋体" w:cs="宋体"/>
                <w:i w:val="false"/>
                <w:strike w:val="false"/>
                <w:color w:val="000000"/>
                <w:spacing w:val="0"/>
                <w:sz w:val="21"/>
                <w:szCs w:val="21"/>
                <w:u w:val="none"/>
                <w:vertAlign w:val="baseline"/>
                <w:lang w:val="en-US" w:eastAsia="zh-CN"/>
              </w:rPr>
              <w:t>6</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2</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储能设备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MW/MWh</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20/40</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包含3MW储能换电模块</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3</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占用工业厂房屋顶面积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rPr>
              <w:t>31530.09</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每MW占用屋顶面积约7000</w:t>
            </w:r>
            <w:r>
              <w:rPr>
                <w:rFonts w:ascii="宋体" w:hAnsi="宋体" w:eastAsia="宋体" w:cs="宋体"/>
                <w:i w:val="false"/>
                <w:strike w:val="false"/>
                <w:color w:val="000000"/>
                <w:spacing w:val="0"/>
                <w:sz w:val="21"/>
                <w:szCs w:val="21"/>
                <w:u w:val="none"/>
                <w:vertAlign w:val="baseline"/>
              </w:rPr>
              <w:t>㎡</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4</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可使用</w:t>
            </w:r>
            <w:r>
              <w:rPr>
                <w:rFonts w:hint="eastAsia" w:ascii="宋体" w:hAnsi="宋体" w:eastAsia="宋体" w:cs="宋体"/>
                <w:color w:val="000000"/>
                <w:sz w:val="21"/>
                <w:szCs w:val="21"/>
                <w:lang w:val="en-US" w:eastAsia="zh-CN"/>
              </w:rPr>
              <w:t>道路</w:t>
            </w:r>
            <w:r>
              <w:rPr>
                <w:rFonts w:ascii="宋体" w:hAnsi="宋体" w:eastAsia="宋体" w:cs="宋体"/>
                <w:color w:val="000000"/>
                <w:sz w:val="21"/>
                <w:szCs w:val="21"/>
              </w:rPr>
              <w:t>区域占用面积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rPr>
              <w:t>12267.68</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每MW占用空闲区域面积约7000</w:t>
            </w:r>
            <w:r>
              <w:rPr>
                <w:rFonts w:ascii="宋体" w:hAnsi="宋体" w:eastAsia="宋体" w:cs="宋体"/>
                <w:i w:val="false"/>
                <w:strike w:val="false"/>
                <w:color w:val="000000"/>
                <w:spacing w:val="0"/>
                <w:sz w:val="21"/>
                <w:szCs w:val="21"/>
                <w:u w:val="none"/>
                <w:vertAlign w:val="baseline"/>
              </w:rPr>
              <w:t>㎡</w:t>
            </w: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1.1.6 建设工期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本项目建设期为0.5年（含建设期准备工作），计划2025年8月开工，预计2026年2月竣工。其中，建设期第0.5年开始运营。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1.1.7 投资规模和资金来源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项目投资构成如下表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项目投资构成一览表</w:t>
      </w:r>
    </w:p>
    <w:tbl>
      <w:tblPr>
        <w:tblStyle w:val="000016"/>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trPr>
          <w:trHeight w:val="618" w:hRule="atLeast"/>
          <w:tblHeader/>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工程或费用名称</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投资额</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比例（%）</w:t>
            </w:r>
          </w:p>
        </w:tc>
      </w:tr>
      <w:tr>
        <w:trPr>
          <w:trHeight w:val="504"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7902.57</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90.13</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1708.65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19.48%</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5099.70</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58.16%</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1094.22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12.48%</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工程建设其他费用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372.52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4.25</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三</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预备费</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413.75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4.72</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四</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0.90</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五</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固定资产投资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r>
        <w:trPr>
          <w:trHeight w:val="476"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六</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项目总投资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项目定性</w:t>
      </w:r>
    </w:p>
    <w:p>
      <w:pPr>
        <w:snapToGrid/>
        <w:spacing w:line="240" w:lineRule="auto"/>
        <w:ind w:firstLineChars="200"/>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本项目精准定位为新能源源网荷储一体化标杆项目，为河南大成包装材料有限公司定制绿色电力能源服务方案。</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成立于2016年，前身为成立于2005年的新乡市大成线材有限公司。地处中原大地的获嘉县域，公司依托多年来在研发、供应链、销售、服务等方面的技术沉淀与资源积累，通过不断的技术与产品创新，自创办初期20余人发展至今已达全员500余人。经过16年的行业生产经验，自行研制出多条环保、高效、节能的镀锌/镀铜产线，月产销产品12000吨，服务着国内几十家大型企业和上百家中小企业，产品畅销国内各地，产品已通过第三方SGS、RoHS检测认证。广受客户好评。公司用电量稳定，为生产筑牢根基。未来5-10年，面对行业更高要求，凭借多方面优势，公司将持续创新，拓展市场，有望在行业中不断进阶，发展潜力巨大。</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是获嘉县全域微电网（虚拟电厂）的一期工程，项目在满足大成包装用电的基础上，通过绿电专线、光伏车棚、充电桩、非机动车换电（兼储能）、商务用车换电（兼储能）等业态，为其他园区光伏开发、微电网（虚拟电厂）、冷链等后期业态准备条件。</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 xml:space="preserve"> 项目运营模式</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河南大成包装材料有限公司源网荷储一体化项目</w:t>
      </w:r>
      <w:r>
        <w:rPr>
          <w:rFonts w:ascii="宋体" w:hAnsi="宋体" w:eastAsia="宋体" w:cs="宋体"/>
          <w:i w:val="false"/>
          <w:strike w:val="false"/>
          <w:color w:val="000000"/>
          <w:spacing w:val="0"/>
          <w:sz w:val="28"/>
          <w:u w:val="none"/>
        </w:rPr>
        <w:t>，由</w:t>
      </w:r>
      <w:r>
        <w:rPr>
          <w:rFonts w:hint="eastAsia" w:ascii="宋体" w:hAnsi="宋体" w:eastAsia="宋体" w:cs="宋体"/>
          <w:i w:val="false"/>
          <w:strike w:val="false"/>
          <w:color w:val="000000"/>
          <w:spacing w:val="0"/>
          <w:sz w:val="28"/>
          <w:u w:val="none"/>
        </w:rPr>
        <w:t>河南中原智慧冷链物流园管理运营有限公司</w:t>
      </w:r>
      <w:r>
        <w:rPr>
          <w:rFonts w:ascii="宋体" w:hAnsi="宋体" w:eastAsia="宋体" w:cs="宋体"/>
          <w:i w:val="false"/>
          <w:strike w:val="false"/>
          <w:color w:val="000000"/>
          <w:spacing w:val="0"/>
          <w:sz w:val="28"/>
          <w:u w:val="none"/>
        </w:rPr>
        <w:t>全面负责其资金筹措、建设实施及日常运营。该项目创新性地整合光伏发电、储能调峰与用电需求，实现按需直供新能源绿色电力，打破了传统“隔墙售电”限制。此运营模式不仅为园内及外部企业提供安全、稳定、环保且成本效益高的电力解决方案，助力企业成本控制与转型升级</w:t>
      </w:r>
      <w:r>
        <w:rPr>
          <w:rFonts w:hint="eastAsia" w:ascii="宋体" w:hAnsi="宋体" w:eastAsia="宋体" w:cs="宋体"/>
          <w:i w:val="false"/>
          <w:strike w:val="false"/>
          <w:color w:val="000000"/>
          <w:spacing w:val="0"/>
          <w:sz w:val="28"/>
          <w:u w:val="none"/>
        </w:rPr>
        <w:t>，</w:t>
      </w:r>
      <w:r>
        <w:rPr>
          <w:rFonts w:ascii="宋体" w:hAnsi="宋体" w:eastAsia="宋体" w:cs="宋体"/>
          <w:i w:val="false"/>
          <w:strike w:val="false"/>
          <w:color w:val="000000"/>
          <w:spacing w:val="0"/>
          <w:sz w:val="28"/>
          <w:u w:val="none"/>
        </w:rPr>
        <w:t>还积极促进了我国“双碳”目标的实现，展现了显著的环保与经济效益</w:t>
      </w:r>
      <w:r>
        <w:rPr>
          <w:rFonts w:hint="eastAsia" w:ascii="宋体" w:hAnsi="宋体" w:eastAsia="宋体" w:cs="宋体"/>
          <w:snapToGrid/>
          <w:color w:val="000000"/>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10</w:t>
      </w:r>
      <w:r>
        <w:rPr>
          <w:rFonts w:hint="eastAsia" w:ascii="宋体" w:hAnsi="宋体" w:eastAsia="宋体" w:cs="宋体"/>
          <w:b/>
          <w:bCs/>
          <w:sz w:val="28"/>
          <w:szCs w:val="28"/>
        </w:rPr>
        <w:t xml:space="preserve"> 主要经济技术指标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主要经济技术指标一览表如下所示：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bookmarkStart w:id="13" w:name="_Toc21351"/>
      <w:r>
        <w:rPr>
          <w:rFonts w:hint="eastAsia" w:ascii="宋体" w:hAnsi="宋体" w:eastAsia="宋体" w:cs="宋体"/>
          <w:b/>
          <w:bCs/>
          <w:sz w:val="28"/>
          <w:szCs w:val="28"/>
        </w:rPr>
        <w:t>主要经济技术指标一览表</w:t>
      </w:r>
      <w:bookmarkEnd w:id="13"/>
    </w:p>
    <w:tbl>
      <w:tblPr>
        <w:tblStyle w:val="000016"/>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35"/>
        <w:gridCol w:w="1290"/>
      </w:tblGrid>
      <w:tr>
        <w:trPr>
          <w:trHeight w:val="533" w:hRule="atLeast"/>
          <w:tblHeader/>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8767.59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8688.84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78.75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1196.12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681.14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549.04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103.31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156.02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514.98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14.68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353.47</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146.83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2151.65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11.26</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2920.30</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投资利税率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14.99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50.92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4" w:name="_Toc31455"/>
      <w:bookmarkStart w:id="15" w:name="_Toc1371"/>
      <w:bookmarkStart w:id="16" w:name="_Toc6245"/>
      <w:r>
        <w:rPr>
          <w:rFonts w:hint="eastAsia" w:ascii="宋体" w:hAnsi="宋体" w:eastAsia="宋体" w:cs="宋体"/>
          <w:b/>
          <w:bCs/>
          <w:sz w:val="28"/>
          <w:szCs w:val="28"/>
          <w:lang w:val="en-US" w:eastAsia="zh-CN"/>
        </w:rPr>
        <w:t>1.2 企业及实际控制人概况</w:t>
      </w:r>
      <w:bookmarkEnd w:id="14"/>
      <w:bookmarkEnd w:id="15"/>
      <w:bookmarkEnd w:id="1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单位为河南中原智慧冷链物流园管理运营有限公司，成立于2021年12月2日，注册资本金为人民币100万元，法定代表人为马金全，注册地址为河南省新乡市获嘉县产业集聚区416室。经营范围：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体的唯一股东为获嘉县产业集聚区运营发展服务有限公司，成立于2020年8月7日，注册资金为人民币300万元，法定代表人高本祯，注册地：河南省获嘉县城关镇产业集聚区四楼405号。经营范围：一般项目：物业管理；房地产评估；房地产经纪；房地产咨询；住房租赁；非居住房地产租赁；建筑材料销售；铁路运输辅助活动；陆路国际货物运输代理；停车场服务；机械设备租赁；运输设备租赁服务；仓储设备租赁服务；单位后勤管理服务；企业管理；公共事业管理服务；园区管理服务；供应链管理服务；法律咨询（不包括律师事务所业务）；信息咨询服务（不含许可类信息咨询服务）；环保咨询服务；企业管理咨询；劳务服务（不含劳务派遣）；市政设施管理；城市绿化管理；建筑物清洁服务；专业保洁、清洗、消毒服务（除依法须经批准的项目外，凭营业执照依法自主开展经营活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7" w:name="_Toc4195"/>
      <w:bookmarkStart w:id="18" w:name="_Toc20656"/>
      <w:bookmarkStart w:id="19" w:name="_Toc24935"/>
      <w:bookmarkStart w:id="20" w:name="_Toc29965"/>
      <w:r>
        <w:rPr>
          <w:rFonts w:hint="eastAsia" w:ascii="宋体" w:hAnsi="宋体" w:eastAsia="宋体" w:cs="宋体"/>
          <w:b/>
          <w:bCs/>
          <w:sz w:val="28"/>
          <w:szCs w:val="28"/>
          <w:lang w:val="en-US" w:eastAsia="zh-CN"/>
        </w:rPr>
        <w:t>1.3 编制依据</w:t>
      </w:r>
      <w:bookmarkEnd w:id="17"/>
      <w:bookmarkEnd w:id="18"/>
      <w:bookmarkEnd w:id="19"/>
      <w:bookmarkEnd w:id="2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在可行性研究中作为依据的法规、文件、资料、要列出名称、来源、发布日期。并将其中必要的部分全文附后，作为可行性研究报告的附件，这些法规、文件、资料大致可分为四个部分：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项目主管部门对项目的建设要求所下达的指令性文件；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对项目承办单位或可行性研究单位的请示报告的批复文件。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可行性研究开始前已经形成的工作成果及文件。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根据项目需要进行调查和收集的设计基础资料。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《中华人民共和国国民经济和社会发展“十四五”规划纲要》;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《国家战略性新兴产业“十四五”发展规划》;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《国家产业结构调整指导目录(2011年本)》;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《建设项目经济评价方法与参数及使用手册》(第三版);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《工业可行性研究编制手册》;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《现代财务会计》;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《工业投资项目评价与决策》;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项目公司提供的发展规划、有关资料及相关数据;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国家公布的相关设备及施工标准。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《公共建筑节能设计标准》（GB50189-2005）；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新乡市区各项规划资料；新乡市现场调研资料；相关的地质、水文、燃料、供电、供水等资料；新乡市水、电、天然气等基本耗材价格资料；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国家及地方相关的法律、法规、条例、标准规范等文件。</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21" w:name="_Toc1907"/>
      <w:bookmarkStart w:id="22" w:name="_Toc17379"/>
      <w:bookmarkStart w:id="23" w:name="_Toc21802"/>
      <w:r>
        <w:rPr>
          <w:rFonts w:hint="eastAsia" w:ascii="宋体" w:hAnsi="宋体" w:eastAsia="宋体" w:cs="宋体"/>
          <w:b/>
          <w:bCs/>
          <w:sz w:val="28"/>
          <w:szCs w:val="28"/>
          <w:lang w:val="en-US" w:eastAsia="zh-CN"/>
        </w:rPr>
        <w:t>1.4 研究范围</w:t>
      </w:r>
      <w:bookmarkEnd w:id="21"/>
      <w:bookmarkEnd w:id="22"/>
      <w:bookmarkEnd w:id="23"/>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国家对可行性研究报告工作范围和深度的规定，本报告对项目项目建设背景、需求分析及产出方案、项目选址与建设条件、建设规模及内容、项目建设方案、公用工程、绿色建筑、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24" w:name="_Toc5471"/>
      <w:bookmarkStart w:id="25" w:name="_Toc13922"/>
      <w:bookmarkStart w:id="26" w:name="_Toc6849"/>
      <w:bookmarkStart w:id="27" w:name="_Toc12322"/>
      <w:r>
        <w:rPr>
          <w:rFonts w:hint="eastAsia" w:ascii="宋体" w:hAnsi="宋体" w:eastAsia="宋体" w:cs="宋体"/>
          <w:b/>
          <w:bCs/>
          <w:sz w:val="28"/>
          <w:szCs w:val="28"/>
          <w:lang w:val="en-US" w:eastAsia="zh-CN"/>
        </w:rPr>
        <w:t>1.5 结论及建议</w:t>
      </w:r>
      <w:bookmarkEnd w:id="24"/>
      <w:bookmarkEnd w:id="25"/>
      <w:bookmarkEnd w:id="26"/>
      <w:bookmarkEnd w:id="2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1.5.1 结论</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本项目的建设，可以充分合理的利用园区内工业厂房屋顶面积进行开发利用光能资源，满足能源可持续发展的需要；可以促进地区国民经济的可持续发展；可以加快能源电力结构调整；同时改善生态、保护环境；本工程的兴建不仅能减少对电网电力的消耗，减轻当地电网的压力，使用绿色能源，起到节约传统能源的作用，有助于提升企业形象。</w:t>
      </w:r>
    </w:p>
    <w:p>
      <w:pPr>
        <w:pBdr>
          <w:bottom w:val="none" w:color="auto" w:sz="0" w:space="0"/>
        </w:pBd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color w:val="000000"/>
          <w:sz w:val="28"/>
          <w:u w:val="none"/>
        </w:rPr>
        <w:t>经过以上分析，可知本项目在接入、技术、经济、节能减排指标方面是可行的，项目具备建设条件</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1.5.2 建议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为保证本项目能够顺利、稳妥的建设和发展，应注意以下几个方面：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1、应积极筹措建设资金，保证项目顺利建设，强化项目进程中的投资、质量、进度计划，注重对可能发生的不利条件及变化因素的预测与防范对策，以保证项目按期完成。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2、建议政府出台相关政策，对源网荷储一体化项目给予财政补贴、税收优惠等支持措施；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3、加强对当地企业的宣传教育，提高企业对新能源电力的认知度和接受度，促进社会各界的参与和支持；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28" w:name="_Toc2447"/>
      <w:bookmarkStart w:id="29" w:name="_Toc1140"/>
      <w:r>
        <w:rPr>
          <w:rFonts w:hint="eastAsia" w:ascii="宋体" w:hAnsi="宋体" w:eastAsia="宋体" w:cs="宋体"/>
          <w:b/>
          <w:bCs/>
          <w:sz w:val="36"/>
          <w:szCs w:val="36"/>
        </w:rPr>
        <w:t>第二章 项目建设背景及必要性</w:t>
      </w:r>
      <w:bookmarkEnd w:id="28"/>
      <w:bookmarkEnd w:id="2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0" w:name="_Toc5056"/>
      <w:bookmarkStart w:id="31" w:name="_Toc29717"/>
      <w:r>
        <w:rPr>
          <w:rFonts w:hint="eastAsia" w:ascii="宋体" w:hAnsi="宋体" w:eastAsia="宋体" w:cs="宋体"/>
          <w:b/>
          <w:bCs/>
          <w:sz w:val="28"/>
          <w:szCs w:val="28"/>
        </w:rPr>
        <w:t>2.1 规划政策符合性</w:t>
      </w:r>
      <w:bookmarkEnd w:id="30"/>
      <w:bookmarkEnd w:id="3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 项目建设背景和前期工作进展情况</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2.1.1.1 项目建设背景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气候变化问题的日益严峻，全球对约束碳排放已经基本达成一致。根据气候、中国经济的现状等条件，中央政府提出以“双碳”战略，2030年前实现碳达峰，2060年前实现碳中和。在这一战略框架下，光伏发电和储能技术成为重要的支撑和突破口。通过大力发展光伏发电及储能技术，利用太阳能资源进行清洁能源生产，配合储能调峰稳定电力运行，可以促进碳减排和能源转型。</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1、新乡市</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整体情况</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获嘉县地处河南省北部，新乡市西部，介于东经113°39′42″～113°44′20″，北纬35°9′34″～35°15′37″之间。县域面积473平方公里，距新乡市约20公里，距省会郑州约80公里。下辖8镇3乡，即城关镇、照镜镇、黄堤镇、中和镇、徐营镇、冯庄镇、亢村镇、史庄镇、太山镇、大新庄乡、位庄乡，共有219个行政村，耕地面积44.8万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2023年获嘉县的国民生产总值（GDP）为2002022万元，比上年增长2.3%‌‌。其中，第一产业增加值377953万元，增长0.4%；第二产业增加值749021万元，增长3.1%；第三产业增加值875048万元，增长2.3%。三次产业结构为18.9:37.4:43.7‌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获嘉县的经济运行情况总体稳定，农业生产形势稳定，农产品供给充足。全县农林牧渔业总产值67.3亿元，同比增长2.2%。粮食安全得到保障，尽管受连续降雨影响夏粮有所减产，但粮食总产量仍稳定在37.91万吨。工业生产加快，主导产业支撑作用明显，规模以上工业增加值同比增长7%，其中制造业增加值增长11.8%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2、获嘉县工业生产加快，工业园区较多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近年来工业生产呈现出蓬勃加快的发展态势，境内工业园逐渐增多，为经济增长注入了强劲动力。其拥有如获嘉县先进制造业开发区这样的重要产业园区，按照“一区多园”的布局，涵盖了现代化工、装备制造、生物医药等多个领域，入驻企业多达600余家，其中规模以上工业企业就有90家。在现代化工产业园区，依托产业基础与资源优势，吸引了众多化工企业扎根，形成了完整的产业链条，从基础化工原料生产到精细化工产品加工，一应俱全；装备制造产业园内，各类机械加工、装配企业聚集，专注于生产农业机械、工业设备配件以及智能装备等产品，产品远销国内外；生物医药产业也崭露头角，一批专注于制药、医疗器械研发生产的企业蓬勃发展，不断提升着获嘉县在该领域的影响力。此外，像获嘉县精细化工专业园区，聚焦精细化工领域，以巨晶化工等企业为核心，全力打造高端精细化工产业集群，进一步丰富了获嘉县的工业产业结构，众多企业在这片土地上汇聚，通过不断创新与技术升级，推动着获嘉县工业向着更高质量、更具竞争力的方向大步迈进，成为区域经济发展的重要支撑力量，也为当地创造了大量的就业机会和经济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hint="eastAsia" w:ascii="宋体" w:hAnsi="宋体" w:eastAsia="宋体" w:cs="宋体"/>
          <w:color w:val="auto"/>
          <w:sz w:val="28"/>
          <w:szCs w:val="28"/>
        </w:rPr>
        <w:t>园区工业企业用电需要量较大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产业集聚区发展态势良好，园区内企业众多且用电需求量较大。其中，中新化工凭借其大规模的化工生产设施与复杂的工艺流程，在原材料的提炼、合成以及产品精制等各个环节都离不开大量电力的支撑，大型反应釜、蒸馏塔等设备持续运行，耗电量惊人，是园区电力消耗的重要力量。中小企业孵化园虽企业规模不一，但整体用电量不容小觑，园内机械制造、电子元件加工等企业的各类机床、自动化生产线以及检测设备等同时运转，众多企业的用电需求汇聚起来，形成了可观的用电规模。河南晶瑞日用品在生产过程中，为保证产品的高质量，其消毒、灌装、包装等环节的自动化设备对电力的稳定性和持续性要求极高，特别是在生产高峰期，用电需求急剧上升。大成包装的生产也高度依赖电力，从纸板的切割、印刷到纸箱的成型、装订，一系列大型设备的运转使得用电量居高不下，产生大量的用电需求。</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源网荷储模式能够有效解决</w:t>
      </w:r>
      <w:r>
        <w:rPr>
          <w:rFonts w:hint="eastAsia" w:ascii="宋体" w:hAnsi="宋体" w:eastAsia="宋体" w:cs="宋体"/>
          <w:color w:val="auto"/>
          <w:sz w:val="28"/>
          <w:szCs w:val="28"/>
        </w:rPr>
        <w:t>企业降本</w:t>
      </w:r>
      <w:r>
        <w:rPr>
          <w:rFonts w:hint="eastAsia" w:ascii="宋体" w:hAnsi="宋体" w:eastAsia="宋体" w:cs="宋体"/>
          <w:color w:val="auto"/>
          <w:sz w:val="28"/>
          <w:szCs w:val="28"/>
          <w:lang w:val="en-US" w:eastAsia="zh-CN"/>
        </w:rPr>
        <w:t>增效的</w:t>
      </w:r>
      <w:r>
        <w:rPr>
          <w:rFonts w:hint="eastAsia" w:ascii="宋体" w:hAnsi="宋体" w:eastAsia="宋体" w:cs="宋体"/>
          <w:color w:val="auto"/>
          <w:sz w:val="28"/>
          <w:szCs w:val="28"/>
        </w:rPr>
        <w:t>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大环境</w:t>
      </w:r>
      <w:r>
        <w:rPr>
          <w:rFonts w:hint="eastAsia" w:ascii="宋体" w:hAnsi="宋体" w:eastAsia="宋体" w:cs="宋体"/>
          <w:color w:val="auto"/>
          <w:sz w:val="28"/>
          <w:szCs w:val="28"/>
        </w:rPr>
        <w:t>经济下行已经给企业造成比较大的经营困难。</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的企业经营也遇到困难和问题，获取定单和降低成本是经营中最急迫的工作。在这个市场出清时期，如果企业转型过慢，有可以面临被淘汰出局的风险。拟建项目作为新乡市</w:t>
      </w:r>
      <w:r>
        <w:rPr>
          <w:rFonts w:hint="eastAsia" w:ascii="宋体" w:hAnsi="宋体" w:eastAsia="宋体" w:cs="宋体"/>
          <w:color w:val="auto"/>
          <w:sz w:val="28"/>
          <w:szCs w:val="28"/>
          <w:lang w:val="en-US" w:eastAsia="zh-CN"/>
        </w:rPr>
        <w:t>获嘉县源网荷储</w:t>
      </w:r>
      <w:r>
        <w:rPr>
          <w:rFonts w:hint="eastAsia" w:ascii="宋体" w:hAnsi="宋体" w:eastAsia="宋体" w:cs="宋体"/>
          <w:color w:val="auto"/>
          <w:sz w:val="28"/>
          <w:szCs w:val="28"/>
        </w:rPr>
        <w:t>绿色新能源项目，极大程度上解决企业用电贵、成本高的问题</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同时解决了隔墙售电的问题。</w:t>
      </w:r>
      <w:r>
        <w:rPr>
          <w:rFonts w:hint="eastAsia" w:ascii="宋体" w:hAnsi="宋体" w:eastAsia="宋体" w:cs="宋体"/>
          <w:color w:val="auto"/>
          <w:sz w:val="28"/>
          <w:szCs w:val="28"/>
        </w:rPr>
        <w:t>从根源上降低企业生产成本，给企业转型争取时间和机会，为转型升级提供更有力的支持。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5、源网荷储一体化已成为河南省新能源项目发展趋势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在能源转型的大背景下，源网荷储一体化已成为河南省新能源项目发展的显著趋势。《河南省加快推进源网荷储一体化实施方案》的出台，明确了其在河南能源战略中的关键地位。</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政府充分发挥主导作用</w:t>
      </w:r>
      <w:r>
        <w:rPr>
          <w:rFonts w:hint="eastAsia" w:ascii="宋体" w:hAnsi="宋体" w:eastAsia="宋体" w:cs="宋体"/>
          <w:snapToGrid/>
          <w:color w:val="auto"/>
          <w:spacing w:val="0"/>
          <w:w w:val="100"/>
          <w:kern w:val="2"/>
          <w:position w:val="0"/>
          <w:sz w:val="28"/>
          <w:szCs w:val="28"/>
          <w:lang w:val="en-US" w:eastAsia="zh-CN" w:bidi="zh-CN"/>
        </w:rPr>
        <w:t>，积极引导资源配置，营造良好政策环境，从规划到审批，大力支持项目推进。其中，新能源项目库的高效运作机制尤为突出</w:t>
      </w:r>
      <w:r>
        <w:rPr>
          <w:rFonts w:hint="eastAsia" w:ascii="宋体" w:hAnsi="宋体" w:eastAsia="宋体" w:cs="宋体"/>
          <w:b/>
          <w:snapToGrid/>
          <w:color w:val="auto"/>
          <w:spacing w:val="0"/>
          <w:w w:val="100"/>
          <w:kern w:val="2"/>
          <w:position w:val="0"/>
          <w:sz w:val="28"/>
          <w:szCs w:val="28"/>
          <w:lang w:val="en-US" w:eastAsia="zh-CN" w:bidi="zh-CN"/>
        </w:rPr>
        <w:t>。每月开放申报通道，实行即时报、即时批、即时审，</w:t>
      </w:r>
      <w:r>
        <w:rPr>
          <w:rFonts w:hint="eastAsia" w:ascii="宋体" w:hAnsi="宋体" w:eastAsia="宋体" w:cs="宋体"/>
          <w:snapToGrid/>
          <w:color w:val="auto"/>
          <w:spacing w:val="0"/>
          <w:w w:val="100"/>
          <w:kern w:val="2"/>
          <w:position w:val="0"/>
          <w:sz w:val="28"/>
          <w:szCs w:val="28"/>
          <w:lang w:val="en-US" w:eastAsia="zh-CN" w:bidi="zh-CN"/>
        </w:rPr>
        <w:t>企业提交的源网荷储一体化项目申请能迅速进入审核流程，短时间内获得审批结果。这一机制极大激发了市场活力，众多企业凭借技术、资金优势积极参与项目申报，抢占新兴领域先机。申报项目落地后，推动能源结构优化升级，大幅提升清洁能源在能源消费中的占比。通过整合能源生产、传输、存储和消费环节，源网荷储一体化项目提高了能源利用效率，降低损耗，增强能源供应的稳定性与可靠性，为河南可持续发展注入强劲动力，助力其在绿色能源道路上稳步前行</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Chars="0" w:rightChars="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6、提前布置“光储充换”一体化设施，抢占市场先机</w:t>
      </w:r>
    </w:p>
    <w:p>
      <w:pPr>
        <w:keepNext w:val="false"/>
        <w:keepLines w:val="false"/>
        <w:pageBreakBefore w:val="false"/>
        <w:widowControl w:val="false"/>
        <w:kinsoku/>
        <w:wordWrap/>
        <w:overflowPunct/>
        <w:topLinePunct/>
        <w:autoSpaceDE w:val="false"/>
        <w:autoSpaceDN/>
        <w:bidi w:val="false"/>
        <w:adjustRightInd/>
        <w:snapToGrid/>
        <w:spacing w:beforeLines="0" w:afterLines="0" w:line="360" w:lineRule="auto"/>
        <w:ind w:left="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随着 “双碳” 目标的推进与新能源汽车渗透率的持续提升，市场对充换电服务的需求正从单一充电向多元化、综合化方向转变。本项目率先构建 “光储充换” 一体化设施，通过光伏发电系统将清洁能源转化为电能，搭配储能设备实现电力的灵活调配与存储，有效降低对传统电网的依赖，既契合绿色发展理念，又能大幅降低运营成本，在价格竞争中占据优势。同时，一体化设施集成充电、换电功能，为新能源运营车辆及非机动车用户提供一站式服务，满足不同群体的多样化需求，极大提升用户粘性与服务竞争力。此外，随着周边区域新能源市场的逐步开发，提前完成设施布局能够形成先发优势，构建品牌影响力，快速占领市场份额，确立行业领先地位，不仅为项目自身带来持续稳定的收益，还能凭借先发优势吸引上下游企业合作，进一步拓展业务版图，在新能源充换电这片蓝海市场中拔得头筹，引领行业发展潮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 经济社会发展规划、产业政策</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2.1.2.1 《国家发展改革委 国家能源局关于推进电力源网荷储一体化和多能互补发展的指导意见》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意见中提出要创新电力生产和消费模式，推进源网荷储一体化发展。鼓励各类市场主体积极参与，探索多种实施路径和商业模式。通过优化电源结构、提升电网灵活性、引导用户侧互动以及加强储能设施建设等措施，实现电力系统的源网荷储各环节深度融合与协调运行，提高电力系统的综合效率和可靠性，促进清洁能源的大规模开发利用和能源的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2.1.2.2 《国家发展改革委、国家能源局关于加强电网调峰储能和智能化调度能力建设的指导意见》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ind w:firstLine="560" w:firstLineChars="200"/>
        <w:textAlignment w:val="baseline"/>
        <w:rPr>
          <w:rFonts w:hint="default" w:ascii="宋体" w:hAnsi="宋体" w:eastAsia="宋体" w:cs="宋体"/>
          <w:b w:val="false"/>
          <w:bCs w:val="false"/>
          <w:sz w:val="28"/>
          <w:szCs w:val="28"/>
          <w:lang w:val="en-US" w:eastAsia="zh-CN"/>
        </w:rPr>
      </w:pPr>
      <w:r>
        <w:rPr>
          <w:rFonts w:hint="default" w:ascii="宋体" w:hAnsi="宋体" w:eastAsia="宋体" w:cs="宋体"/>
          <w:b w:val="false"/>
          <w:bCs w:val="false"/>
          <w:sz w:val="28"/>
          <w:szCs w:val="28"/>
          <w:lang w:val="en-US" w:eastAsia="zh-CN"/>
        </w:rPr>
        <w:t>以习近平新时代中国特色社会主义思想为指导，统筹优化调峰资源，推动源网荷储各类调节资源作用发挥。要求加强调峰能力建设，推进储能能力建设，推动智能化调度能力建设等。同时，积极推动各类调节资源参与电力市场，建立健全价格机制，健全完善管理体系，以提升电力系统调节能力，保障能源电力安全稳定供应和可再生能源高质量消纳等。</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《关于推进源网荷储一体化和多能互补项目实施的通知》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明确了源网荷储一体化和多能互补项目的实施要求和流程。要求各地要结合实际情况，制定具体的项目实施方案，加强项目储备和管理。在项目实施过程中，要注重项目的技术经济性和安全性，鼓励采用先进的技术和设备。同时，要建立健全项目的评估和监管机制，确保项目的顺利实施和预期效果的实现，推动源网荷储一体化和多能互补项目的规模化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2.1.2.4 《能源局综合司关于报送源网荷储一体化和多能互补项目有关情况的通知》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要求各地能源主管部门报送源网荷储一体化和多能互补项目的有关情况，包括项目的基本信息、进展情况、存在的问题等。旨在全面了解各地项目的实施现状，及时发现和解决项目推进过程中存在的问题，加强对项目的跟踪和指导，为进一步完善相关政策和措施提供依据，促进源网荷储一体化和多能互补项目的健康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《河南省加快推进源网荷储一体化实施方案》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方案拓展了源网荷储一体化项目的实施范围，涵盖工商业企业、产业园区等多种场景。重点任务包括加快科技创新应用，加强清洁能源供应，推动配网改造升级，优化电力负荷管理以及提速发展新型储能等。同时提出强化政策支持、保障并网消纳、营造良好环境等保障措施，以构建灵活智能、稳定高效的智能微电网，实现新能源的高效消纳和源网荷储各环节的协同互动。</w:t>
      </w:r>
      <w:r>
        <w:rPr>
          <w:rFonts w:hint="eastAsia" w:ascii="宋体" w:hAnsi="宋体" w:eastAsia="宋体" w:cs="宋体"/>
          <w:b/>
          <w:snapToGrid/>
          <w:color w:val="auto"/>
          <w:spacing w:val="0"/>
          <w:w w:val="100"/>
          <w:kern w:val="2"/>
          <w:position w:val="0"/>
          <w:sz w:val="28"/>
          <w:szCs w:val="28"/>
          <w:lang w:val="en-US" w:eastAsia="zh-CN" w:bidi="zh-CN"/>
        </w:rPr>
        <w:t>新乡市作为河南省中心城市，在2027年前需建成70个源网荷储项目目标任务。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drawing>
          <wp:inline distT="0" distB="0" distL="0" distR="0">
            <wp:extent cx="5274310" cy="4072255"/>
            <wp:effectExtent l="0" t="0" r="0" b="0"/>
            <wp:docPr id="11" name="picture" descr="descript"/>
            <wp:cNvGraphicFramePr/>
            <a:graphic>
              <a:graphicData uri="http://schemas.openxmlformats.org/drawingml/2006/picture">
                <pic:pic>
                  <pic:nvPicPr>
                    <pic:cNvPr id="12" name="picture" descr="descript"/>
                    <pic:cNvPicPr/>
                  </pic:nvPicPr>
                  <pic:blipFill>
                    <a:blip r:embed="rId10"/>
                    <a:stretch>
                      <a:fillRect/>
                    </a:stretch>
                  </pic:blipFill>
                  <pic:spPr>
                    <a:xfrm>
                      <a:off x="0" y="0"/>
                      <a:ext cx="5274310" cy="4072360"/>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《河南省工业企业源网荷储一体化项目实施细则（暂行）》</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明确了项目建设模式、电源和储能设施规模、消纳运行和安全、并网时间和接入要求等。规定用电量较大的工业企业可结合自身用电特性，利用 20 公里范围内新能源资源建设分布式光伏或分散式风电，适当配置储能设施，提升绿电使用比例和系统运行效率，实现源网荷储一体化运行。</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Chars="0"/>
        <w:jc w:val="both"/>
        <w:textAlignment w:val="auto"/>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2.1.2.7 《新乡市电动汽车充电基础设施建设三年行动方案（2023-2025年）》</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方案明确了总体要求、加快推进充电基础设施网络体系建设、加快构建充电基础设施配套支撑体系、保障措施等内容。目标是到2025年基本建成城市面状、公路线状、乡村点状布局的智能充电网络，到2030年建成高质量充电基础设施体系，通过加快各区域充电设施建设、构建配套支撑体系等举措，满足新能源汽车充电需求，助力“双碳”目标实现。</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 行业和市场准入标准的符合性</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2.1.3.1 行业准入标准的符合性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该项目属于</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基础建设项目。项目所涉及的行业不存在行业许可，根据河南省发展和改革委员会关于印发《河南省新能源项目库管理暂行办法》“6兆瓦以下的分布式光伏发电项目(含户用光伏项目)不纳入项目库管理范围，各地根据当地整体开发方案和电网消纳条件推进实施，由电网企业(含增量配网，下同)优先保障并网消纳”。本项目属于完全竞争的行业，可以根据需要自由拓展和开发</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2.1.3.2 市场准入标准的符合性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本</w:t>
      </w:r>
      <w:r>
        <w:rPr>
          <w:rFonts w:hint="eastAsia" w:ascii="宋体" w:hAnsi="宋体" w:eastAsia="宋体" w:cs="宋体"/>
          <w:color w:val="auto"/>
          <w:sz w:val="28"/>
          <w:szCs w:val="28"/>
        </w:rPr>
        <w:t>项目</w:t>
      </w:r>
      <w:r>
        <w:rPr>
          <w:rFonts w:hint="eastAsia" w:ascii="宋体" w:hAnsi="宋体" w:eastAsia="宋体" w:cs="宋体"/>
          <w:color w:val="auto"/>
          <w:sz w:val="28"/>
          <w:szCs w:val="28"/>
          <w:lang w:val="en-US" w:eastAsia="zh-CN"/>
        </w:rPr>
        <w:t>为源网荷储一体化</w:t>
      </w:r>
      <w:r>
        <w:rPr>
          <w:rFonts w:hint="eastAsia" w:ascii="宋体" w:hAnsi="宋体" w:eastAsia="宋体" w:cs="宋体"/>
          <w:color w:val="auto"/>
          <w:sz w:val="28"/>
          <w:szCs w:val="28"/>
        </w:rPr>
        <w:t>基础设施建设。我国光伏发电及储能技术比较成熟，光伏及储能设备成本不高无需巨额资本介入、产业链资源对接等复杂的条件，不存在市场</w:t>
      </w:r>
      <w:r>
        <w:rPr>
          <w:rFonts w:hint="eastAsia" w:ascii="宋体" w:hAnsi="宋体" w:eastAsia="宋体" w:cs="宋体"/>
          <w:b w:val="false"/>
          <w:bCs w:val="false"/>
          <w:color w:val="auto"/>
          <w:sz w:val="28"/>
          <w:szCs w:val="28"/>
        </w:rPr>
        <w:t>准入条件。本项目产出电量</w:t>
      </w:r>
      <w:r>
        <w:rPr>
          <w:rFonts w:hint="eastAsia" w:ascii="宋体" w:hAnsi="宋体" w:eastAsia="宋体" w:cs="宋体"/>
          <w:b w:val="false"/>
          <w:bCs w:val="false"/>
          <w:color w:val="auto"/>
          <w:sz w:val="28"/>
          <w:szCs w:val="28"/>
          <w:lang w:val="en-US" w:eastAsia="zh-CN"/>
        </w:rPr>
        <w:t>优先出售给项目园区内部企业使用，剩余电量将根据</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w:t>
      </w:r>
      <w:r>
        <w:rPr>
          <w:rFonts w:hint="eastAsia" w:ascii="宋体" w:hAnsi="宋体" w:eastAsia="宋体" w:cs="宋体"/>
          <w:color w:val="auto"/>
          <w:sz w:val="28"/>
          <w:szCs w:val="28"/>
        </w:rPr>
        <w:t>，电力消纳不是问题，</w:t>
      </w:r>
      <w:r>
        <w:rPr>
          <w:rFonts w:hint="eastAsia" w:ascii="宋体" w:hAnsi="宋体" w:eastAsia="宋体" w:cs="宋体"/>
          <w:color w:val="auto"/>
          <w:sz w:val="28"/>
          <w:szCs w:val="28"/>
          <w:lang w:val="en-US" w:eastAsia="zh-CN"/>
        </w:rPr>
        <w:t>完全能做到自我消纳，</w:t>
      </w:r>
      <w:r>
        <w:rPr>
          <w:rFonts w:hint="eastAsia" w:ascii="宋体" w:hAnsi="宋体" w:eastAsia="宋体" w:cs="宋体"/>
          <w:color w:val="auto"/>
          <w:sz w:val="28"/>
          <w:szCs w:val="28"/>
        </w:rPr>
        <w:t>不存在市场准入问题</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2.1.4 前期工作进展情况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b w:val="false"/>
          <w:bCs w:val="false"/>
          <w:color w:val="auto"/>
          <w:sz w:val="28"/>
          <w:szCs w:val="28"/>
          <w:lang w:val="en-US" w:eastAsia="zh-CN"/>
        </w:rPr>
      </w:pPr>
      <w:r>
        <w:rPr>
          <w:rFonts w:hint="eastAsia" w:ascii="宋体" w:hAnsi="宋体" w:eastAsia="宋体" w:cs="宋体"/>
          <w:b w:val="false"/>
          <w:bCs w:val="false"/>
          <w:color w:val="auto"/>
          <w:sz w:val="28"/>
          <w:szCs w:val="28"/>
          <w:lang w:val="en-US" w:eastAsia="zh-CN"/>
        </w:rPr>
        <w:t>本项目建设光伏电站所使用的屋顶为获嘉县产业集聚孵化园有限公司名下工业厂房及配套用房9栋，面积31530.09平方米，所有房产均已竣工验收，正在办理不动产权利登记证书。产业园厂房空间道路上方空地等空间较大，可直接按照柔性光伏，可利用面积5677.13㎡。</w:t>
      </w:r>
    </w:p>
    <w:p>
      <w:pPr>
        <w:snapToGrid/>
        <w:spacing w:before="157" w:after="157" w:line="240" w:lineRule="auto"/>
        <w:ind w:left="0" w:right="0" w:firstLine="420"/>
        <w:jc w:val="both"/>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河南中原智慧冷链物流园管理运营有限公司已与获嘉县产业集聚区创业孵化园有限公司同为获嘉县产业集聚区运营发展服务有限公司的全资子公司，双方已签订屋顶租赁使用协议。</w:t>
      </w:r>
    </w:p>
    <w:p>
      <w:pPr>
        <w:snapToGrid/>
        <w:spacing w:before="157" w:after="157" w:line="240" w:lineRule="auto"/>
        <w:ind w:left="0" w:right="0" w:firstLine="0"/>
        <w:jc w:val="center"/>
        <w:rPr>
          <w:rFonts w:ascii="宋体" w:hAnsi="宋体" w:eastAsia="宋体" w:cs="宋体"/>
          <w:b/>
          <w:bCs/>
          <w:sz w:val="28"/>
        </w:rPr>
      </w:pPr>
      <w:r>
        <w:rPr>
          <w:rFonts w:ascii="宋体" w:hAnsi="宋体" w:eastAsia="宋体" w:cs="宋体"/>
          <w:b/>
          <w:bCs/>
          <w:sz w:val="28"/>
        </w:rPr>
        <w:t>屋顶及闲置区域使用详情表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48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总建筑面积(²)</w:t>
            </w:r>
          </w:p>
        </w:tc>
      </w:tr>
      <w:tr>
        <w:trPr>
          <w:trHeight w:val="238"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5232.76</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7758.74</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5780.76</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6798.84</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5780.76</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5780.76</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50096.4</w:t>
            </w:r>
          </w:p>
        </w:tc>
      </w:tr>
      <w:tr>
        <w:trPr>
          <w:trHeight w:val="355"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2" w:name="_Toc7919"/>
      <w:r>
        <w:rPr>
          <w:rFonts w:hint="eastAsia" w:ascii="宋体" w:hAnsi="宋体" w:eastAsia="宋体" w:cs="宋体"/>
          <w:b/>
          <w:bCs/>
          <w:sz w:val="28"/>
          <w:szCs w:val="28"/>
        </w:rPr>
        <w:t>2.2 项目主体发展战略需求分析</w:t>
      </w:r>
      <w:bookmarkEnd w:id="3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 xml:space="preserve">2.2.1 </w:t>
      </w:r>
      <w:r>
        <w:rPr>
          <w:rFonts w:hint="eastAsia" w:ascii="宋体" w:hAnsi="宋体" w:eastAsia="宋体" w:cs="宋体"/>
          <w:b/>
          <w:bCs/>
          <w:sz w:val="28"/>
          <w:szCs w:val="28"/>
          <w:lang w:val="en-US" w:eastAsia="zh-CN"/>
        </w:rPr>
        <w:t>获嘉县</w:t>
      </w:r>
      <w:r>
        <w:rPr>
          <w:rFonts w:hint="eastAsia" w:ascii="宋体" w:hAnsi="宋体" w:eastAsia="宋体" w:cs="宋体"/>
          <w:b/>
          <w:bCs/>
          <w:sz w:val="28"/>
          <w:szCs w:val="28"/>
        </w:rPr>
        <w:t>发展对项目需要分析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color w:val="auto"/>
          <w:sz w:val="28"/>
          <w:szCs w:val="28"/>
        </w:rPr>
        <w:t>1、</w:t>
      </w:r>
      <w:r>
        <w:rPr>
          <w:rFonts w:hint="eastAsia" w:ascii="宋体" w:hAnsi="宋体" w:eastAsia="宋体" w:cs="宋体"/>
          <w:b/>
          <w:bCs/>
          <w:color w:val="auto"/>
          <w:sz w:val="28"/>
          <w:szCs w:val="28"/>
          <w:lang w:val="en-US" w:eastAsia="zh-CN"/>
        </w:rPr>
        <w:t>获嘉县</w:t>
      </w:r>
      <w:r>
        <w:rPr>
          <w:rFonts w:hint="eastAsia" w:ascii="宋体" w:hAnsi="宋体" w:eastAsia="宋体" w:cs="宋体"/>
          <w:b/>
          <w:bCs/>
          <w:color w:val="auto"/>
          <w:sz w:val="28"/>
          <w:szCs w:val="28"/>
        </w:rPr>
        <w:t>政府需要为中小企业打造降本增效的营商环境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w:t>
      </w:r>
      <w:r>
        <w:rPr>
          <w:rFonts w:hint="eastAsia" w:ascii="宋体" w:hAnsi="宋体" w:eastAsia="宋体" w:cs="宋体"/>
          <w:color w:val="auto"/>
          <w:sz w:val="28"/>
          <w:szCs w:val="28"/>
        </w:rPr>
        <w:t>全</w:t>
      </w:r>
      <w:r>
        <w:rPr>
          <w:rFonts w:hint="eastAsia" w:ascii="宋体" w:hAnsi="宋体" w:eastAsia="宋体" w:cs="宋体"/>
          <w:color w:val="auto"/>
          <w:sz w:val="28"/>
          <w:szCs w:val="28"/>
          <w:lang w:val="en-US" w:eastAsia="zh-CN"/>
        </w:rPr>
        <w:t>县</w:t>
      </w:r>
      <w:r>
        <w:rPr>
          <w:rFonts w:hint="eastAsia" w:ascii="宋体" w:hAnsi="宋体" w:eastAsia="宋体" w:cs="宋体"/>
          <w:color w:val="auto"/>
          <w:sz w:val="28"/>
          <w:szCs w:val="28"/>
        </w:rPr>
        <w:t>经济呈现平稳运行、稳中有进的良好态势。作为一个工业企业聚集区，</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拥有众多蓬勃发展的工业企业，拥有众多政府优惠政策支持。</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以其庞大的工业群体而闻名，涵盖制造业、加工业、</w:t>
      </w:r>
      <w:r>
        <w:rPr>
          <w:rFonts w:hint="eastAsia" w:ascii="宋体" w:hAnsi="宋体" w:eastAsia="宋体" w:cs="宋体"/>
          <w:color w:val="auto"/>
          <w:sz w:val="28"/>
          <w:szCs w:val="28"/>
          <w:lang w:val="en-US" w:eastAsia="zh-CN"/>
        </w:rPr>
        <w:t>化工业、</w:t>
      </w:r>
      <w:r>
        <w:rPr>
          <w:rFonts w:hint="eastAsia" w:ascii="宋体" w:hAnsi="宋体" w:eastAsia="宋体" w:cs="宋体"/>
          <w:color w:val="auto"/>
          <w:sz w:val="28"/>
          <w:szCs w:val="28"/>
        </w:rPr>
        <w:t>绿色能源业等多个行业领域。此外，</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的工业企业对电力的需求也极其巨大，电力作为生产和运营的重要能源，对企业的日常运作至关重要。</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的建设能满足</w:t>
      </w:r>
      <w:r>
        <w:rPr>
          <w:rFonts w:hint="eastAsia" w:ascii="宋体" w:hAnsi="宋体" w:eastAsia="宋体" w:cs="宋体"/>
          <w:color w:val="auto"/>
          <w:sz w:val="28"/>
          <w:szCs w:val="28"/>
          <w:lang w:val="en-US" w:eastAsia="zh-CN"/>
        </w:rPr>
        <w:t>园区内部</w:t>
      </w:r>
      <w:r>
        <w:rPr>
          <w:rFonts w:hint="eastAsia" w:ascii="宋体" w:hAnsi="宋体" w:eastAsia="宋体" w:cs="宋体"/>
          <w:color w:val="auto"/>
          <w:sz w:val="28"/>
          <w:szCs w:val="28"/>
        </w:rPr>
        <w:t>企业</w:t>
      </w:r>
      <w:r>
        <w:rPr>
          <w:rFonts w:hint="eastAsia" w:ascii="宋体" w:hAnsi="宋体" w:eastAsia="宋体" w:cs="宋体"/>
          <w:color w:val="auto"/>
          <w:sz w:val="28"/>
          <w:szCs w:val="28"/>
          <w:lang w:val="en-US" w:eastAsia="zh-CN"/>
        </w:rPr>
        <w:t>及周边企业</w:t>
      </w:r>
      <w:r>
        <w:rPr>
          <w:rFonts w:hint="eastAsia" w:ascii="宋体" w:hAnsi="宋体" w:eastAsia="宋体" w:cs="宋体"/>
          <w:color w:val="auto"/>
          <w:sz w:val="28"/>
          <w:szCs w:val="28"/>
        </w:rPr>
        <w:t>日常经营用电需求，提供稳定、廉价的用电服务，同时为企业降本增效提供了坚实的保障基础。</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2、河南中原智慧冷链物流园管理运营有限公司需要筹划优质项目丰富经营项目结构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河南中原智慧冷链物流园管理运营有限公司作为</w:t>
      </w:r>
      <w:r>
        <w:rPr>
          <w:rFonts w:hint="eastAsia" w:ascii="宋体" w:hAnsi="宋体" w:eastAsia="宋体" w:cs="宋体"/>
          <w:color w:val="auto"/>
          <w:sz w:val="28"/>
          <w:szCs w:val="28"/>
        </w:rPr>
        <w:t>本项目的项目公司，其目前主要经</w:t>
      </w:r>
      <w:r>
        <w:rPr>
          <w:rFonts w:hint="eastAsia" w:ascii="宋体" w:hAnsi="宋体" w:eastAsia="宋体" w:cs="宋体"/>
          <w:color w:val="auto"/>
          <w:sz w:val="28"/>
          <w:szCs w:val="28"/>
          <w:lang w:val="en-US" w:eastAsia="zh-CN"/>
        </w:rPr>
        <w:t>营园区管理、仓储冷链服务</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普通仓储</w:t>
      </w:r>
      <w:r>
        <w:rPr>
          <w:rFonts w:hint="eastAsia" w:ascii="宋体" w:hAnsi="宋体" w:eastAsia="宋体" w:cs="宋体"/>
          <w:color w:val="auto"/>
          <w:sz w:val="28"/>
          <w:szCs w:val="28"/>
        </w:rPr>
        <w:t>及</w:t>
      </w:r>
      <w:r>
        <w:rPr>
          <w:rFonts w:hint="eastAsia" w:ascii="宋体" w:hAnsi="宋体" w:eastAsia="宋体" w:cs="宋体"/>
          <w:color w:val="auto"/>
          <w:sz w:val="28"/>
          <w:szCs w:val="28"/>
          <w:lang w:val="en-US" w:eastAsia="zh-CN"/>
        </w:rPr>
        <w:t>农产品加工销售</w:t>
      </w:r>
      <w:r>
        <w:rPr>
          <w:rFonts w:hint="eastAsia" w:ascii="宋体" w:hAnsi="宋体" w:eastAsia="宋体" w:cs="宋体"/>
          <w:color w:val="auto"/>
          <w:sz w:val="28"/>
          <w:szCs w:val="28"/>
        </w:rPr>
        <w:t>等活动。经营项目较为传统单一。拟建项目将为河南中原智慧冷链物流园管理运营有限公司丰富经营项目结构提供一个适宜的目标，并在项目运作过程中积累经验和资金，促进经营性转型。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t>2.2.2 拟建项目对促进获嘉县发展战略落地的紧迫性和重要性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目前，在</w:t>
      </w:r>
      <w:r>
        <w:rPr>
          <w:rFonts w:hint="eastAsia" w:ascii="宋体" w:hAnsi="宋体" w:eastAsia="宋体" w:cs="宋体"/>
          <w:color w:val="auto"/>
          <w:sz w:val="28"/>
          <w:szCs w:val="28"/>
          <w:lang w:val="en-US" w:eastAsia="zh-CN"/>
        </w:rPr>
        <w:t>经济趋势下行的</w:t>
      </w:r>
      <w:r>
        <w:rPr>
          <w:rFonts w:hint="eastAsia" w:ascii="宋体" w:hAnsi="宋体" w:eastAsia="宋体" w:cs="宋体"/>
          <w:color w:val="auto"/>
          <w:sz w:val="28"/>
          <w:szCs w:val="28"/>
        </w:rPr>
        <w:t>大环境下</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企业经营普遍遇到困难，降本增效是经营中最急迫的工作。在这个市场出清时期，如果企业寻找出减低经营成本道路，有可以面临被淘汰出局的风险。拟建项目利用</w:t>
      </w:r>
      <w:r>
        <w:rPr>
          <w:rFonts w:hint="eastAsia" w:ascii="宋体" w:hAnsi="宋体" w:eastAsia="宋体" w:cs="宋体"/>
          <w:color w:val="auto"/>
          <w:sz w:val="28"/>
          <w:szCs w:val="28"/>
          <w:lang w:val="en-US" w:eastAsia="zh-CN"/>
        </w:rPr>
        <w:t>源网荷储一体化的优势和政府支持条件</w:t>
      </w:r>
      <w:r>
        <w:rPr>
          <w:rFonts w:hint="eastAsia" w:ascii="宋体" w:hAnsi="宋体" w:eastAsia="宋体" w:cs="宋体"/>
          <w:color w:val="auto"/>
          <w:sz w:val="28"/>
          <w:szCs w:val="28"/>
        </w:rPr>
        <w:t>，极大程度上解决</w:t>
      </w:r>
      <w:r>
        <w:rPr>
          <w:rFonts w:hint="eastAsia" w:ascii="宋体" w:hAnsi="宋体" w:eastAsia="宋体" w:cs="宋体"/>
          <w:color w:val="auto"/>
          <w:sz w:val="28"/>
          <w:szCs w:val="28"/>
          <w:lang w:val="en-US" w:eastAsia="zh-CN"/>
        </w:rPr>
        <w:t>项目园区内及周边</w:t>
      </w:r>
      <w:r>
        <w:rPr>
          <w:rFonts w:hint="eastAsia" w:ascii="宋体" w:hAnsi="宋体" w:eastAsia="宋体" w:cs="宋体"/>
          <w:color w:val="auto"/>
          <w:sz w:val="28"/>
          <w:szCs w:val="28"/>
        </w:rPr>
        <w:t>中小企业用电贵、成本高的困境，更能提高能源供给的可靠性和稳定性，从能源方面降低企业生产成本，也能给企业转型升级争取时间和机会。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3" w:name="_Toc5481"/>
      <w:bookmarkStart w:id="34" w:name="_Toc30857"/>
      <w:r>
        <w:rPr>
          <w:rFonts w:hint="eastAsia" w:ascii="宋体" w:hAnsi="宋体" w:eastAsia="宋体" w:cs="宋体"/>
          <w:b/>
          <w:bCs/>
          <w:sz w:val="28"/>
          <w:szCs w:val="28"/>
        </w:rPr>
        <w:t>2.3 项目市场需求分析</w:t>
      </w:r>
      <w:bookmarkEnd w:id="33"/>
      <w:bookmarkEnd w:id="3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2.3.1 项目的业态分析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本项目业态大致分为：源网荷储、光伏发电、储能调峰、分布式换电储能系统、光储充电桩。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源网荷储作为一种新型电力系统综合业态，正深刻影响着能源产业格局。从电源端来看，传统火电在能源结构调整下，逐步向灵活性改造方向发展，以更好地平衡新能源发电的间歇性与波动性；与此同时，风电、光伏等清洁能源装机规模持续增长，其发电成本不断降低，成为能源供应的重要力量。电网层面，随着分布式电源的广泛接入以及电力负荷的动态变化，电网的智能化升级迫在眉睫，需加强输电网络的韧性与配电网的灵活性，以实现电力的高效传输与精准分配，例如采用先进的电力电子技术、智能监控系统等提升电网的运行效率与可靠性。负荷侧，工业、商业、居民等各类用户对于电能质量与可靠性的要求日益提高，通过需求响应机制、节能技术应用等手段，实现削峰填谷，优化电力资源配置，降低用电成本。储能则是整个业态的关键支撑，无论是电化学储能、抽水蓄能还是其他新型储能技术，都在发挥着 “蓄水池” 作用，存储多余电能，在用电高峰或发电不足时释放，平抑功率波动、增强系统稳定性，促进源网荷各环节的紧密协同，提升电力系统整体的安全性、经济性和灵活性，推动能源行业朝着绿色低碳、智能高效的方向迈进，催生了新的商业模式和市场机遇，如储能参与辅助服务市场、虚拟电厂的兴起等，为能源产业的可持续发展注入新活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2、光伏发电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业态是一种利用太阳能转化为电能的可再生能源解决方案，通过光伏电池板将太阳光中的光子转化为电力，以满足日益增长的能源需求。该业态涵盖了从光伏组件的制造、系统的设计与安装，到电力的生产和销售等全过程，形成了一个完整的产业链。光伏发电系统主要包括光伏电池板、逆变器、支架、监控系统等设备，光伏电池板通过光电效应将太阳光转化为直流电，再通过逆变器将直流电转换为交流电，以便于并入电网或供给直接使用。光伏发电不仅能够有效减少对化石燃料的依赖，降低温室气体排放，还能通过其可再生特性提供稳定的电力供应，促进能源结构的优化。该业态的关键在于技术进步和成本控制，随着光伏技术的不断革新和规模效应的提升，光伏发电的成本逐年下降，使其在全球范围内得到广泛应用。此外，光伏发电系统具有较低的维护成本和长期的经济效益，适合于住宅、商业建筑以及大型光伏电站等多种应用场景。通过政策支持、市场推动和技术创新，光伏发电业态正在加速全球能源转型，为实现可持续发展目标和应对气候变化挑战做出重要贡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3、储能调峰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调峰业态是现代能源系统中的关键组成部分，通过先进的储能技术平衡电力供应与需求的波动，提高电网的稳定性和可靠性。该业态主要涉及使用各种储能设备，如锂电池、钠硫电池、抽水蓄能、压缩空气储能等，将电力存储在需求低峰期，并在需求高峰期释放，以补充电网供电不足的问题。这种调峰能力能够有效应对可再生能源（如风能和太阳能）的间歇性特征，使其能够在电力需求高峰期间平稳地供电，提高系统的整体运行效率。储能调峰不仅优化了电力系统的运行，减少了电力波动对电网的冲击，还延长了设备的使用寿命，降低了电力系统的整体运营成本。此外，通过智能化的调度和管理系统，储能调峰业态能够实现对电力生产和消费的精准预测和调节，使电网的负荷分布更加均衡，从而提高能源利用效率。储能技术的进步和成本的降低使得这一业态在未来能源转型中具有广阔的发展前景，为实现绿色低碳目标和构建高效、稳定的能源系统提供了有力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4、分布式换电储能系统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分布式换电储能系统犹如一个智能储能“百宝箱”，为电动自行车用户带来高效便捷的能源补给新体验。它的核心作用在于实现电瓶的集中存储、智能管理与快速更换，极大节省用户充电时间。用户骑行电动自行车电量不足时，只需前往就近的换电柜，通过手机扫码操作，便能迅速取出满电电瓶完成更换，全程仅需数秒，有效解决传统充电耗时长的痛点。在优势方面，该系统采用分布式布局，能广泛覆盖社区、商圈、交通枢纽等区域，提高服务可达性；内置智能监测系统实时监控电瓶状态，确保用电安全，避免过充、短路等隐患；同时，通过峰谷电价机制对电瓶进行储能充电，优化电力资源利用，降低运营成本，还能减轻电网高峰负荷压力。其模式与铁塔换电相似，为城市电动自行车用户打造了高效、安全、灵活的能源服务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5、光储充电桩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储充电桩作为光伏发电业态的创新应用，在能源领域发挥着重要作用。它融合了光伏发电与储能技术，以满足新能源汽车充电需求。其工作原理基于光伏发电系统，由光伏电池板借助光电效应，将太阳光中的光子转化为直流电，再经逆变器转换为交流电。光储充电桩涵盖了从光伏组件制造，到系统设计、安装，再到电力供应的完整产业链环节。光储充电桩配备了储能设备。在光照充足时，可将多余电能储存起来，确保在光照不足或用电高峰时，仍能稳定为新能源汽车充电，避免充电中断。其产生的电力不仅能直接用于车辆充电，还减少了对传统电网的依赖，降低了充电成本，契合绿色环保理念，有效降低碳排放。光储充电桩凭借技术进步与规模效应，成本逐渐降低，维护成本也较低。其安装灵活，适用于居民小区、商业广场、公共充电站等多种场景。</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2.3.2 目标市场环境和容量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1、源网荷储市场环境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近年来国家不断下发政策性文件支持开发建设源网荷储一体化项目，同时地方需求也在不断增加，获嘉县建设源网荷储一体化项目市场环境较为乐观。在政策方面，国家大力倡导绿色能源发展，推进源网荷储一体化建设，河南省也出台了一系列政策细则，如《河南省加快推进源网荷储一体化实施方案》，明确了项目实施范围、重点任务及保障措施，为获嘉县的项目提供了方向指引和政策支持，鼓励企业积极参与新能源建设，提升清洁能源占比，推动配网改造升级和储能设施建设，保障项目的并网消纳等权益，营造了良好的政策氛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市场需求来看，随着当地经济的发展，工业用电需求持续增长，尤其是获嘉县工业集聚区的众多企业，如中新化工、中小企业孵化园、河南晶瑞日用品、大成包装等，用电量大且对电能质量和稳定性要求较高，源网荷储一体化项目能够就地消纳新能源电力，降低企业用电成本，满足其稳定可靠的电力需求，具有较大的市场吸引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2、源网荷储市场容量</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当地经济的稳步前行，各产业尤其是工业领域呈现出蓬勃发展态势，用电需求持续攀升。众多中小企业不断发展壮大，其生产运营对电力的依赖程度与日俱增，为源网荷储一体化项目提供了坚实的市场基础。在当前能源转型的大趋势下，绿色能源成为降低企业运营成本、提高生产效率的关键要素。对于获嘉县的中小企业而言，源网荷储一体化项目所提供的清洁电能，不仅能满足其日益增长的电力需求，保障生产活动的稳定开展，还能借助绿电的价格优势以及储能系统对峰谷电价差的有效利用，大幅降低用电成本，增强市场竞争力。从长期来看，随着技术的不断进步与完善，源网荷储一体化项目的应用范围将进一步拓展，无论是工业园区、商业综合体还是居民社区，都将成为潜在的市场增长点，其市场容量有望持续扩充，在满足获嘉县能源需求、推动绿色发展的道路上发挥关键作用。</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3、“充换电一体化”市场环境</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当前，充换电一体化市场受政策大力扶持，发展环境极为利好。2023 年 5 月，国家发展改革委与国家能源局联合印发《关于加快推进充电基础设施建设 更好支持新能源汽车下乡和乡村振兴的实施意见》，明确提出探索在充电桩利用率较低的农村地区，建设光伏发电、储能、充换电一体化设施，为项目在乡镇布局提供政策依据。同年 6 月，国务院办公厅发布的《关于进一步构建高质量充电基础设施体系的指导意见》，着重强调推动光储充换一体站等试点示范，凸显国家对充换电一体化发展的重视与引导 。2024 年 4 月，财政部、工业和信息化部、交通运输部联合发布《关于开展县域充换电设施补短板试点工作的通知》，计划开展 “百县千站万桩” 试点工程，鼓励分布式光伏覆盖较好的农村地区建设一体化充电基础设施，这为项目落地提供了有力的政策支撑与资金扶持预期 。在此背景下，本项目在获嘉县推进充换电一体化建设，不仅契合国家战略导向，还能充分利用政策红利，加速项目落地与运营，在市场竞争中占得先机，有力推动区域新能源充换电服务迈向新高度。</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4、“充换电一体化”市场容量</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当前，获嘉县充换电一体化市场发展尚处于起步阶段，现有充换电设施多以单一充电功能为主，兼具光伏发电、储能调节与快速换电功能的一体化设施数量极少，难以满足日益增长的多元化需求。随着 “双碳” 战略深入推进，新能源汽车在当地的普及速度不断加快，网约车、物流车等运营车辆规模持续扩大，私家车与非机动车保有量也呈现显著增长态势，市场对高效、便捷、综合性充换电服务的需求愈发迫切。在此背景下，充换电一体化市场存在巨大的容量空间亟待开发。加之国家相继出台《关于开展县域充换电设施补短板试点工作的通知》等政策，大力支持充换电一体化建设，为市场发展提供了坚实的政策保障。本项目抢先布局 “光储充换” 一体化设施，将精准对接市场需求，填补区域空白，凭借先发优势占据有利地位，在广阔的市场空间中实现快速发展。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2.3.3 产品或服务价格</w:t>
      </w:r>
    </w:p>
    <w:p>
      <w:pPr>
        <w:keepNext w:val="false"/>
        <w:keepLines w:val="false"/>
        <w:pageBreakBefore w:val="false"/>
        <w:widowControl w:val="false"/>
        <w:kinsoku/>
        <w:wordWrap/>
        <w:overflowPunct/>
        <w:topLinePunct/>
        <w:autoSpaceDE w:val="false"/>
        <w:autoSpaceDN w:val="false"/>
        <w:bidi w:val="false"/>
        <w:adjustRightInd/>
        <w:snapToGrid/>
        <w:spacing w:before="157" w:beforeLines="50" w:after="157" w:afterLines="50" w:line="360" w:lineRule="auto"/>
        <w:ind w:left="0" w:leftChars="0" w:right="0" w:firstLine="560" w:firstLineChars="200"/>
        <w:jc w:val="both"/>
        <w:rPr/>
      </w:pPr>
      <w:r>
        <w:rPr>
          <w:rFonts w:hint="eastAsia" w:ascii="宋体" w:hAnsi="宋体" w:eastAsia="宋体" w:cs="宋体"/>
          <w:snapToGrid/>
          <w:color w:val="auto"/>
          <w:spacing w:val="0"/>
          <w:w w:val="100"/>
          <w:kern w:val="2"/>
          <w:position w:val="0"/>
          <w:sz w:val="28"/>
          <w:szCs w:val="28"/>
          <w:lang w:val="en-US" w:eastAsia="zh-CN" w:bidi="zh-CN"/>
        </w:rPr>
        <w:t>拟建项目的收入主要有光伏售电收入、储能调峰收入及光伏充电桩收入。详细费用情况参阅第六章节。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 xml:space="preserve"> 市场饱和程度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将根据</w:t>
      </w:r>
      <w:r>
        <w:rPr>
          <w:rFonts w:hint="eastAsia" w:ascii="宋体" w:hAnsi="宋体" w:eastAsia="宋体" w:cs="宋体"/>
          <w:b/>
          <w:bCs/>
          <w:sz w:val="28"/>
          <w:szCs w:val="28"/>
        </w:rPr>
        <w:t>《</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附近用电企业完成自我消纳，</w:t>
      </w:r>
      <w:r>
        <w:rPr>
          <w:rFonts w:hint="eastAsia" w:ascii="宋体" w:hAnsi="宋体" w:eastAsia="宋体" w:cs="宋体"/>
          <w:color w:val="auto"/>
          <w:sz w:val="28"/>
          <w:szCs w:val="28"/>
        </w:rPr>
        <w:t>本项目所产出的绿色电力能源出售给</w:t>
      </w:r>
      <w:r>
        <w:rPr>
          <w:rFonts w:ascii="宋体" w:hAnsi="宋体" w:eastAsia="宋体" w:cs="宋体"/>
          <w:i w:val="false"/>
          <w:strike w:val="false"/>
          <w:spacing w:val="0"/>
          <w:sz w:val="28"/>
          <w:u w:val="none"/>
        </w:rPr>
        <w:t>新乡市腾飞纸业有限公司</w:t>
      </w:r>
      <w:r>
        <w:rPr>
          <w:rFonts w:hint="eastAsia" w:ascii="宋体" w:hAnsi="宋体" w:eastAsia="宋体" w:cs="宋体"/>
          <w:color w:val="auto"/>
          <w:sz w:val="28"/>
          <w:szCs w:val="28"/>
        </w:rPr>
        <w:t>使用</w:t>
      </w:r>
      <w:r>
        <w:rPr>
          <w:rFonts w:hint="eastAsia" w:ascii="宋体" w:hAnsi="宋体" w:eastAsia="宋体" w:cs="宋体"/>
          <w:color w:val="auto"/>
          <w:sz w:val="28"/>
          <w:szCs w:val="28"/>
          <w:lang w:eastAsia="zh-CN"/>
        </w:rPr>
        <w:t>，</w:t>
      </w:r>
      <w:r>
        <w:rPr>
          <w:rFonts w:hint="eastAsia" w:ascii="宋体" w:hAnsi="宋体" w:eastAsia="宋体" w:cs="宋体"/>
          <w:color w:val="000000"/>
          <w:sz w:val="28"/>
          <w:szCs w:val="28"/>
        </w:rPr>
        <w:t>项目年产出绿电约为717.57万KWH</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计算</w:t>
      </w:r>
      <w:r>
        <w:rPr>
          <w:rFonts w:hint="eastAsia" w:ascii="宋体" w:hAnsi="宋体" w:eastAsia="宋体" w:cs="宋体"/>
          <w:color w:val="auto"/>
          <w:sz w:val="28"/>
          <w:szCs w:val="28"/>
          <w:lang w:val="en-US" w:eastAsia="zh-CN"/>
        </w:rPr>
        <w:t>公式见第六章内容）</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经调查，目前</w:t>
      </w:r>
      <w:r>
        <w:rPr>
          <w:rFonts w:ascii="宋体" w:hAnsi="宋体" w:eastAsia="宋体" w:cs="宋体"/>
          <w:i w:val="false"/>
          <w:strike w:val="false"/>
          <w:spacing w:val="0"/>
          <w:sz w:val="28"/>
          <w:u w:val="none"/>
        </w:rPr>
        <w:t>河南大成包装材料有限公司</w:t>
      </w:r>
      <w:r>
        <w:rPr>
          <w:rFonts w:hint="eastAsia" w:ascii="宋体" w:hAnsi="宋体" w:eastAsia="宋体" w:cs="宋体"/>
          <w:color w:val="auto"/>
          <w:sz w:val="28"/>
          <w:szCs w:val="28"/>
          <w:lang w:val="en-US" w:eastAsia="zh-CN"/>
        </w:rPr>
        <w:t>年用电量约</w:t>
      </w:r>
      <w:r>
        <w:rPr>
          <w:rFonts w:hint="eastAsia" w:ascii="宋体" w:hAnsi="宋体" w:eastAsia="宋体" w:cs="宋体"/>
          <w:color w:val="000000"/>
          <w:sz w:val="28"/>
          <w:szCs w:val="28"/>
          <w:lang w:val="en-US" w:eastAsia="zh-CN"/>
        </w:rPr>
        <w:t>为4752.00万</w:t>
      </w:r>
      <w:r>
        <w:rPr>
          <w:rFonts w:hint="eastAsia" w:ascii="宋体" w:hAnsi="宋体" w:eastAsia="宋体" w:cs="宋体"/>
          <w:color w:val="000000"/>
          <w:sz w:val="28"/>
          <w:szCs w:val="28"/>
        </w:rPr>
        <w:t>KWH</w:t>
      </w:r>
      <w:r>
        <w:rPr>
          <w:rFonts w:hint="eastAsia" w:ascii="宋体" w:hAnsi="宋体" w:eastAsia="宋体" w:cs="宋体"/>
          <w:color w:val="000000"/>
          <w:sz w:val="28"/>
          <w:szCs w:val="28"/>
          <w:lang w:eastAsia="zh-CN"/>
        </w:rPr>
        <w:t>，该企业是24小时不间断生产，相应每天用电时段用电量平均，</w:t>
      </w:r>
      <w:r>
        <w:rPr>
          <w:rFonts w:hint="eastAsia" w:ascii="宋体" w:hAnsi="宋体" w:eastAsia="宋体" w:cs="宋体"/>
          <w:b/>
          <w:color w:val="auto"/>
          <w:sz w:val="28"/>
          <w:szCs w:val="28"/>
          <w:lang w:val="en-US" w:eastAsia="zh-CN"/>
        </w:rPr>
        <w:t>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r>
        <w:rPr>
          <w:rFonts w:hint="eastAsia" w:ascii="宋体" w:hAnsi="宋体" w:eastAsia="宋体" w:cs="宋体"/>
          <w:b/>
          <w:color w:val="auto"/>
          <w:sz w:val="28"/>
          <w:szCs w:val="28"/>
        </w:rPr>
        <w:t>本项目所产出绿色电力能源销售价格低于国网销售价格，对用电量较大的企业具有致命的吸引力（销售价格详情见第六章盈利能力分析）。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另外，在项目周边半径20公里范围内，还有众多用电量较大的企业，例如：河南金天化工有限公司年用电量约9000万</w:t>
      </w:r>
      <w:r>
        <w:rPr>
          <w:rFonts w:hint="eastAsia" w:ascii="宋体" w:hAnsi="宋体" w:eastAsia="宋体" w:cs="宋体"/>
          <w:b/>
          <w:color w:val="000000"/>
          <w:sz w:val="28"/>
          <w:szCs w:val="28"/>
        </w:rPr>
        <w:t>KWH、新乡中新化工有限责任公司年用电量约6000万KWH、河南宏一纺织有限公司年用电量约4000万KWH，以上企业都可以作为本项目消纳客户。</w:t>
      </w:r>
      <w:r>
        <w:rPr>
          <w:rFonts w:hint="eastAsia" w:ascii="宋体" w:hAnsi="宋体" w:eastAsia="宋体" w:cs="宋体"/>
          <w:b/>
          <w:color w:val="auto"/>
          <w:sz w:val="28"/>
          <w:szCs w:val="28"/>
        </w:rPr>
        <w:t>目标市场环境较好，容量缺口较大</w:t>
      </w:r>
      <w:r>
        <w:rPr>
          <w:rFonts w:hint="eastAsia" w:ascii="宋体" w:hAnsi="宋体" w:eastAsia="宋体" w:cs="宋体"/>
          <w:color w:val="auto"/>
          <w:sz w:val="28"/>
          <w:szCs w:val="28"/>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行业发展趋势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1、能源结构清洁化加速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 “双碳” 目标引领下，清洁能源在源端的占比将持续大幅提高。太阳能、风能凭借其资源丰富、分布广泛且成本持续降低的优势，将实现大规模快速发展，海上风电、分布式光伏等项目建设加速推进。同时，水电、核能等清洁能源也将稳步发展，传统火电则逐步向灵活性改造和调峰兜底角色转变，以适应清洁能源发电的间歇性和波动性，构建以清洁能源为主导的新型电力供应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2、电网智能化升级深化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应对新能源大规模接入和负荷多样化需求，电网将向智能化、柔性化方向深度发展。先进的电力电子技术广泛应用，实现对电流、电压等参数的精准控制和电能的高效变换；智能电网调度系统更加完善，利用大数据、云计算和人工智能技术，对电网运行状态进行实时监测、分析和预测，优化电力资源配置，提高电网可靠性和供电质量，实现源网荷储各环节的智能互动与协调运行，如虚拟电厂等新型电力运营模式将得到更广泛实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3、用户侧灵活性资源潜力释放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需求侧响应在源网荷储体系中的作用日益凸显。工业、商业和居民用户通过安装智能电表、控制系统等设备，实现用电行为的智能化管理，根据电网供需情况和价格信号灵活调整用电负荷，参与削峰填谷，获取经济收益。储能系统在用户侧的应用将更加普及，不仅保障关键负荷的不间断供电，还能利用峰谷电价差套利，降低用电成本，提升能源利用效率，用户从单纯的电力消费者逐渐转变为电力系统的参与者和调节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4、储能技术多元化突破与规模化应用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是源网荷储协同发展的关键支撑，各类储能技术将共同发展并实现突破。锂离子电池储能在技术成熟度和成本控制方面优势明显，短期内仍将占据主导地位，但安全性和资源回收问题将逐步解决；液流电池、钠离子电池等新型电化学储能技术凭借其长寿命、大容量、高安全性等特点，进入商业化推广阶段；抽水蓄能作为大规模储能的成熟技术，建设步伐加快，同时压缩空气储能、飞轮储能、储热等技术也将在各自适用场景下实现规模化应用，为电力系统提供多样化的储能解决方案，增强系统稳定性和灵活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5、市场机制与商业模式创新活跃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源网荷储行业的发展，电力市场机制将不断完善，分时电价、现货市场、辅助服务市场等更加健全，为各市场主体提供公平、透明的交易环境和多元化的盈利途径。源网荷储一体化项目的商业模式将不断创新，如能源服务公司（ESCO）通过整合能源资源，为用户提供一站式能源解决方案，包括能源供应、节能改造、储能租赁等服务；分布式能源运营商通过建设和运营分布式源网荷储系统，实现电力的直接供应，与电网企业建立互利共赢的合作关系，激发市场活力，推动行业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2.3.</w:t>
      </w:r>
      <w:r>
        <w:rPr>
          <w:rFonts w:hint="eastAsia" w:ascii="宋体" w:hAnsi="宋体" w:eastAsia="宋体" w:cs="宋体"/>
          <w:b/>
          <w:bCs/>
          <w:color w:val="000000"/>
          <w:sz w:val="28"/>
          <w:szCs w:val="28"/>
          <w:lang w:val="en-US" w:eastAsia="zh-CN"/>
        </w:rPr>
        <w:t>6</w:t>
      </w:r>
      <w:r>
        <w:rPr>
          <w:rFonts w:hint="eastAsia" w:ascii="宋体" w:hAnsi="宋体" w:eastAsia="宋体" w:cs="宋体"/>
          <w:b/>
          <w:bCs/>
          <w:color w:val="000000"/>
          <w:sz w:val="28"/>
          <w:szCs w:val="28"/>
        </w:rPr>
        <w:t xml:space="preserve"> 项目产品或服务的竞争力</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1、项目供电价格低于传统供电价格</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企业通过使用绿色能源供电相较于使用传统供电，可以获得更低的电价，从而在节省企业运营成本方面具有显著的优势。本项目系能源供电采取光伏发电，其生产过程无需消耗有限资源，且不产生温室气体排放，因此在价格上往往更为优惠。其次，政府针对可再生能源的政策支持，如补贴和税收优惠，降低了绿色电力的购买成本。这些政策措施进一步降低了企业的用电成本，帮助企业节省运营费用。</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2、绿色电力可以协同中小企业绿色转型</w:t>
      </w:r>
    </w:p>
    <w:p>
      <w:pPr>
        <w:snapToGrid/>
        <w:spacing w:before="0" w:after="0" w:line="360" w:lineRule="auto"/>
        <w:ind w:left="0" w:right="0" w:firstLine="560" w:firstLineChars="200"/>
        <w:jc w:val="both"/>
        <w:rPr/>
      </w:pPr>
      <w:r>
        <w:rPr>
          <w:rFonts w:ascii="宋体" w:hAnsi="宋体" w:eastAsia="宋体" w:cs="宋体"/>
          <w:i w:val="false"/>
          <w:strike w:val="false"/>
          <w:color w:val="000000"/>
          <w:sz w:val="28"/>
          <w:u w:val="none"/>
        </w:rPr>
        <w:t>绿色电力的采用可以在多个层面协助企业实现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企业可以获得技术支持、市场优势和社会认可，实现可持续发展的双赢局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3、源网荷储根据周边企业用电需求进行降本增效提供了安全廉价的绿色电力能源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这一模式下，通过整合电源、电网、负荷和储能等环节，实现了能源的高效利用和优化配置。对于周边企业而言，首先，源网荷储模式中的光伏发电等清洁能源发电方式，大大降低了对传统化石能源的依赖。随着技术的不断进步，光伏发电成本持续下降，为企业提供了廉价的电力供应。相比传统能源，绿色电力价格更为稳定，不受国际能源市场波动的影响，有效降低了企业的能源采购成本。其次，储能系统的加入确保了电力供应的稳定性和可靠性。在用电高峰时期，储能系统可以释放电能，满足企业的用电需求，避免因电网负荷过大而导致的停电或限电情况，为企业的生产经营活动提供了安全保障。同时，企业使用绿色电力有助于减少碳排放，满足环保要求，提升企业的社会形象和市场竞争力。此外，源网荷储一体化模式还可以根据企业的用电需求进行个性化定制，实现精准供电，进一步提高能源利用效率。通过智能化的能源管理系统，企业可以实时监测和控制用电情况，优化用电策略，降低能源浪费。总之，源网荷储模式为周边企业带来了安全廉价的绿色电力能源，为企业的可持续发展提供了有力支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2.3.7 项目产品或服务的市场拥有量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截至 2024 年 12 月 23 日，河南省已实施五批源网荷储一体化项目，规模共计 5.225GW。其中工业企业类项目占比较大，在已实施的 253 个项目中，工业企业类项目有 49 个，占总项目数的比例并不是 60%，但工业企业类项目在项目规模上占据了重要部分。以下是对这一情况的具体介绍：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第一批：6 月 21 日，河南省发改委发布《关于实施第一批源网荷储一体化项目的通知》，共包含 63 个新能源项目，合计规模为 2.145GW，其中工业企业类项目 49 个，规模共计 1254.3MW。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80"/>
        <w:gridCol w:w="1990"/>
        <w:gridCol w:w="1345"/>
      </w:tblGrid>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新能源项目（个数）</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新乡地区（个数）</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其他地区（个数）</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备注</w:t>
            </w:r>
          </w:p>
        </w:tc>
      </w:tr>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第二批：7 月 23 日，河南省发改委发布《关于实施第二批源网荷储一体化项目的通知》，工业企业类 40 个项目纳入第二批实施范围，新能源总规模 917.71MW。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45</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44</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第三批：8 月 30 日，河南省发改委发布《关于实施第三批源网荷储一体化项目（工业企业类、增量配电网类）的通知》，工业企业类 19 个项目纳入第三批实施范围，总规模为 637.6MW。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第四批：11 月 4 日，河南省发展和改革委员会发布《关于实施第四批源网荷储一体化项目的通知》，本批次涉及项目规模共 653.91MW。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59</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第五批：12 月 23 日，河南省发改委发布《关于实施第五批源网荷储一体化项目的通知》，工业企业类 49 个项目纳入第五批实施范围，规模共 823.999MW，包含风电 511.1MW，光伏 312.899MW。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56</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根据以上内容，</w:t>
      </w:r>
      <w:r>
        <w:rPr>
          <w:rFonts w:hint="eastAsia" w:ascii="宋体" w:hAnsi="宋体" w:eastAsia="宋体" w:cs="宋体"/>
          <w:snapToGrid/>
          <w:color w:val="000000"/>
          <w:spacing w:val="0"/>
          <w:w w:val="100"/>
          <w:kern w:val="2"/>
          <w:position w:val="0"/>
          <w:sz w:val="28"/>
          <w:szCs w:val="28"/>
          <w:lang w:val="en-US" w:eastAsia="zh-CN" w:bidi="zh-CN"/>
        </w:rPr>
        <w:t>河南省已实施源网荷储一体化项目第一批至第五批次，新乡市有8个项目申报建设，此间无获嘉县区域项目，</w:t>
      </w:r>
      <w:r>
        <w:rPr>
          <w:rFonts w:hint="eastAsia" w:ascii="宋体" w:hAnsi="宋体" w:eastAsia="宋体" w:cs="宋体"/>
          <w:snapToGrid/>
          <w:color w:val="auto"/>
          <w:spacing w:val="0"/>
          <w:w w:val="100"/>
          <w:kern w:val="2"/>
          <w:position w:val="0"/>
          <w:sz w:val="28"/>
          <w:szCs w:val="28"/>
          <w:lang w:val="en-US" w:eastAsia="zh-CN" w:bidi="zh-CN"/>
        </w:rPr>
        <w:t>市场拥有量为零。</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5" w:name="_Toc20731"/>
      <w:r>
        <w:rPr>
          <w:rFonts w:hint="eastAsia" w:ascii="宋体" w:hAnsi="宋体" w:eastAsia="宋体" w:cs="宋体"/>
          <w:b/>
          <w:bCs/>
          <w:sz w:val="28"/>
          <w:szCs w:val="28"/>
        </w:rPr>
        <w:t>2.4 项目建设内容、规模及产出</w:t>
      </w:r>
      <w:bookmarkEnd w:id="3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2.4.1 建设原则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定位：获嘉县产业集聚区中小企业创业孵化园源网荷储一体化项目定位为新能源综合开发利用项目。集光伏发电、储能调峰及源网荷储于一体，致力于解决企业用电贵的问题，为较大用电需求的企业提供绿色能源，推动获嘉县生态与经济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理念：利用源网荷储一体化的优势在孵化园区内工业厂房屋顶及闲置场地安装光伏发电设备并配备储能设备进行调峰。使有较大用电需求的企业用上绿色、稳定、便宜、可靠的电力能源，从而降低生产经营成本，从而促进双碳战略的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3、规划思路：通过在孵化园区内建设光伏电站及配套储能所产出的绿色电力能源，根据</w:t>
      </w:r>
      <w:r>
        <w:rPr>
          <w:rFonts w:hint="eastAsia" w:ascii="宋体" w:hAnsi="宋体" w:eastAsia="宋体" w:cs="宋体"/>
          <w:b w:val="false"/>
          <w:bCs w:val="false"/>
          <w:sz w:val="28"/>
          <w:szCs w:val="28"/>
          <w:lang w:val="en-US" w:eastAsia="zh-CN"/>
        </w:rPr>
        <w:t>已项目建设地为核心点半径20公里内有较大用电需求的企业提供绿色新能源电力</w:t>
      </w:r>
      <w:r>
        <w:rPr>
          <w:rFonts w:hint="eastAsia" w:ascii="宋体" w:hAnsi="宋体" w:eastAsia="宋体" w:cs="宋体"/>
          <w:color w:val="auto"/>
          <w:sz w:val="28"/>
          <w:szCs w:val="28"/>
        </w:rPr>
        <w:t>，帮助用电企业降低生产经营成本。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4、科学发展的原则，体现数字经济与传统产业融合，坚持可持续发展，注重土地集约利用。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5、高起点、高标准、高效益的原则，启动建设的各项工程一定要服从和服务于总体规划的要求，高起点设计，高标准施工，高效益回报，树精品意识，建样板工程，创一流环境。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6、效益优先的原则，平台建设要有艰苦奋斗的精神，本着少花钱、多办事、办好事的宗旨，精打细算用好每笔资金，集中投入，重点开发，以最小的投入换取最理想的产出。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2.4.2 发展目标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sz w:val="28"/>
        </w:rPr>
        <w:t>1</w:t>
      </w:r>
      <w:r>
        <w:rPr>
          <w:rFonts w:hint="eastAsia" w:ascii="宋体" w:hAnsi="宋体" w:eastAsia="宋体" w:cs="宋体"/>
          <w:snapToGrid/>
          <w:color w:val="auto"/>
          <w:spacing w:val="0"/>
          <w:w w:val="100"/>
          <w:kern w:val="2"/>
          <w:position w:val="0"/>
          <w:sz w:val="28"/>
          <w:szCs w:val="28"/>
          <w:lang w:val="en-US" w:eastAsia="zh-CN" w:bidi="zh-CN"/>
        </w:rPr>
        <w:t>、近期目标（2024-2025）：架设光伏，安装储能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本项目近期主要完成光伏电站及储能电站的架设安装，为较大用电需求的企业供应绿色电力能源。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2、远期目标（2026-2036）：形成智能微电网，服务周边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提高发电量，在满足园区内部中小企业用电的同时，向项目周边中小企业开始蔓延，让周边企业也能够享受绿色的电力能源。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2.4.3 建设内容、规模和产出方案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1、建筑工程</w:t>
      </w:r>
    </w:p>
    <w:p>
      <w:pPr>
        <w:snapToGrid/>
        <w:spacing w:line="240" w:lineRule="auto"/>
        <w:ind w:firstLineChars="200"/>
        <w:rPr>
          <w:color w:val="000000"/>
        </w:rPr>
      </w:pPr>
      <w:r>
        <w:rPr>
          <w:rFonts w:ascii="宋体" w:hAnsi="宋体" w:eastAsia="宋体" w:cs="宋体"/>
          <w:i w:val="false"/>
          <w:strike w:val="false"/>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false"/>
          <w:strike w:val="false"/>
          <w:spacing w:val="0"/>
          <w:sz w:val="28"/>
          <w:u w:val="none"/>
        </w:rPr>
        <w:t>园区内工业厂房屋顶部署</w:t>
      </w:r>
      <w:r>
        <w:rPr>
          <w:rFonts w:hint="eastAsia" w:ascii="宋体" w:hAnsi="宋体" w:eastAsia="宋体" w:cs="宋体"/>
          <w:i w:val="false"/>
          <w:strike w:val="false"/>
          <w:spacing w:val="0"/>
          <w:sz w:val="28"/>
          <w:u w:val="none"/>
          <w:lang w:val="en-US" w:eastAsia="zh-CN"/>
        </w:rPr>
        <w:t>5956</w:t>
      </w:r>
      <w:r>
        <w:rPr>
          <w:rFonts w:ascii="宋体" w:hAnsi="宋体" w:eastAsia="宋体" w:cs="宋体"/>
          <w:i w:val="false"/>
          <w:strike w:val="false"/>
          <w:spacing w:val="0"/>
          <w:sz w:val="28"/>
          <w:u w:val="none"/>
        </w:rPr>
        <w:t>KW的分布式光伏发电系统，并配套安装用户侧储能设施，总规模达到</w:t>
      </w:r>
      <w:r>
        <w:rPr>
          <w:rFonts w:hint="eastAsia" w:ascii="宋体" w:hAnsi="宋体" w:eastAsia="宋体" w:cs="宋体"/>
          <w:i w:val="false"/>
          <w:strike w:val="false"/>
          <w:spacing w:val="0"/>
          <w:sz w:val="28"/>
          <w:u w:val="none"/>
          <w:lang w:val="en-US" w:eastAsia="zh-CN"/>
        </w:rPr>
        <w:t>20</w:t>
      </w:r>
      <w:r>
        <w:rPr>
          <w:rFonts w:ascii="宋体" w:hAnsi="宋体" w:eastAsia="宋体" w:cs="宋体"/>
          <w:i w:val="false"/>
          <w:strike w:val="false"/>
          <w:spacing w:val="0"/>
          <w:sz w:val="28"/>
          <w:u w:val="none"/>
        </w:rPr>
        <w:t>MW/</w:t>
      </w:r>
      <w:r>
        <w:rPr>
          <w:rFonts w:hint="eastAsia" w:ascii="宋体" w:hAnsi="宋体" w:eastAsia="宋体" w:cs="宋体"/>
          <w:i w:val="false"/>
          <w:strike w:val="false"/>
          <w:spacing w:val="0"/>
          <w:sz w:val="28"/>
          <w:u w:val="none"/>
          <w:lang w:val="en-US" w:eastAsia="zh-CN"/>
        </w:rPr>
        <w:t>40</w:t>
      </w:r>
      <w:r>
        <w:rPr>
          <w:rFonts w:ascii="宋体" w:hAnsi="宋体" w:eastAsia="宋体" w:cs="宋体"/>
          <w:i w:val="false"/>
          <w:strike w:val="false"/>
          <w:spacing w:val="0"/>
          <w:sz w:val="28"/>
          <w:u w:val="none"/>
        </w:rPr>
        <w:t>MWh（其中包含3MW储能换电模块）。此外，项目规划安装</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个600kw液冷光储充电桩和其他等量充电桩，并同步实施其他相关配套工程。通过源网荷储一体化方案，本项目将用户侧储能设备直接安装在</w:t>
      </w:r>
      <w:r>
        <w:rPr>
          <w:rFonts w:hint="eastAsia" w:ascii="宋体" w:hAnsi="宋体" w:eastAsia="宋体" w:cs="宋体"/>
          <w:i w:val="false"/>
          <w:strike w:val="false"/>
          <w:spacing w:val="0"/>
          <w:sz w:val="28"/>
          <w:u w:val="none"/>
        </w:rPr>
        <w:t>河南大成包装材料有限公司</w:t>
      </w:r>
      <w:r>
        <w:rPr>
          <w:rFonts w:ascii="宋体" w:hAnsi="宋体" w:eastAsia="宋体" w:cs="宋体"/>
          <w:i w:val="false"/>
          <w:strike w:val="false"/>
          <w:spacing w:val="0"/>
          <w:sz w:val="28"/>
          <w:u w:val="none"/>
        </w:rPr>
        <w:t>（以下简称“</w:t>
      </w:r>
      <w:r>
        <w:rPr>
          <w:rFonts w:hint="eastAsia" w:ascii="宋体" w:hAnsi="宋体" w:eastAsia="宋体" w:cs="宋体"/>
          <w:i w:val="false"/>
          <w:strike w:val="false"/>
          <w:spacing w:val="0"/>
          <w:sz w:val="28"/>
          <w:u w:val="none"/>
          <w:lang w:val="en-US" w:eastAsia="zh-CN"/>
        </w:rPr>
        <w:t>大成包装</w:t>
      </w:r>
      <w:r>
        <w:rPr>
          <w:rFonts w:ascii="宋体" w:hAnsi="宋体" w:eastAsia="宋体" w:cs="宋体"/>
          <w:i w:val="false"/>
          <w:strike w:val="false"/>
          <w:spacing w:val="0"/>
          <w:sz w:val="28"/>
          <w:u w:val="none"/>
        </w:rPr>
        <w:t>”）内部，项目所产出的新能源电力将直供给</w:t>
      </w:r>
      <w:r>
        <w:rPr>
          <w:rFonts w:hint="eastAsia" w:ascii="宋体" w:hAnsi="宋体" w:eastAsia="宋体" w:cs="宋体"/>
          <w:i w:val="false"/>
          <w:strike w:val="false"/>
          <w:spacing w:val="0"/>
          <w:sz w:val="28"/>
          <w:u w:val="none"/>
          <w:lang w:val="en-US" w:eastAsia="zh-CN"/>
        </w:rPr>
        <w:t>大成包装</w:t>
      </w:r>
      <w:r>
        <w:rPr>
          <w:rFonts w:ascii="宋体" w:hAnsi="宋体" w:eastAsia="宋体" w:cs="宋体"/>
          <w:i w:val="false"/>
          <w:strike w:val="false"/>
          <w:spacing w:val="0"/>
          <w:sz w:val="28"/>
          <w:u w:val="none"/>
        </w:rPr>
        <w:t>使用</w:t>
      </w:r>
      <w:r>
        <w:rPr>
          <w:rFonts w:ascii="宋体" w:hAnsi="宋体" w:eastAsia="宋体" w:cs="宋体"/>
          <w:i w:val="false"/>
          <w:strike w:val="false"/>
          <w:color w:val="000000"/>
          <w:spacing w:val="0"/>
          <w:sz w:val="28"/>
          <w:u w:val="none"/>
        </w:rPr>
        <w:t>。</w:t>
      </w:r>
    </w:p>
    <w:p>
      <w:pPr>
        <w:pBdr>
          <w:bottom w:val="none" w:color="auto" w:sz="0" w:space="0"/>
        </w:pBdr>
        <w:snapToGrid/>
        <w:spacing w:before="157" w:after="157" w:line="360" w:lineRule="auto"/>
        <w:ind w:left="0" w:firstLine="560" w:firstLineChars="200"/>
        <w:jc w:val="both"/>
        <w:rPr>
          <w:rFonts w:ascii="宋体" w:hAnsi="宋体" w:eastAsia="宋体" w:cs="宋体"/>
          <w:i w:val="false"/>
          <w:strike w:val="false"/>
          <w:color w:val="000000"/>
          <w:spacing w:val="0"/>
          <w:sz w:val="28"/>
          <w:u w:val="none"/>
        </w:rPr>
      </w:pPr>
      <w:r>
        <w:rPr>
          <w:rFonts w:hint="eastAsia" w:ascii="宋体" w:hAnsi="宋体" w:eastAsia="宋体" w:cs="宋体"/>
          <w:i w:val="false"/>
          <w:strike w:val="false"/>
          <w:color w:val="000000"/>
          <w:spacing w:val="0"/>
          <w:sz w:val="28"/>
          <w:u w:val="none"/>
          <w:lang w:val="en-US" w:eastAsia="zh-CN"/>
        </w:rPr>
        <w:t>2、光伏储能设备占用面积</w:t>
      </w:r>
    </w:p>
    <w:p>
      <w:pPr>
        <w:pBdr>
          <w:bottom w:val="none" w:color="auto" w:sz="0" w:space="0"/>
        </w:pBdr>
        <w:snapToGrid/>
        <w:spacing w:before="157" w:after="157" w:line="360" w:lineRule="auto"/>
        <w:ind w:left="0" w:firstLine="560" w:firstLineChars="200"/>
        <w:jc w:val="both"/>
        <w:rPr>
          <w:rFonts w:ascii="宋体" w:hAnsi="宋体" w:eastAsia="宋体" w:cs="宋体"/>
          <w:i w:val="false"/>
          <w:strike w:val="false"/>
          <w:color w:val="FF0000"/>
          <w:spacing w:val="0"/>
          <w:sz w:val="28"/>
          <w:u w:val="none"/>
        </w:rPr>
      </w:pPr>
      <w:r>
        <w:rPr>
          <w:rFonts w:ascii="宋体" w:hAnsi="宋体" w:eastAsia="宋体" w:cs="宋体"/>
          <w:i w:val="false"/>
          <w:strike w:val="false"/>
          <w:color w:val="000000"/>
          <w:spacing w:val="0"/>
          <w:sz w:val="28"/>
          <w:u w:val="none"/>
        </w:rPr>
        <w:t>项目规划利用获嘉县产业集聚区中小企业创业孵化园项目屋顶面积为31530.09m²，园区内可使用道路区域面积为12267.68m²，合计可使用面积为42807.95m²。房产及按照柔性光伏详细情况如下：</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552" w:hRule="atLeast"/>
          <w:tblHeader/>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总建筑面积(²)</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5232.76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7758.74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6798.84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50096.4</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6" w:name="_Toc21466"/>
      <w:r>
        <w:rPr>
          <w:rFonts w:hint="eastAsia" w:ascii="宋体" w:hAnsi="宋体" w:eastAsia="宋体" w:cs="宋体"/>
          <w:b/>
          <w:bCs/>
          <w:sz w:val="28"/>
          <w:szCs w:val="28"/>
        </w:rPr>
        <w:t>2.5 项目商业模式</w:t>
      </w:r>
      <w:bookmarkEnd w:id="3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2.5.1 商业可行性分析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本项目拥有卓越的商业可行性。基于源网荷储一体化模式，根据项目周边半径 20 公里内单个用电需求较大的企业。依据企业确切的用电规模来铺设光伏发电装置，充分利用当地充沛的太阳能资源，为企业提供清洁电能。而储能利用峰谷电价差，在用电低谷时段，从国网购入低价电储存起来，此时段电价成本优势显著；待企业进入用电高峰，储能装置即时放电，满足企业激增的用电需求，有效平抑高峰用电压力，确保供电稳定不间断。相较于国网高峰电价，项目以更低价格向企业供电，为企业的生产经营成本减负，极大提升企业竞争力，企业自然乐于合作。项目借此稳定的供需关系保障收益，随着运营成熟，成本可控下降，盈利逐步上扬，商业前景一片光明，有望成为区域能源供应的创新典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2.5.2 融资可行性分析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方面，国家层面大力推动能源结构调整与绿色发展，积极鼓励源网荷储一体化建设，为项目指明了方向并营造了宏观政策环境。河南省印发的《河南省加快推进源网荷储一体化实施方案》，明确了项目实施范围、重点任务及保障措施，给予项目清晰的指引和潜在的政策支持。同时，当地政府也可能会出台配套的补贴、税收优惠、专项基金等具体政策，如对新能源发电设施建设给予资金补贴，对项目运营过程中的税费进行减免，设立专门针对源网荷储项目的发展基金等，这些举措将直接降低项目的投资成本与运营风险，增强项目在金融市场的吸引力，使金融机构和投资者基于政策稳定性和优惠力度，更愿意为项目提供融资，提高项目的融资可得性与资金规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现金流方面，直供企业用电需求较大，构成了坚实的现金流基础。项目建成后，通过采用直供的方式向用电企业提供绿色电力输出，结合峰谷电价差利用储能设施套利，以及参与电力辅助服务市场获取收益等多元途径，能够产生稳定、可预测且持续增长的现金流。例如，在用电低谷期储存国网低价电能，高峰期释放高价卖出，额外赚取差价收益；通过为电网提供调频、调压等辅助服务，获得服务费用。这些稳定的收入流为项目偿还融资贷款本息、维持日常运营以及实现盈利提供了可靠保障，向融资方展示了项目良好的财务可持续性和偿债能力，从而提升项目融资的成功率与融资额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需求供给方面，企业对电力的稳定、可靠、优质供应存在刚性需求，而源网荷储一体化项目能够精准匹配这一需求。项目利用清洁能源发电，结合智能电网调配和储能调节，实现电力的稳定生产与灵活供给，有效应对企业生产过程中的电力需求波动，确保电力供应的及时性与适配性。无论是生产高峰期的高电量需求，还是应对突发停电状况的应急供电，项目都能通过自身的源网荷储系统实现高效保障。这种紧密契合的供需关系，使得项目的电力销售具备高度的稳定性与市场竞争力，为融资提供了稳固的商业逻辑支撑，使投资者相信项目的盈利前景，进而愿意为项目建设与运营提供资金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市场拥有量方面，获嘉县乃至周边地区能源市场正处于快速发展与变革期，对清洁能源及源网荷储一体化项目的需求日益旺盛。随着区域经济发展、产业升级以及环保意识的增强，用电负荷持续攀升，清洁能源的市场接纳度不断提高。本项目不仅能够“一对一”的满足企业的用电需求，还具备向周边区域拓展市场的潜力，通过扩大电力销售范围和服务领域，增加发电设备，提高电量产出，进一步提升项目的收入水平与市场份额。广阔的市场前景预示着项目具备良好的盈利潜力与长期发展空间，在融资过程中能够向投资者充分展示项目的优势与价值，吸引包括银行贷款、产业投资基金、社会资本等多种渠道的资金流入，为项目的全方位发展提供充足的资金保障，有力推动项目落地实施并达成预期的经济、社会与环境效益，助力获嘉县产业集聚区实现绿色低碳转型与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2.5.3 项目商业模式创新和综合开发情况分析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获嘉县产业集聚区创业孵化园有限公司在源网荷储项目中创新采用合同能源管理模式。获嘉县产业集聚区创业孵化园有限公司负责筹资建设光伏、储能等相关设施，与</w:t>
      </w:r>
      <w:r>
        <w:rPr>
          <w:rFonts w:hint="eastAsia" w:ascii="宋体" w:hAnsi="宋体" w:eastAsia="宋体" w:cs="宋体"/>
          <w:i w:val="false"/>
          <w:strike w:val="false"/>
          <w:color w:val="000000"/>
          <w:spacing w:val="0"/>
          <w:sz w:val="28"/>
          <w:u w:val="none"/>
          <w:vertAlign w:val="baseline"/>
        </w:rPr>
        <w:t>河南大成包装材料有限公司</w:t>
      </w:r>
      <w:r>
        <w:rPr>
          <w:rFonts w:ascii="宋体" w:hAnsi="宋体" w:eastAsia="宋体" w:cs="宋体"/>
          <w:i w:val="false"/>
          <w:strike w:val="false"/>
          <w:color w:val="000000"/>
          <w:spacing w:val="0"/>
          <w:sz w:val="28"/>
          <w:u w:val="none"/>
          <w:vertAlign w:val="baseline"/>
        </w:rPr>
        <w:t>签订合同，在合同期内，通过源网荷储模式为其提供电力。在运营过程中，公司精准监测和分析</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的用电数据，利用光伏发电和储能系统的协同运作，满足其用电需求并降低用电成本。</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在综合开发层面，项目综合开发采用</w:t>
      </w:r>
      <w:r>
        <w:rPr>
          <w:rFonts w:ascii="宋体" w:hAnsi="宋体" w:eastAsia="宋体" w:cs="宋体"/>
          <w:b/>
          <w:i w:val="false"/>
          <w:strike w:val="false"/>
          <w:color w:val="000000"/>
          <w:spacing w:val="0"/>
          <w:sz w:val="28"/>
          <w:u w:val="none"/>
          <w:vertAlign w:val="baseline"/>
        </w:rPr>
        <w:t>光伏 + 储能 + 光储充</w:t>
      </w:r>
      <w:r>
        <w:rPr>
          <w:rFonts w:hint="eastAsia" w:ascii="宋体" w:hAnsi="宋体" w:eastAsia="宋体" w:cs="宋体"/>
          <w:b/>
          <w:i w:val="false"/>
          <w:strike w:val="false"/>
          <w:color w:val="000000"/>
          <w:spacing w:val="0"/>
          <w:sz w:val="28"/>
          <w:u w:val="none"/>
          <w:vertAlign w:val="baseline"/>
        </w:rPr>
        <w:t>换电</w:t>
      </w:r>
      <w:r>
        <w:rPr>
          <w:rFonts w:ascii="宋体" w:hAnsi="宋体" w:eastAsia="宋体" w:cs="宋体"/>
          <w:b/>
          <w:i w:val="false"/>
          <w:strike w:val="false"/>
          <w:color w:val="000000"/>
          <w:spacing w:val="0"/>
          <w:sz w:val="28"/>
          <w:u w:val="none"/>
          <w:vertAlign w:val="baseline"/>
        </w:rPr>
        <w:t>相结合的方式</w:t>
      </w:r>
      <w:r>
        <w:rPr>
          <w:rFonts w:ascii="宋体" w:hAnsi="宋体" w:eastAsia="宋体" w:cs="宋体"/>
          <w:i w:val="false"/>
          <w:strike w:val="false"/>
          <w:color w:val="000000"/>
          <w:spacing w:val="0"/>
          <w:sz w:val="28"/>
          <w:u w:val="none"/>
          <w:vertAlign w:val="baseline"/>
        </w:rPr>
        <w:t>。以光伏发电为基础，将太阳能转化为电能，除直接供给腾飞纸业使用外，还为储能系统充电。储能系统发挥 “削峰填谷” 作用，在电力低谷时储存电能，在高峰时段释放电能，平抑电价波动，保障对</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的电力稳定供应，降低其用电成本。光储充电桩的设置则进一步拓展了项目的应用场景，一方面满足了</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内部及来访人员的新能源汽车充电需求，另一方面，在充电桩闲置时可将多余电能回馈至电网或供企业使用，提高了能源的综合利用效率。通过这种综合开发方式，形成了一个高效、循环的能源生态系统，不仅保障了企业的能源供应，还拓展了项目的盈利渠道，提升了项目整体的市场竞争力与可持续发展能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2.5.4 招商策略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本项目的招商策略围绕绿色电力的销售与推广展开，旨在构建一个稳定且可持续发展的市场体系。我们凭借源网荷储一体化项目所生产的绿色电力，为企业提供清洁、稳定且价格合理的电力解决方案。通过与企业建立紧密的合作关系，深入了解其用电需求和负荷特性，制定个性化的电力供应套餐，不仅助力其降低用电成本，还能提升企业的绿色形象，增强其市场竞争力。在满足企业用电后，我们将目光投向周边企业，利用项目优越的地理位置和完善的电力输送网络，积极拓展外部市场。针对周边企业的用电特点和需求，开展精准营销，宣传绿色电力的优势和可靠性，通过合理的定价策略和优质的服务，吸引周边企业加入，从而提高电力的利用率和项目的整体收益。同时，我们将不断优化电力生产和供应流程，加强储能设施的管理与调配，确保在不同时段和用电需求下，都能为客户提供高质量的电力供应，逐步树立项目在绿色电力市场中的良好口碑和品牌形象，吸引更多企业参与到我们的绿色电力生态系统中，实现项目与客户的互利共赢和共同发展。</w:t>
      </w:r>
    </w:p>
    <w:p>
      <w:pPr>
        <w:snapToGrid w:val="false"/>
        <w:spacing w:before="0" w:after="0" w:line="240" w:lineRule="auto"/>
        <w:ind w:left="0" w:right="0"/>
        <w:jc w:val="left"/>
        <w:rPr/>
      </w:pP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37" w:name="_Toc13005"/>
      <w:bookmarkStart w:id="38" w:name="_Toc15267"/>
      <w:r>
        <w:rPr>
          <w:rFonts w:hint="eastAsia" w:ascii="宋体" w:hAnsi="宋体" w:eastAsia="宋体" w:cs="宋体"/>
          <w:b/>
          <w:bCs/>
          <w:sz w:val="36"/>
          <w:szCs w:val="36"/>
          <w:lang w:val="en-US" w:eastAsia="zh-CN"/>
        </w:rPr>
        <w:t>第三章 项目选址与要素保障</w:t>
      </w:r>
      <w:bookmarkEnd w:id="37"/>
      <w:bookmarkEnd w:id="3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9" w:name="_Toc26467"/>
      <w:bookmarkStart w:id="40" w:name="_Toc31412"/>
      <w:r>
        <w:rPr>
          <w:rFonts w:hint="eastAsia" w:ascii="宋体" w:hAnsi="宋体" w:eastAsia="宋体" w:cs="宋体"/>
          <w:b/>
          <w:bCs/>
          <w:sz w:val="28"/>
          <w:szCs w:val="28"/>
        </w:rPr>
        <w:t>3.1 项目地址</w:t>
      </w:r>
      <w:bookmarkEnd w:id="39"/>
      <w:bookmarkEnd w:id="40"/>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本项目地址位于新乡市获嘉县</w:t>
      </w:r>
      <w:r>
        <w:rPr>
          <w:rFonts w:ascii="宋体" w:hAnsi="宋体" w:eastAsia="宋体" w:cs="宋体"/>
          <w:i w:val="false"/>
          <w:strike w:val="false"/>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项目周边规划有完善的给排水、供电、通讯等配套基础设施，能够满足项目建设及运营期的需要。项目区处于产业园内，且产业园内基本实现了“水、电、路、通讯”四通一平，土地价值升值潜力大。项目区域远离光污染地带、周边500m范围内无强辐射，更无污水处理厂垃圾处理等恶臭场所，项目区地势平坦、阳光充足、自然条件良好，适宜本项目的开发建设。</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1" w:name="_Toc7467"/>
      <w:bookmarkStart w:id="42" w:name="_Toc25200"/>
      <w:r>
        <w:rPr>
          <w:rFonts w:hint="eastAsia" w:ascii="宋体" w:hAnsi="宋体" w:eastAsia="宋体" w:cs="宋体"/>
          <w:b/>
          <w:bCs/>
          <w:sz w:val="28"/>
          <w:szCs w:val="28"/>
        </w:rPr>
        <w:t>3.2 项目建设条件</w:t>
      </w:r>
      <w:bookmarkEnd w:id="41"/>
      <w:bookmarkEnd w:id="4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3.2.1 拟建项目所在区域的自然条件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1、地理位置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地处中原腹地，河南省北部，地理坐标为东经113°23′～115°01′，北纬34°53′～35°50′，中心位于北纬35°18′，东经113°54′，南临黄河，与郑州市、开封市隔河相望；北依太行，与鹤壁市、安阳市毗邻；西连太极故里焦作市，与晋东南接壤；东接油城濮阳市与鲁西相连，总面积8249平方公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获嘉县位于河南省新乡市西部，东连新乡县，南接原阳县，西邻武陟县、修武县，北与辉县市隔大沙河相望。获嘉县总面积为473.15平方公里，人口约40万。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2、地形、地貌</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新乡市西部，北依太行山，南临黄河，地理位置优越，交通便利。县域面积为473平方公里，地势平坦，南北环山，内居平川，海拔在1356米，平均海拔357米左右，农业区平均海拔58790米左右。获嘉县的地形主要是平原，拥有丰富的农业资源，土壤肥沃，气候适宜，是重要的产粮区，同时也是国家优质粮产业化开发示范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根据《建筑抗震设计规范》（GB50011-2010，2016年版），本工程所在地抗震设防基本烈度为小于6度区，场地抗震设防烈度为6度，设计基本加速度值为0.05g，设计地震分组为第一组。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属于暖温带大陆性季风气候，其年均无霜期为221.2天，年均降雨量为557.2毫米。该县地处黄河、海河两大流域，境内有多条河流，包括大狮涝河、共产主义渠、大沙河、西孟姜女河、人民胜利渠和武嘉干渠，均由西南向东北流经获嘉县。此外，“南水北调”中线工程紧邻县境，引黄工程完善，因此水资源相对充沛，获嘉县的地下水埋藏较浅，主要由降水入渗和黄河侧渗补充，当前的埋深一般为4—5米。潜水以蒸发为主要排泄方式，水质优良，矿化度小于1克/升，水化学类型是HCO3—Na9K型。水源主要来自地下水、天然渠、文岩渠及地表径流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5、气象</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属于暖温带大陆性季风气候，四季分明，冬寒夏热，秋凉春早，历年平均气温14.6℃，年均无霜期约为221.2天，年均降雨量为557.2毫米，年均降雪日为14.1天，年均日照时数为2058.4小时。7月最热，平均27.3°C；1月最冷，平均0.2°C。从气候条件来看，获嘉县的气候条件有利于农业种植，同时也为居民提供了舒适的生活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6、地震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根据《建筑抗震设施规范》(GB50011-2001)划分，该区域为8度地震烈度区，设计基本地震加速度值为0.2g。</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7、工程地质评价及建议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拟建项目区未发现诸如岩溶、滑坡、崩塌、塌陷、采空区、地面沉降、地裂等不良地质作用；也未发现影响地基稳定性的古河道、沟浜、孤石及其他人工地下设施等对工程有不利影响的埋藏物。拟建项目区域地层分布连续稳定，承载力高，工程地质条件较好，能够满足项目建设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3.2.2 交通运输条件</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地理位置优越，交通便利。境内有京广铁路、新焦铁路、菏宝高速贯通，是晋煤外运、南太行旅游的重要通道。南距郑州国际机场80公里、东距京港澳高速20公里，京广铁路、新焦铁路、菏宝高速贯通全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3.2.3 公用工程条件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1、给水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本项目水源为市政自来水，项目区规划周边敷设有市政自来水管网，水量充足，能满足项目用水需要。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2、排水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本项目采用雨、污水分流排放。项目区规划周边敷设有市政雨、污水管网，污水经收集后排入化粪池，之后排入市政污水管网。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3、供电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区用电涉及二级负荷，为满足二级负荷供电要求，计划从市政的高压站引入二路10KV电源，具体接入点应有上级电力主管部门确定。由建设单位进一步落实，园区内基础设施已布置完成，周边可满足项目的高压电源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4、燃气</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本项目所需燃气引自市政燃气管网。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5、通信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城市通讯电缆由周边现有市政道路引入。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3.2.4 施工条件及公共服务条件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1、建筑材料、设备与劳动力供应条件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的建设需要大量的建筑材料，例如钢材、水泥、沥青、碎石、砂、石灰以及各类市政管道等。这些材料在获嘉县供应非常丰富，通过正常的市场采购很容易得到满足。工程施工相关的机械设备均为通用设备，各专业工程均有成熟的施工工艺，相关劳动力的市场供应也非常充足。因此工程实施的物资供应条件比较充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2、燃料和动力供应条件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项目施工主要机械燃料分为汽油、柴油、以及新能源电力，本项目施工地点在县区周边，施工机械所需燃料在市区附近就能够得到补充。燃料及动力供应条件充足。</w:t>
      </w:r>
    </w:p>
    <w:p>
      <w:pPr>
        <w:pStyle w:val="000007"/>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jc w:val="both"/>
        <w:textAlignment w:val="baseline"/>
        <w:rPr/>
      </w:pPr>
      <w:bookmarkStart w:id="43" w:name="_Toc25559"/>
      <w:bookmarkStart w:id="44" w:name="_Toc28200"/>
      <w:r>
        <w:rPr>
          <w:rFonts w:ascii="宋体" w:hAnsi="宋体" w:eastAsia="宋体" w:cs="宋体"/>
          <w:b/>
          <w:i w:val="false"/>
          <w:strike w:val="false"/>
          <w:color w:val="000000"/>
          <w:spacing w:val="0"/>
          <w:sz w:val="28"/>
          <w:u w:val="none"/>
          <w:vertAlign w:val="baseline"/>
        </w:rPr>
        <w:t>3.3 要素保障分析</w:t>
      </w:r>
      <w:bookmarkEnd w:id="43"/>
      <w:bookmarkEnd w:id="4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3.3.1 土地要素保障和规划审批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本项目将光伏及储能设备安装于已建设的土地上，充分利用现有土地资源，无需额外占用新土地，因此，在土地要素保障方面无需进行额外的审批流程</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3.3.2 资源环境要素保障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1、该项目所在地处于县区周边，市政生活用水保障充足。项目运营后所需水资源能够得到保障。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2、该项目建设涉及少量的施工粉尘，经过施工保护措施，可以基本消除对大气环境的影响。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3、该项目施工全部在既有建筑土地上进行，不涉及森林、草皮等植被破坏，生态承载能力及其保障条件充分。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4、该项目运营后由自身光伏供电及国网供电，当地电网供电充足，涉及碳排放强度和污染减排指标控制要求。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3.3.3 保障指标分析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位于河南省新乡市获嘉县，项目所处区位交通良好，自然条件优越，区域内的供水、供电、通讯、原材料、人力等各项基础设施完善，为该项目的建设提供了充分保障，项目建于此有很大优势，便于项目的推广和运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故综上所述，该项目的建设条件是可行的。</w:t>
      </w: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r>
        <w:rPr>
          <w:rFonts w:hint="eastAsia" w:ascii="宋体" w:hAnsi="宋体" w:eastAsia="宋体" w:cs="宋体"/>
          <w:color w:val="auto"/>
          <w:spacing w:val="0"/>
          <w:w w:val="100"/>
          <w:kern w:val="2"/>
          <w:position w:val="0"/>
          <w:sz w:val="28"/>
          <w:szCs w:val="28"/>
          <w:lang w:val="en-US" w:eastAsia="zh-CN" w:bidi="ar-SA"/>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color w:val="000000"/>
          <w:sz w:val="36"/>
          <w:szCs w:val="36"/>
          <w:lang w:val="en-US" w:eastAsia="zh-CN"/>
        </w:rPr>
      </w:pPr>
      <w:bookmarkStart w:id="45" w:name="_Toc4346"/>
      <w:bookmarkStart w:id="46" w:name="_Toc3039"/>
      <w:r>
        <w:rPr>
          <w:rFonts w:hint="eastAsia" w:ascii="宋体" w:hAnsi="宋体" w:eastAsia="宋体" w:cs="宋体"/>
          <w:b/>
          <w:bCs/>
          <w:color w:val="000000"/>
          <w:sz w:val="36"/>
          <w:szCs w:val="36"/>
          <w:lang w:val="en-US" w:eastAsia="zh-CN"/>
        </w:rPr>
        <w:t>第四章 项目建设方案</w:t>
      </w:r>
      <w:bookmarkEnd w:id="45"/>
      <w:bookmarkEnd w:id="4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7" w:name="_Toc9208"/>
      <w:bookmarkStart w:id="48" w:name="_Toc2467"/>
      <w:r>
        <w:rPr>
          <w:rFonts w:hint="eastAsia" w:ascii="宋体" w:hAnsi="宋体" w:eastAsia="宋体" w:cs="宋体"/>
          <w:b/>
          <w:bCs/>
          <w:sz w:val="28"/>
          <w:szCs w:val="28"/>
        </w:rPr>
        <w:t>4.1 技术方案</w:t>
      </w:r>
      <w:bookmarkEnd w:id="47"/>
      <w:bookmarkEnd w:id="48"/>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本项目主要建设内容分布式</w:t>
      </w:r>
      <w:r>
        <w:rPr>
          <w:rFonts w:hint="eastAsia" w:ascii="宋体" w:hAnsi="宋体" w:eastAsia="宋体" w:cs="宋体"/>
          <w:i w:val="false"/>
          <w:strike w:val="false"/>
          <w:color w:val="000000"/>
          <w:spacing w:val="0"/>
          <w:sz w:val="28"/>
          <w:u w:val="none"/>
          <w:vertAlign w:val="baseline"/>
          <w:lang w:val="en-US" w:eastAsia="zh-CN"/>
        </w:rPr>
        <w:t>光伏发电设备及储能设备</w:t>
      </w:r>
      <w:r>
        <w:rPr>
          <w:rFonts w:ascii="宋体" w:hAnsi="宋体" w:eastAsia="宋体" w:cs="宋体"/>
          <w:i w:val="false"/>
          <w:strike w:val="false"/>
          <w:color w:val="000000"/>
          <w:spacing w:val="0"/>
          <w:sz w:val="28"/>
          <w:u w:val="none"/>
          <w:vertAlign w:val="baseline"/>
        </w:rPr>
        <w:t>，项目不涉及生产方法、生产工艺技术。在建设方面，河南省具有实力的且经验丰富的设计单位和施工单位众多，项目建设方面成熟的生产工艺，工艺成熟、可靠性强。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4.1.1 技术方案的选用原则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在充分考虑经济条件和管理水平以及生产过程中人流、物流、信息流的合理顺畅，优先选用安全可靠、技术先进、工艺成熟、投资省、占地少、运行费用低、操作管理方便的工艺。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1、立足企业技术资源优势和企业整体优势。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2、综合考虑企业的整体发展规划。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3、突出产品及技术优势，以安全环保为核心进行设计。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4、优先选择清洁工艺，注重节能节水环保。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5、符合国家的有关资源、产业政策。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6、先进技术与合理投资相结合，工艺的先进性与实际应用的可行性相结合。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对于项目生产技术方案的选用，遵循“技术上先进可行，经济上合理有利，综合利用资源”的进步原则，采用先进的集散型控制系统，由计算机统一控制整个生产线的各工艺参数，使产品质量稳定在高水平上，同时可降低物料的消耗。严格按行业规范要求组织生产经营活动，有效控制产品质量，为广大顾客提供优质的产品和良好的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8、在工艺设备的配置上，依据节能的原则，选用新型节能型设备，根据有利于环境保护的原则，优先选用环境保护型设备，满足该项目所制定的产品方案的要求。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9、根据该项目的产品方案，所选用的工艺流程能够满足该项目产品的要求，同时，加强员工技术培训，严格质量管理，严格按照工艺流程技术要求进行操作，提高产品合格率。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10、遵循“高起点、优质量、专业化、经济规模”的建设原则。积极采用新技术、新工艺和高效率专用设备，使用高质量的原辅材料，稳定和提高产品质量，制造高附加值的产品，不断提高企业的市场竞争力。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11、项目建设贯彻“三同时”的原则，注重环境保护、职业安全卫生、消防及节能等各项措施的落实。</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9" w:name="_Toc20607"/>
      <w:bookmarkStart w:id="50" w:name="_Toc12497"/>
      <w:r>
        <w:rPr>
          <w:rFonts w:hint="eastAsia" w:ascii="宋体" w:hAnsi="宋体" w:eastAsia="宋体" w:cs="宋体"/>
          <w:b/>
          <w:bCs/>
          <w:sz w:val="28"/>
          <w:szCs w:val="28"/>
        </w:rPr>
        <w:t>4.2 设备方案</w:t>
      </w:r>
      <w:bookmarkEnd w:id="49"/>
      <w:bookmarkEnd w:id="5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4.2.1 设备配置原则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备方案选择依据使用功能确定，应该满足以下基本要求：主要设备方案与拟定建设规模相适应，以最大限度满足项目投产后生产要求；主要设备之间、主要设备与辅助设备之间的能力相互配套；设备质量、性能成熟，以保证生产的稳定性和产品质量；设备选择在保证性能前提下，力求经济合理；选用设备应符合国家和有关部门颁布的相关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为适应该项目生产需要，确保产品的质量，增强生产的可操作手段，必须完整配置各种技术装备，该项目设备应选择国内外现有的先进、成熟、可靠的设备，因此，在主设备选型上应遵循以下原则：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1、主要设备选型的原则应与选择的项目建设规模、产品方案相适应，满足项目的要求，可获得最大效益。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3、提高连续化、大型化程序，降低劳动强度，提高劳动生产率。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4、降低原材料、水、电单耗，满足环境保护要求。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5、强调设备的可靠性、成熟性，保证生产和质量稳定。不允许将不成熟或未经生产考验的设备用于建设方案设计。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6、符合政府或专门机构发布的技术标准要求。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7、在满足机械功能和生产过程的条件下，力求经济合理（含用料、制造、操作和维护保养），尽可能立足于国内市场。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8、主要设备及辅助设备之间应相互配套。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4.2.2 设计方案与主要设备（含软件）的规格、数量和性能参数等</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1、光伏组件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光伏组件选型原则光伏组件是可以将光能转化为电能的设备，是光伏系统中的核心组成部分，它的优劣将直接影响到整套光伏系统的效率和运转，本项目使用的光伏组件均采用国内一线品牌A级组件。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隆基高效单晶N型640W组件；组件采用应用密排电池技术，组件效率提升至23.7%。应用多主栅（MBB）技术，能够缩短细栅上50%以上的电流传导距离，降低电池的内阻损失。主栅变细变窄减少遮光，有效受光面积更大。圆形焊带折射更多的光照，光学利用率更高。叠加使用切半电池技术，半片电池独特的电路设计可帮助电阻损耗降至全片组件的1/4，输出功率提升2%以上。切半设计降低组件发热量，更低的工作温度能够提升单瓦发电量。同时，切半组件特殊的并串结构，可减少组件纵向排布引发阴影遮挡导致的发电量损失。同时，MBB多主栅技术在高辐照地区具备更高的发电能力。</w:t>
      </w:r>
    </w:p>
    <w:p>
      <w:pPr>
        <w:ind w:firstLine="0" w:firstLineChars="0"/>
        <w:rPr/>
      </w:pPr>
      <w:r>
        <w:rPr/>
        <w:drawing>
          <wp:inline distT="0" distB="0" distL="0" distR="0">
            <wp:extent cx="5274310" cy="3992880"/>
            <wp:effectExtent l="0" t="0" r="0" b="0"/>
            <wp:docPr id="14" name="picture" descr="descript"/>
            <wp:cNvGraphicFramePr/>
            <a:graphic>
              <a:graphicData uri="http://schemas.openxmlformats.org/drawingml/2006/picture">
                <pic:pic>
                  <pic:nvPicPr>
                    <pic:cNvPr id="15" name="picture" descr="descript"/>
                    <pic:cNvPicPr/>
                  </pic:nvPicPr>
                  <pic:blipFill>
                    <a:blip r:embed="rId11"/>
                    <a:stretch>
                      <a:fillRect/>
                    </a:stretch>
                  </pic:blipFill>
                  <pic:spPr>
                    <a:xfrm>
                      <a:off x="0" y="0"/>
                      <a:ext cx="5274310" cy="3993514"/>
                    </a:xfrm>
                    <a:prstGeom prst="rect">
                      <a:avLst/>
                    </a:prstGeom>
                  </pic:spPr>
                </pic:pic>
              </a:graphicData>
            </a:graphic>
          </wp:inline>
        </w:drawing>
      </w:r>
    </w:p>
    <w:p>
      <w:pPr>
        <w:ind w:firstLine="0" w:firstLineChars="0"/>
        <w:rPr/>
      </w:pPr>
    </w:p>
    <w:p>
      <w:pPr>
        <w:ind w:firstLine="0" w:firstLineChars="0"/>
        <w:rPr/>
      </w:pPr>
      <w:r>
        <w:rPr/>
        <w:drawing>
          <wp:inline distT="0" distB="0" distL="0" distR="0">
            <wp:extent cx="5274310" cy="2757170"/>
            <wp:effectExtent l="0" t="0" r="0" b="0"/>
            <wp:docPr id="17" name="picture" descr="descript"/>
            <wp:cNvGraphicFramePr/>
            <a:graphic>
              <a:graphicData uri="http://schemas.openxmlformats.org/drawingml/2006/picture">
                <pic:pic>
                  <pic:nvPicPr>
                    <pic:cNvPr id="18" name="picture" descr="descript"/>
                    <pic:cNvPicPr/>
                  </pic:nvPicPr>
                  <pic:blipFill>
                    <a:blip r:embed="rId12"/>
                    <a:stretch>
                      <a:fillRect/>
                    </a:stretch>
                  </pic:blipFill>
                  <pic:spPr>
                    <a:xfrm>
                      <a:off x="0" y="0"/>
                      <a:ext cx="5274310" cy="2757539"/>
                    </a:xfrm>
                    <a:prstGeom prst="rect">
                      <a:avLst/>
                    </a:prstGeom>
                  </pic:spPr>
                </pic:pic>
              </a:graphicData>
            </a:graphic>
          </wp:inline>
        </w:drawing>
      </w:r>
    </w:p>
    <w:p>
      <w:pPr>
        <w:ind w:firstLine="0" w:firstLineChars="0"/>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图4-1光伏组件参数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2、逆变器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光伏并网逆变器是将光伏组件输出的直流电转换为交流电，是光伏发电系统中的关键设备，对于提高光伏系统的效率和可靠性具有举足轻重的作用。光伏并网逆变器的选型主要应考虑以下几个问题：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性能可靠，效率高：光伏发电系统目前的发电成本较高，如果在发电过程中逆变器自身消耗能量过多或逆变失效，必然导致总发电量的损失和系统经济性下降，因此要求逆变器可靠、效率高，并能根据光伏组件当前的运行状况输出最大功率（MP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（2）要求直流输入电压有较宽的适应范围：由于太阳电池的端电压随负载和日照强度而变化，这就要求逆变电源必须在较大的直流输入电压范围内保证正常工作，并保证交流输出电压稳定。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（3）具有保护功能：并网逆变器还应具有交流过压、欠压保护，超频、欠频保护，高温保护，交流及直流的过流保护，直流过压保护，防孤岛保护等保护功能。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波形畸变小，功率因数高：当大型光伏发电系统并网运行时，为避免对公共电网的电力污染，要求逆变电源输出正弦波，电流波形必须与外电网一致，波形畸变小于5%，高次谐波含量小于3%，功率因数接近于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（5）监控和数据采集：逆变器应有多种通讯接口进行数据采集并发送到远控室，其控制器还应有模拟输入端口与外部传感器相连，以测量日照和温度等数据，便于整个电站数据处理分析。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3、换电储能系统设备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可插拔换电模组的YSY-96户用储能系统，具有储能电站和换电设施两种业态，将单一的储能场景由光储充转变为光储充换，提升储能的价值空间，利用换电给商业用户提高效率，创造出更多的利益价值构建出储能换电新业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2667635" cy="3917315"/>
            <wp:effectExtent l="0" t="0" r="18415" b="6985"/>
            <wp:docPr id="20" name="图片 2"/>
            <wp:cNvGraphicFramePr>
              <a:graphicFrameLocks noChangeAspect="true"/>
            </wp:cNvGraphicFramePr>
            <a:graphic>
              <a:graphicData uri="http://schemas.openxmlformats.org/drawingml/2006/picture">
                <pic:pic>
                  <pic:nvPicPr>
                    <pic:cNvPr id="21" name="图片 2"/>
                    <pic:cNvPicPr>
                      <a:picLocks noChangeAspect="true"/>
                    </pic:cNvPicPr>
                  </pic:nvPicPr>
                  <pic:blipFill>
                    <a:blip r:embed="rId13"/>
                    <a:srcRect/>
                    <a:stretch>
                      <a:fillRect/>
                    </a:stretch>
                  </pic:blipFill>
                  <pic:spPr>
                    <a:xfrm>
                      <a:off x="0" y="0"/>
                      <a:ext cx="2667635" cy="3917315"/>
                    </a:xfrm>
                    <a:prstGeom prst="rect">
                      <a:avLst/>
                    </a:prstGeom>
                    <a:noFill/>
                    <a:ln>
                      <a:noFill/>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YSY-96户用储能系统参数表</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4069"/>
      </w:tblGrid>
      <w:tr>
        <w:trPr>
          <w:trHeight w:val="476" w:hRule="atLeast"/>
          <w:tblHeader/>
          <w:jc w:val="center"/>
        </w:trPr>
        <w:tc>
          <w:tcPr>
            <w:tcW w:w="2490"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4069"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输入功率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3.6kw\220ac</w:t>
            </w:r>
          </w:p>
        </w:tc>
      </w:tr>
      <w:tr>
        <w:trPr>
          <w:trHeight w:val="465"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输出功率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3.3kw\230ac</w:t>
            </w:r>
          </w:p>
        </w:tc>
      </w:tr>
      <w:tr>
        <w:trPr>
          <w:trHeight w:val="50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系统总容量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rPr>
            </w:pPr>
            <w:r>
              <w:rPr>
                <w:rFonts w:hint="eastAsia" w:ascii="宋体" w:hAnsi="宋体" w:eastAsia="宋体" w:cs="宋体"/>
                <w:i w:val="false"/>
                <w:iCs w:val="false"/>
                <w:snapToGrid w:val="false"/>
                <w:color w:val="000000"/>
                <w:kern w:val="0"/>
                <w:sz w:val="21"/>
                <w:szCs w:val="21"/>
                <w:u w:val="none"/>
                <w:lang w:val="en-US" w:eastAsia="zh-CN" w:bidi="ar"/>
              </w:rPr>
              <w:t>15kwh</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可拔插电池</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i w:val="false"/>
                <w:iCs w:val="false"/>
                <w:snapToGrid w:val="false"/>
                <w:color w:val="000000"/>
                <w:kern w:val="0"/>
                <w:sz w:val="21"/>
                <w:szCs w:val="21"/>
                <w:u w:val="none"/>
                <w:lang w:val="en-US" w:eastAsia="zh-CN" w:bidi="ar"/>
              </w:rPr>
              <w:t>15pcs</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产品尺寸(W×D×H)</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600*600*1600mm</w:t>
            </w:r>
          </w:p>
        </w:tc>
      </w:tr>
      <w:tr>
        <w:trPr>
          <w:trHeight w:val="49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安装方式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落地式</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冷却方式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风冷</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电池模块</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标准电池模块可热插拔</w:t>
            </w:r>
          </w:p>
        </w:tc>
      </w:tr>
      <w:tr>
        <w:trPr>
          <w:trHeight w:val="51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通讯方式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系统离网或并网可选，有线宽带\WIFI\BLE</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重量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258kg</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2635885" cy="2318385"/>
            <wp:effectExtent l="0" t="0" r="12065" b="5715"/>
            <wp:docPr id="23" name="图片 3"/>
            <wp:cNvGraphicFramePr>
              <a:graphicFrameLocks noChangeAspect="true"/>
            </wp:cNvGraphicFramePr>
            <a:graphic>
              <a:graphicData uri="http://schemas.openxmlformats.org/drawingml/2006/picture">
                <pic:pic>
                  <pic:nvPicPr>
                    <pic:cNvPr id="24" name="图片 3"/>
                    <pic:cNvPicPr>
                      <a:picLocks noChangeAspect="true"/>
                    </pic:cNvPicPr>
                  </pic:nvPicPr>
                  <pic:blipFill>
                    <a:blip r:embed="rId14"/>
                    <a:srcRect/>
                    <a:stretch>
                      <a:fillRect/>
                    </a:stretch>
                  </pic:blipFill>
                  <pic:spPr>
                    <a:xfrm>
                      <a:off x="0" y="0"/>
                      <a:ext cx="2635885" cy="2318385"/>
                    </a:xfrm>
                    <a:prstGeom prst="rect">
                      <a:avLst/>
                    </a:prstGeom>
                    <a:noFill/>
                    <a:ln>
                      <a:noFill/>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标准锂电池模块参数表</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4069"/>
      </w:tblGrid>
      <w:tr>
        <w:trPr>
          <w:trHeight w:val="476" w:hRule="atLeast"/>
          <w:tblHeader/>
          <w:jc w:val="center"/>
        </w:trPr>
        <w:tc>
          <w:tcPr>
            <w:tcW w:w="2490"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4069"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额定电压</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48 Vdc</w:t>
            </w:r>
          </w:p>
        </w:tc>
      </w:tr>
      <w:tr>
        <w:trPr>
          <w:trHeight w:val="465"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额定容量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24 AH</w:t>
            </w:r>
          </w:p>
        </w:tc>
      </w:tr>
      <w:tr>
        <w:trPr>
          <w:trHeight w:val="50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额定功率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1kw</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输出电压范围</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58.1－39.2Vdc</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最大放电电流</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50A</w:t>
            </w:r>
          </w:p>
        </w:tc>
      </w:tr>
      <w:tr>
        <w:trPr>
          <w:trHeight w:val="49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通讯方式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BLE</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结构尺寸</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290*165*140 mm</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rPr>
            </w:pPr>
            <w:r>
              <w:rPr>
                <w:rFonts w:hint="eastAsia" w:ascii="宋体" w:hAnsi="宋体" w:eastAsia="宋体" w:cs="宋体"/>
                <w:i w:val="false"/>
                <w:iCs w:val="false"/>
                <w:snapToGrid w:val="false"/>
                <w:color w:val="000000"/>
                <w:kern w:val="0"/>
                <w:sz w:val="21"/>
                <w:szCs w:val="21"/>
                <w:u w:val="none"/>
                <w:lang w:val="en-US" w:eastAsia="zh-CN" w:bidi="ar"/>
              </w:rPr>
              <w:t>8.5kg</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pBdr>
          <w:bottom/>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新获冷链储能换电站建设内容：以新乡国家骨干冷链枢纽仓为中心沿新获公路向东至人民西路</w:t>
      </w:r>
      <w:r>
        <w:rPr>
          <w:rFonts w:hint="eastAsia" w:ascii="宋体" w:hAnsi="宋体" w:eastAsia="宋体" w:cs="宋体"/>
          <w:snapToGrid/>
          <w:color w:val="auto"/>
          <w:spacing w:val="0"/>
          <w:w w:val="100"/>
          <w:kern w:val="2"/>
          <w:position w:val="0"/>
          <w:sz w:val="28"/>
          <w:szCs w:val="28"/>
          <w:lang w:val="en-US" w:eastAsia="zh-CN" w:bidi="zh-CN"/>
        </w:rPr>
        <w:t>，</w:t>
      </w:r>
      <w:r>
        <w:rPr>
          <w:rFonts w:hint="eastAsia" w:ascii="宋体" w:hAnsi="宋体" w:eastAsia="宋体" w:cs="宋体"/>
          <w:snapToGrid/>
          <w:color w:val="auto"/>
          <w:spacing w:val="0"/>
          <w:w w:val="100"/>
          <w:kern w:val="2"/>
          <w:position w:val="0"/>
          <w:sz w:val="28"/>
          <w:szCs w:val="28"/>
          <w:lang w:val="en-US" w:eastAsia="zh-CN" w:bidi="zh-CN"/>
        </w:rPr>
        <w:t>向西经县城同盟大道、 健康路、行政大街、文圣路、中山路在县城东南西北中均匀分布建设站点</w:t>
      </w:r>
      <w:r>
        <w:rPr>
          <w:rFonts w:hint="eastAsia" w:ascii="宋体" w:hAnsi="宋体" w:eastAsia="宋体" w:cs="宋体"/>
          <w:snapToGrid/>
          <w:color w:val="auto"/>
          <w:spacing w:val="0"/>
          <w:w w:val="100"/>
          <w:kern w:val="2"/>
          <w:position w:val="0"/>
          <w:sz w:val="28"/>
          <w:szCs w:val="28"/>
          <w:lang w:val="en-US" w:eastAsia="zh-CN" w:bidi="zh-CN"/>
        </w:rPr>
        <w:t>，</w:t>
      </w:r>
      <w:r>
        <w:rPr>
          <w:rFonts w:hint="eastAsia" w:ascii="宋体" w:hAnsi="宋体" w:eastAsia="宋体" w:cs="宋体"/>
          <w:snapToGrid/>
          <w:color w:val="auto"/>
          <w:spacing w:val="0"/>
          <w:w w:val="100"/>
          <w:kern w:val="2"/>
          <w:position w:val="0"/>
          <w:sz w:val="28"/>
          <w:szCs w:val="28"/>
          <w:lang w:val="en-US" w:eastAsia="zh-CN" w:bidi="zh-CN"/>
        </w:rPr>
        <w:t>共计16个光、储、充、换站点 。服务于冷链最后一公里配送（移动冷柜换电），两轮电动车与三轮电动车换电，以及电动汽车的快速充电业务。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4、充电桩选型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Chars="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3295650" cy="3209925"/>
            <wp:effectExtent l="0" t="0" r="0" b="9525"/>
            <wp:docPr id="26" name="图片 12" descr="1749272124640"/>
            <wp:cNvGraphicFramePr>
              <a:graphicFrameLocks noChangeAspect="true"/>
            </wp:cNvGraphicFramePr>
            <a:graphic>
              <a:graphicData uri="http://schemas.openxmlformats.org/drawingml/2006/picture">
                <pic:pic>
                  <pic:nvPicPr>
                    <pic:cNvPr id="27" name="图片 12" descr="1749272124640"/>
                    <pic:cNvPicPr>
                      <a:picLocks noChangeAspect="true"/>
                    </pic:cNvPicPr>
                  </pic:nvPicPr>
                  <pic:blipFill>
                    <a:blip r:embed="rId15"/>
                    <a:srcRect/>
                    <a:stretch>
                      <a:fillRect/>
                    </a:stretch>
                  </pic:blipFill>
                  <pic:spPr>
                    <a:xfrm>
                      <a:off x="0" y="0"/>
                      <a:ext cx="3295650" cy="3209925"/>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600kw充电桩样式图</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600kw超充桩参数表</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511"/>
      </w:tblGrid>
      <w:tr>
        <w:trPr>
          <w:trHeight w:val="476" w:hRule="atLeast"/>
          <w:tblHeader/>
          <w:jc w:val="center"/>
        </w:trPr>
        <w:tc>
          <w:tcPr>
            <w:tcW w:w="3048"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3511"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充电单元</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超充终端</w:t>
            </w:r>
          </w:p>
        </w:tc>
      </w:tr>
      <w:tr>
        <w:trPr>
          <w:trHeight w:val="46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单枪最大功率（需车辆支持）</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600kW</w:t>
            </w:r>
          </w:p>
        </w:tc>
      </w:tr>
      <w:tr>
        <w:trPr>
          <w:trHeight w:val="50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充电枪数量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1</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枪线长度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3.5m</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产品尺寸(W×D×H)</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500mm×280mm×1444mm</w:t>
            </w:r>
          </w:p>
        </w:tc>
      </w:tr>
      <w:tr>
        <w:trPr>
          <w:trHeight w:val="49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安装方式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落地式</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冷却方式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液冷</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输出电压</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200~1000V DC</w:t>
            </w:r>
          </w:p>
        </w:tc>
      </w:tr>
      <w:tr>
        <w:trPr>
          <w:trHeight w:val="51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单枪最大电流</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600A</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工作温度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-30~+55℃(55℃以上限功率输出)</w:t>
            </w:r>
          </w:p>
        </w:tc>
      </w:tr>
      <w:tr>
        <w:trPr>
          <w:trHeight w:val="49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存储温度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-40~+75℃</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最高海拔高度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≤2000m</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相对湿度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5~95%RH,无冷凝</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噪音</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≤60dB</w:t>
            </w:r>
          </w:p>
        </w:tc>
      </w:tr>
      <w:tr>
        <w:trPr>
          <w:trHeight w:val="52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防护等级</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IP54</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认证和报告</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CNAS,CMA</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设计标准</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GB/T18487.1-2015、NB/T33001-2018、NB/T33008.1-2018、GB/T27930-2015、JJG1149-2022</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安全防护</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过压保护、短路保护、保护接地连续性检测、过温保护、急停保护、漏电保护、绝缘检测、开门保护、停电保护、接触器粘连保护、低液位告警</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启动方式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扫码/刷卡/VIN（可选）</w:t>
            </w:r>
          </w:p>
        </w:tc>
      </w:tr>
      <w:tr>
        <w:trPr>
          <w:trHeight w:val="57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显示方式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4.3寸触摸屏（可选）</w:t>
            </w:r>
          </w:p>
        </w:tc>
      </w:tr>
      <w:tr>
        <w:trPr>
          <w:trHeight w:val="57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网络连接</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以太网/4G/Wi-Fi</w:t>
            </w:r>
          </w:p>
        </w:tc>
      </w:tr>
      <w:tr>
        <w:trPr>
          <w:trHeight w:val="45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终端/整流柜通讯协议</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CAN总线</w:t>
            </w:r>
          </w:p>
        </w:tc>
      </w:tr>
      <w:tr>
        <w:trPr>
          <w:trHeight w:val="50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终端/平台通讯协议</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OCPP 1.6/OCPP 2.0.1</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超高功率输出：支持双枪同充与并充功能，双枪模式下最大输出功率可600KW，单枪最大输出电流达600A，满足大容量电池快速充电需求。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快速补电：针对工程机械、重卡等大容量电池，可在30分钟内实现快速补电，显著提升运营效率。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智能兼容：支持VIN码充电、预约充电，兼容云快充、蔚景云、特来电、小桔等主流运营平台，确保充电服务广泛覆盖。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柔性功率调配：可根据实际需求灵活调配功率，支持向下不同功率段定制，满足多样化充电场景。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液冷技术：配备7.5米液冷枪线，高效散热，确保设备在高功率下稳定运行。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严苛环境适应：通过国内型式试验及海外CE标准测试，支持-30℃至50℃宽温范围运行，极寒地区可适配加热单元，确保设备稳定使用。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多接口定制：支持国标、美标、欧标等多种充电接口定制，适配智能机器手自动插拔枪，实现无人自动充电。</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高可靠性：经过严格的高低温冲击测试，确保设备在极端环境下稳定运行，满足全球市场需求</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numP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5、充电桩适配性</w:t>
      </w:r>
    </w:p>
    <w:p>
      <w:pPr>
        <w:keepNext w:val="false"/>
        <w:keepLines w:val="false"/>
        <w:pageBreakBefore w:val="false"/>
        <w:widowControl w:val="false"/>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因600KW充电桩服务中大型车辆，为增加项目的适配性，项目准备布局120KW、300kw两类充电桩丰富充电服务类型，具体按项目需求确定。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4.2.3 光伏发电系统接入技术方案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在建筑屋顶 采用光伏组件平铺安装形式。拟采用640Wp单晶N型光伏组件，尺 寸2382*1134mm，共计可安装光伏组件约11168块，直流侧装机容 量7.14752MWp，暂按容配比不超过1.2考虑，交流侧容量约5.956MW。</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由于项目交流侧容量小于6MW，故按采用1个10kV接入点进 行考虑，逆变器经升压箱变升压至10kV后，就近接入10kV电网， 接入点距离项目地约2km。最终以电力公司审定的接入系统报告为准。 接入电缆拟采用地埋方式。对于电缆型集电线路采用直埋敷设， 暂采用铝合金三芯铠装电缆，主要原则是沿着道路敷设，便于敷设检 修维护</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4.2.4 系统防雷接地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（1）太阳能光伏组件与金属屋面及建筑物主体避雷系统做可靠连接，能够有效的将入侵雷电导入大地。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（2）所有布置的线槽金属外壳与建筑物主体接地系作可靠接地连接，起到有效防雷和削减雷电影响。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（3）太阳能电池直流侧均采用防雷电涌保护器，起到防雷击保护作用。针对沿直流输入线侵入的感应雷在太阳电池方阵的汇线盒内进行一级防雷保护，安装防雷过电压浪涌保护器，起到保护光伏系统作用。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（4）逆变器交流输出侧逆变器有防雷、过压、欠压、漏电等各种保护功能，起到防雷击保护作用；同时逆变器交流输出与外部公共电网并接，外部公共电网的防雷系统起到有效地保护。</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4.2.5 光伏发电系统配置清单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规划光伏装机容量5956KW，光伏系统具体配置清单如下：</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747"/>
        <w:gridCol w:w="1473"/>
        <w:gridCol w:w="1492"/>
      </w:tblGrid>
      <w:tr>
        <w:trPr>
          <w:trHeight w:val="681" w:hRule="atLeast"/>
          <w:tblHeader/>
          <w:jc w:val="center"/>
        </w:trPr>
        <w:tc>
          <w:tcPr>
            <w:tcW w:w="79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编号</w:t>
            </w:r>
          </w:p>
        </w:tc>
        <w:tc>
          <w:tcPr>
            <w:tcW w:w="4747"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工程或名称</w:t>
            </w:r>
          </w:p>
        </w:tc>
        <w:tc>
          <w:tcPr>
            <w:tcW w:w="147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单位</w:t>
            </w:r>
          </w:p>
        </w:tc>
        <w:tc>
          <w:tcPr>
            <w:tcW w:w="1492"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数量</w:t>
            </w:r>
          </w:p>
        </w:tc>
      </w:tr>
      <w:tr>
        <w:trPr>
          <w:trHeight w:val="456" w:hRule="atLeast"/>
          <w:jc w:val="center"/>
        </w:trPr>
        <w:tc>
          <w:tcPr>
            <w:tcW w:w="79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设备及安装工程</w:t>
            </w:r>
          </w:p>
        </w:tc>
        <w:tc>
          <w:tcPr>
            <w:tcW w:w="147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（一）</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发电厂设备及安装工程</w:t>
            </w:r>
          </w:p>
        </w:tc>
        <w:tc>
          <w:tcPr>
            <w:tcW w:w="1473"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一</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光伏组件</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单晶N型640Wp单晶N型双玻</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11168</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MC4连接器</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610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组串式逆变器100kW，1100V</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组串式逆变器110kW，1100V</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27</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逆变器安装支架</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57</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二</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接入部分</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10kV并网柜KYN28A-12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面</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开关站一次舱出线、计量、PT、进线、SVG、站用变</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座</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开关站二次舱</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座</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SVG成套设备</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接入系统报告</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项</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直埋线缆</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km</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三</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光伏专用升压</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变</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箱式变电站SCB14-1600kVA,Dy11，Uk=6%，10±2x2.5%/0.4kV,高压柜、低压柜、站用电源柜、不间断电源柜</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箱式变电站SCB14-1250kVA,Dy11，Uk=6%，10±2x2.5%/0.4kV,高压柜、低压柜、站用电源柜、不间断电源柜</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四</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电缆、桥架及保护管</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光伏专用电缆PV1-F-1x4</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66850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0.4kV交流电力电缆</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ZC-YJV22-0.6/1kV-3x120+1x70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8950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10kV交流电力电缆</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ZC-YJLV22-8.7/15kV-3x240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2500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0.4kV交流电缆终端头户内</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10kV交流电缆终端头户内，</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室外桥架400×200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室外桥架200×200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室外桥架100×100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2500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金属软管DN25</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750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金塑软管DN80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热镀锌钢管SC150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800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热镀锌钢管SC100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500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热镀锌钢管SC80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400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电缆井</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个</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五</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防雷及接地</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水平接地体50×5mm热镀</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锌扁钢</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2233</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6</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垂直接地体L 50×50×5镀</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锌角钢</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根</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接地线BVR-1×4mmm2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1117</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接地线BVR-1×6mmm2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1525</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接地线BVR-1×16mmm2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1720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六</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防火封堵</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防火堵料LK-ZH-D</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kg</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防火涂料LK-ZH-T</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kg</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磷酸铵盐干粉灭火器</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MF/ABC4</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具</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消防灭火器箱</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个</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17</w:t>
            </w:r>
          </w:p>
        </w:tc>
      </w:tr>
    </w:tbl>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pPr>
      <w:r>
        <w:rPr>
          <w:rFonts w:hint="eastAsia" w:ascii="宋体" w:hAnsi="宋体" w:eastAsia="宋体" w:cs="宋体"/>
          <w:b/>
          <w:bCs/>
          <w:sz w:val="28"/>
          <w:szCs w:val="28"/>
          <w:lang w:val="en-US" w:eastAsia="zh-CN"/>
        </w:rPr>
        <w:t>4.2.6 光伏支架设计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bookmarkStart w:id="51" w:name="OLE_LINK147"/>
      <w:r>
        <w:rPr>
          <w:rFonts w:hint="eastAsia" w:ascii="宋体" w:hAnsi="宋体" w:eastAsia="宋体" w:cs="宋体"/>
          <w:snapToGrid/>
          <w:color w:val="auto"/>
          <w:spacing w:val="0"/>
          <w:w w:val="100"/>
          <w:kern w:val="2"/>
          <w:position w:val="0"/>
          <w:sz w:val="28"/>
          <w:szCs w:val="28"/>
          <w:lang w:val="en-US" w:eastAsia="zh-CN" w:bidi="zh-CN"/>
        </w:rPr>
        <w:t>光伏导轨设计依据《光伏发电站设计规范》GB50797-2012进行设计，风荷载、雪荷载和温度荷载按现行国家标准《建筑结构荷载规范》GB50009中25年一遇的荷载数值取值。支架风荷载体型系数取1.3。屋面光伏电站不考虑地震作用，位移计算采用各荷载分项系数均应取为1.0；承载力计算时，荷载分项系数按下表采用。</w:t>
      </w:r>
    </w:p>
    <w:p>
      <w:pPr>
        <w:ind w:left="0" w:leftChars="0" w:firstLine="0" w:firstLineChars="0"/>
        <w:rPr/>
      </w:pPr>
      <w:r>
        <w:rPr/>
        <w:drawing>
          <wp:inline distT="0" distB="0" distL="0" distR="0">
            <wp:extent cx="5429250" cy="1562100"/>
            <wp:effectExtent l="0" t="0" r="11430" b="7620"/>
            <wp:docPr id="29" name="图片 17"/>
            <wp:cNvGraphicFramePr>
              <a:graphicFrameLocks noChangeAspect="true"/>
            </wp:cNvGraphicFramePr>
            <a:graphic>
              <a:graphicData uri="http://schemas.openxmlformats.org/drawingml/2006/picture">
                <pic:pic>
                  <pic:nvPicPr>
                    <pic:cNvPr id="30" name="图片 17"/>
                    <pic:cNvPicPr>
                      <a:picLocks noChangeAspect="true" noChangeArrowheads="true"/>
                    </pic:cNvPicPr>
                  </pic:nvPicPr>
                  <pic:blipFill>
                    <a:blip r:embed="rId16"/>
                    <a:srcRect/>
                    <a:stretch>
                      <a:fillRect/>
                    </a:stretch>
                  </pic:blipFill>
                  <pic:spPr>
                    <a:xfrm>
                      <a:off x="0" y="0"/>
                      <a:ext cx="5429250" cy="1562100"/>
                    </a:xfrm>
                    <a:prstGeom prst="rect">
                      <a:avLst/>
                    </a:prstGeom>
                    <a:noFill/>
                    <a:ln w="9525" cmpd="sng">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计时采用25年一遇平均最大风速作为计算依据，确保支架系统安全、稳定。支架设计时考虑恒载0.5kN/㎡(组件不同，重量不同)，雪荷载0.52kN/㎡。支架受力设计的主要影响因素为风荷载，在各种荷载组合下，支架应满足规范对强度、刚度、稳定等各项指标要求。本工程设计风荷载取自当地气象资料中的多年最大风速换算风压与建筑结构荷载规范中地区基本风压的较大值。风速与风压关系式为Wk=S²/1600。</w:t>
      </w:r>
      <w:bookmarkEnd w:id="5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电池板组件支撑系统安装施工固定支架结构形式为：将导轨固定彩钢瓦上，将组件通过压块固定在导轨上。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屋顶支架安装示意图如下所示：</w:t>
      </w:r>
    </w:p>
    <w:p>
      <w:pPr>
        <w:pStyle w:val="00000c"/>
        <w:ind w:left="0" w:leftChars="0" w:firstLine="0" w:firstLineChars="0"/>
        <w:jc w:val="center"/>
        <w:rPr/>
      </w:pPr>
      <w:r>
        <w:rPr>
          <w:kern w:val="0"/>
        </w:rPr>
        <w:drawing>
          <wp:inline distT="0" distB="0" distL="0" distR="0">
            <wp:extent cx="5457825" cy="2438400"/>
            <wp:effectExtent l="0" t="0" r="13335" b="0"/>
            <wp:docPr id="32" name="图片 38" descr="说明: F:\胡高志\其他\国强和新扬子\新扬子照片\新扬子项目施工照片\20141024IMG_20141024_143624.jpg"/>
            <wp:cNvGraphicFramePr>
              <a:graphicFrameLocks noChangeAspect="true"/>
            </wp:cNvGraphicFramePr>
            <a:graphic>
              <a:graphicData uri="http://schemas.openxmlformats.org/drawingml/2006/picture">
                <pic:pic>
                  <pic:nvPicPr>
                    <pic:cNvPr id="33" name="图片 38" descr="说明: F:\胡高志\其他\国强和新扬子\新扬子照片\新扬子项目施工照片\20141024IMG_20141024_143624.jpg"/>
                    <pic:cNvPicPr>
                      <a:picLocks noChangeAspect="true" noChangeArrowheads="true"/>
                    </pic:cNvPicPr>
                  </pic:nvPicPr>
                  <pic:blipFill>
                    <a:blip r:embed="rId17"/>
                    <a:srcRect t="7372"/>
                    <a:stretch>
                      <a:fillRect/>
                    </a:stretch>
                  </pic:blipFill>
                  <pic:spPr>
                    <a:xfrm>
                      <a:off x="0" y="0"/>
                      <a:ext cx="5457825" cy="2438400"/>
                    </a:xfrm>
                    <a:prstGeom prst="rect">
                      <a:avLst/>
                    </a:prstGeom>
                    <a:noFill/>
                    <a:ln w="9525" cmpd="sng">
                      <a:noFill/>
                      <a:miter lim="800000"/>
                      <a:headEnd/>
                      <a:tailEnd/>
                    </a:ln>
                    <a:effectLst/>
                  </pic:spPr>
                </pic:pic>
              </a:graphicData>
            </a:graphic>
          </wp:inline>
        </w:drawing>
      </w:r>
    </w:p>
    <w:p>
      <w:pPr>
        <w:autoSpaceDE w:val="false"/>
        <w:autoSpaceDN w:val="false"/>
        <w:adjustRightInd w:val="false"/>
        <w:ind w:left="0" w:leftChars="0" w:firstLine="0" w:firstLineChars="0"/>
        <w:jc w:val="center"/>
        <w:rPr>
          <w:kern w:val="0"/>
          <w:sz w:val="24"/>
          <w:szCs w:val="24"/>
        </w:rPr>
      </w:pPr>
      <w:r>
        <w:rPr>
          <w:rFonts w:hint="eastAsia"/>
          <w:kern w:val="0"/>
          <w:sz w:val="24"/>
          <w:szCs w:val="24"/>
        </w:rPr>
        <w:drawing>
          <wp:inline distT="0" distB="0" distL="0" distR="0">
            <wp:extent cx="5514975" cy="3429000"/>
            <wp:effectExtent l="0" t="0" r="1905" b="0"/>
            <wp:docPr id="35" name="图片 35" descr="3f955fae02b5dd92c794a23cec89e73"/>
            <wp:cNvGraphicFramePr>
              <a:graphicFrameLocks noChangeAspect="true"/>
            </wp:cNvGraphicFramePr>
            <a:graphic>
              <a:graphicData uri="http://schemas.openxmlformats.org/drawingml/2006/picture">
                <pic:pic>
                  <pic:nvPicPr>
                    <pic:cNvPr id="36" name="图片 35" descr="3f955fae02b5dd92c794a23cec89e73"/>
                    <pic:cNvPicPr>
                      <a:picLocks noChangeAspect="true" noChangeArrowheads="true"/>
                    </pic:cNvPicPr>
                  </pic:nvPicPr>
                  <pic:blipFill>
                    <a:blip r:embed="rId18" cstate="print"/>
                    <a:srcRect/>
                    <a:stretch>
                      <a:fillRect/>
                    </a:stretch>
                  </pic:blipFill>
                  <pic:spPr>
                    <a:xfrm>
                      <a:off x="0" y="0"/>
                      <a:ext cx="5514975" cy="3429000"/>
                    </a:xfrm>
                    <a:prstGeom prst="rect">
                      <a:avLst/>
                    </a:prstGeom>
                    <a:noFill/>
                    <a:ln w="9525" cmpd="sng">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以上是安装后的效果图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bookmarkStart w:id="52" w:name="_Toc21934"/>
      <w:bookmarkStart w:id="53" w:name="_Toc30608"/>
      <w:bookmarkStart w:id="54" w:name="_Toc10826"/>
      <w:bookmarkStart w:id="55" w:name="_Toc15450"/>
      <w:r>
        <w:rPr>
          <w:rFonts w:hint="eastAsia" w:ascii="宋体" w:hAnsi="宋体" w:eastAsia="宋体" w:cs="宋体"/>
          <w:snapToGrid/>
          <w:color w:val="auto"/>
          <w:spacing w:val="0"/>
          <w:w w:val="100"/>
          <w:kern w:val="2"/>
          <w:position w:val="0"/>
          <w:sz w:val="28"/>
          <w:szCs w:val="28"/>
          <w:lang w:val="en-US" w:eastAsia="zh-CN" w:bidi="zh-CN"/>
        </w:rPr>
        <w:t>钢结构光伏车棚支架设计：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光伏组件沿车棚钢结构坡度平铺，通过螺栓将光伏支架安装于车棚钢结构上，光伏组件铺设于檩条上。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车棚的主要施工包括车棚基础的制作，首先进行土方开挖、基础制作、土方</w:t>
      </w:r>
      <w:bookmarkStart w:id="56" w:name="bookmark28"/>
      <w:bookmarkEnd w:id="56"/>
      <w:r>
        <w:rPr>
          <w:rFonts w:hint="eastAsia" w:ascii="宋体" w:hAnsi="宋体" w:eastAsia="宋体" w:cs="宋体"/>
          <w:snapToGrid/>
          <w:color w:val="auto"/>
          <w:spacing w:val="0"/>
          <w:w w:val="100"/>
          <w:kern w:val="2"/>
          <w:position w:val="0"/>
          <w:sz w:val="28"/>
          <w:szCs w:val="28"/>
          <w:lang w:val="en-US" w:eastAsia="zh-CN" w:bidi="zh-CN"/>
        </w:rPr>
        <w:t>回填，在其上搭建车棚钢构，组件直接敷设在车棚顶部钢结构上。光伏车棚主材均为钢板，钢结构安装完成后依次刷一遍底漆，两遍环氧富锌漆，一遍面漆，以起到良好的防腐效果。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本项目建议的车棚造型方案有以下几种供业主选择：</w:t>
      </w: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57" w:beforeLines="50" w:beforeAutospacing="false" w:after="157" w:afterLines="50" w:afterAutospacing="false" w:line="360" w:lineRule="auto"/>
        <w:ind w:left="0" w:leftChars="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A.单立柱设计</w:t>
      </w: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57" w:beforeLines="50" w:beforeAutospacing="false" w:after="157" w:afterLines="50" w:afterAutospacing="false" w:line="360" w:lineRule="auto"/>
        <w:ind w:left="0" w:leftChars="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anchor distT="0" distB="0" distL="114300" distR="114300" simplePos="false" relativeHeight="251659264" behindDoc="false" locked="false" layoutInCell="true" allowOverlap="true">
            <wp:simplePos x="0" y="0"/>
            <wp:positionH relativeFrom="column">
              <wp:posOffset>266700</wp:posOffset>
            </wp:positionH>
            <wp:positionV relativeFrom="paragraph">
              <wp:posOffset>38100</wp:posOffset>
            </wp:positionV>
            <wp:extent cx="5173980" cy="3175000"/>
            <wp:effectExtent l="0" t="0" r="0" b="0"/>
            <wp:wrapTopAndBottom/>
            <wp:docPr id="38" name="picture" descr="descript"/>
            <wp:cNvGraphicFramePr/>
            <a:graphic>
              <a:graphicData uri="http://schemas.openxmlformats.org/drawingml/2006/picture">
                <pic:pic>
                  <pic:nvPicPr>
                    <pic:cNvPr id="39" name="picture" descr="descript"/>
                    <pic:cNvPicPr/>
                  </pic:nvPicPr>
                  <pic:blipFill>
                    <a:blip r:embed="rId19"/>
                    <a:srcRect/>
                    <a:stretch>
                      <a:fillRect/>
                    </a:stretch>
                  </pic:blipFill>
                  <pic:spPr>
                    <a:xfrm>
                      <a:off x="0" y="0"/>
                      <a:ext cx="5173980" cy="3175000"/>
                    </a:xfrm>
                    <a:prstGeom prst="rect">
                      <a:avLst/>
                    </a:prstGeom>
                  </pic:spPr>
                </pic:pic>
              </a:graphicData>
            </a:graphic>
          </wp:anchor>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anchor distT="0" distB="0" distL="114300" distR="114300" simplePos="false" relativeHeight="251661312" behindDoc="false" locked="false" layoutInCell="true" allowOverlap="true">
            <wp:simplePos x="0" y="0"/>
            <wp:positionH relativeFrom="column">
              <wp:posOffset>266700</wp:posOffset>
            </wp:positionH>
            <wp:positionV relativeFrom="paragraph">
              <wp:posOffset>0</wp:posOffset>
            </wp:positionV>
            <wp:extent cx="4601845" cy="3460750"/>
            <wp:effectExtent l="0" t="0" r="0" b="0"/>
            <wp:wrapTopAndBottom/>
            <wp:docPr id="41" name="picture" descr="descript"/>
            <wp:cNvGraphicFramePr/>
            <a:graphic>
              <a:graphicData uri="http://schemas.openxmlformats.org/drawingml/2006/picture">
                <pic:pic>
                  <pic:nvPicPr>
                    <pic:cNvPr id="42" name="picture" descr="descript"/>
                    <pic:cNvPicPr/>
                  </pic:nvPicPr>
                  <pic:blipFill>
                    <a:blip r:embed="rId20"/>
                    <a:srcRect/>
                    <a:stretch>
                      <a:fillRect/>
                    </a:stretch>
                  </pic:blipFill>
                  <pic:spPr>
                    <a:xfrm>
                      <a:off x="0" y="0"/>
                      <a:ext cx="4601845" cy="3460750"/>
                    </a:xfrm>
                    <a:prstGeom prst="rect">
                      <a:avLst/>
                    </a:prstGeom>
                  </pic:spPr>
                </pic:pic>
              </a:graphicData>
            </a:graphic>
          </wp:anchor>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B.双立柱设计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anchor distT="0" distB="0" distL="114300" distR="114300" simplePos="false" relativeHeight="251662336" behindDoc="false" locked="false" layoutInCell="true" allowOverlap="true">
            <wp:simplePos x="0" y="0"/>
            <wp:positionH relativeFrom="column">
              <wp:posOffset>419100</wp:posOffset>
            </wp:positionH>
            <wp:positionV relativeFrom="paragraph">
              <wp:posOffset>152400</wp:posOffset>
            </wp:positionV>
            <wp:extent cx="5262880" cy="2498725"/>
            <wp:effectExtent l="0" t="0" r="0" b="0"/>
            <wp:wrapTopAndBottom/>
            <wp:docPr id="44" name="picture" descr="descript"/>
            <wp:cNvGraphicFramePr/>
            <a:graphic>
              <a:graphicData uri="http://schemas.openxmlformats.org/drawingml/2006/picture">
                <pic:pic>
                  <pic:nvPicPr>
                    <pic:cNvPr id="45" name="picture" descr="descript"/>
                    <pic:cNvPicPr/>
                  </pic:nvPicPr>
                  <pic:blipFill>
                    <a:blip r:embed="rId21"/>
                    <a:srcRect r="-17804" b="50345"/>
                    <a:stretch>
                      <a:fillRect/>
                    </a:stretch>
                  </pic:blipFill>
                  <pic:spPr>
                    <a:xfrm>
                      <a:off x="0" y="0"/>
                      <a:ext cx="5262570" cy="2498448"/>
                    </a:xfrm>
                    <a:prstGeom prst="rect">
                      <a:avLst/>
                    </a:prstGeom>
                  </pic:spPr>
                </pic:pic>
              </a:graphicData>
            </a:graphic>
          </wp:anchor>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anchor distT="0" distB="0" distL="114300" distR="114300" simplePos="false" relativeHeight="251663360" behindDoc="false" locked="false" layoutInCell="true" allowOverlap="true">
            <wp:simplePos x="0" y="0"/>
            <wp:positionH relativeFrom="column">
              <wp:posOffset>469265</wp:posOffset>
            </wp:positionH>
            <wp:positionV relativeFrom="paragraph">
              <wp:posOffset>288290</wp:posOffset>
            </wp:positionV>
            <wp:extent cx="4291330" cy="2574925"/>
            <wp:effectExtent l="0" t="0" r="0" b="0"/>
            <wp:wrapTopAndBottom/>
            <wp:docPr id="47" name="picture" descr="descript"/>
            <wp:cNvGraphicFramePr/>
            <a:graphic>
              <a:graphicData uri="http://schemas.openxmlformats.org/drawingml/2006/picture">
                <pic:pic>
                  <pic:nvPicPr>
                    <pic:cNvPr id="48" name="picture" descr="descript"/>
                    <pic:cNvPicPr/>
                  </pic:nvPicPr>
                  <pic:blipFill>
                    <a:blip r:embed="rId21"/>
                    <a:srcRect t="49030" r="3944" b="-199"/>
                    <a:stretch>
                      <a:fillRect/>
                    </a:stretch>
                  </pic:blipFill>
                  <pic:spPr>
                    <a:xfrm>
                      <a:off x="0" y="0"/>
                      <a:ext cx="4291038" cy="2574659"/>
                    </a:xfrm>
                    <a:prstGeom prst="rect">
                      <a:avLst/>
                    </a:prstGeom>
                  </pic:spPr>
                </pic:pic>
              </a:graphicData>
            </a:graphic>
          </wp:anchor>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C.其它造型设计图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Y字形立柱</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5038725" cy="3771900"/>
            <wp:effectExtent l="0" t="0" r="9525" b="0"/>
            <wp:docPr id="50" name="图片 6" descr="1749271876548"/>
            <wp:cNvGraphicFramePr>
              <a:graphicFrameLocks noChangeAspect="true"/>
            </wp:cNvGraphicFramePr>
            <a:graphic>
              <a:graphicData uri="http://schemas.openxmlformats.org/drawingml/2006/picture">
                <pic:pic>
                  <pic:nvPicPr>
                    <pic:cNvPr id="51" name="图片 6" descr="1749271876548"/>
                    <pic:cNvPicPr>
                      <a:picLocks noChangeAspect="true"/>
                    </pic:cNvPicPr>
                  </pic:nvPicPr>
                  <pic:blipFill>
                    <a:blip r:embed="rId22"/>
                    <a:srcRect/>
                    <a:stretch>
                      <a:fillRect/>
                    </a:stretch>
                  </pic:blipFill>
                  <pic:spPr>
                    <a:xfrm>
                      <a:off x="0" y="0"/>
                      <a:ext cx="5038725" cy="37719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三角支撑立柱</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5257800" cy="2828925"/>
            <wp:effectExtent l="0" t="0" r="0" b="9525"/>
            <wp:docPr id="53" name="图片 7" descr="1749271902630"/>
            <wp:cNvGraphicFramePr>
              <a:graphicFrameLocks noChangeAspect="true"/>
            </wp:cNvGraphicFramePr>
            <a:graphic>
              <a:graphicData uri="http://schemas.openxmlformats.org/drawingml/2006/picture">
                <pic:pic>
                  <pic:nvPicPr>
                    <pic:cNvPr id="54" name="图片 7" descr="1749271902630"/>
                    <pic:cNvPicPr>
                      <a:picLocks noChangeAspect="true"/>
                    </pic:cNvPicPr>
                  </pic:nvPicPr>
                  <pic:blipFill>
                    <a:blip r:embed="rId23"/>
                    <a:srcRect/>
                    <a:stretch>
                      <a:fillRect/>
                    </a:stretch>
                  </pic:blipFill>
                  <pic:spPr>
                    <a:xfrm>
                      <a:off x="0" y="0"/>
                      <a:ext cx="5257800" cy="2828925"/>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 储能系统配置方案</w:t>
      </w:r>
      <w:bookmarkEnd w:id="52"/>
      <w:bookmarkEnd w:id="53"/>
      <w:bookmarkEnd w:id="54"/>
      <w:bookmarkEnd w:id="5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4.3.1 设计方案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规划在园区内设置变电站一座，项目总体容量为20MW/40MWh，由8个2.50MW/5.00MWh独立集装箱式储能单元构成。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同时配套提升园区绿化景观及增加充电桩工程。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储能方案采用CATL280AH磷酸铁锂储能电池，具有“能量密度高，循环寿命长，系统设计高度集成化”的出色储能效益，其系统内部集成储能电池、BMS、温控、消防和照明等子系统，并集成在一个40尺的标准预制舱中。</w:t>
      </w:r>
    </w:p>
    <w:p>
      <w:pPr>
        <w:ind w:left="0" w:leftChars="0" w:firstLine="0" w:firstLineChars="0"/>
        <w:jc w:val="center"/>
        <w:rPr>
          <w:rFonts w:ascii="宋体" w:hAnsi="宋体"/>
        </w:rPr>
      </w:pPr>
      <w:r>
        <w:rPr>
          <w:rFonts w:ascii="宋体" w:hAnsi="宋体"/>
        </w:rPr>
        <w:drawing>
          <wp:inline distT="0" distB="0" distL="0" distR="0">
            <wp:extent cx="5288280" cy="3667760"/>
            <wp:effectExtent l="0" t="0" r="0" b="5080"/>
            <wp:docPr id="56" name="图片 3" descr="C:\Users\Administrator\Documents\WeChat Files\wxid_6xj7tm83ftvi21\FileStorage\Temp\1684392748248.png"/>
            <wp:cNvGraphicFramePr>
              <a:graphicFrameLocks noChangeAspect="true"/>
            </wp:cNvGraphicFramePr>
            <a:graphic>
              <a:graphicData uri="http://schemas.openxmlformats.org/drawingml/2006/picture">
                <pic:pic>
                  <pic:nvPicPr>
                    <pic:cNvPr id="57" name="图片 3" descr="C:\Users\Administrator\Documents\WeChat Files\wxid_6xj7tm83ftvi21\FileStorage\Temp\1684392748248.png"/>
                    <pic:cNvPicPr>
                      <a:picLocks noChangeAspect="true" noChangeArrowheads="true"/>
                    </pic:cNvPicPr>
                  </pic:nvPicPr>
                  <pic:blipFill>
                    <a:blip r:embed="rId24" cstate="print"/>
                    <a:srcRect/>
                    <a:stretch>
                      <a:fillRect/>
                    </a:stretch>
                  </pic:blipFill>
                  <pic:spPr>
                    <a:xfrm>
                      <a:off x="0" y="0"/>
                      <a:ext cx="5288865" cy="3668233"/>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4.3.2 电池集装箱组成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集装箱采用内维护方式，分为电池和PCS两个舱室放置，整个储能系统容量为5</w:t>
      </w:r>
      <w:r>
        <w:rPr>
          <w:rFonts w:ascii="宋体" w:hAnsi="宋体" w:eastAsia="宋体" w:cs="宋体"/>
          <w:i w:val="false"/>
          <w:strike w:val="false"/>
          <w:spacing w:val="0"/>
          <w:sz w:val="28"/>
          <w:u w:val="none"/>
        </w:rPr>
        <w:t>000KWH</w:t>
      </w:r>
      <w:r>
        <w:rPr>
          <w:rFonts w:hint="eastAsia" w:ascii="宋体" w:hAnsi="宋体" w:eastAsia="宋体" w:cs="宋体"/>
          <w:snapToGrid/>
          <w:color w:val="auto"/>
          <w:spacing w:val="0"/>
          <w:w w:val="100"/>
          <w:kern w:val="2"/>
          <w:position w:val="0"/>
          <w:sz w:val="28"/>
          <w:szCs w:val="28"/>
          <w:lang w:val="en-US" w:eastAsia="zh-CN" w:bidi="zh-CN"/>
        </w:rPr>
        <w:t>，共有10个电池簇单元，包含电池模组、高压控制盒、电池架、BMS、及高低压连接线束等放置于集装箱内。其中，电池组采用模块化设计，每个电池组为1P16S。每个电池组配置一个电池管理单元（BMU），对单体电池的电压、温度等参数进行检测；每一个电池簇由15个电池模组串联组成，共1P240S，单个电池系统由10个电池簇并联组成，共10P240S。</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4.3.3 集装箱消防方案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箱内采取了一套手自动一体消防系统。该消防系统由火灾报警控制器/气体灭火控制盘、复合型气体探测器、声光报警器、警铃、放气指示灯、手动紧急启/停按钮、业务箱灭火装置（含灭火剂储存瓶、电磁驱动装置、压力信号器）、业务箱配套件（喷头、高压软管）、供电箱灭火装置（含灭火剂储存瓶、电磁驱动装置、压力信号器）组成。</w:t>
      </w:r>
    </w:p>
    <w:p>
      <w:pPr>
        <w:ind w:firstLine="550"/>
        <w:jc w:val="center"/>
        <w:rPr>
          <w:spacing w:val="-3"/>
        </w:rPr>
      </w:pPr>
      <w:r>
        <w:rPr>
          <w:spacing w:val="-3"/>
        </w:rPr>
        <w:drawing>
          <wp:inline distT="0" distB="0" distL="0" distR="0">
            <wp:extent cx="4086225" cy="5465445"/>
            <wp:effectExtent l="0" t="0" r="13335" b="5715"/>
            <wp:docPr id="59" name="图片 5" descr="C:\Users\Administrator\Documents\WeChat Files\wxid_6xj7tm83ftvi21\FileStorage\Temp\1684393210985.png"/>
            <wp:cNvGraphicFramePr>
              <a:graphicFrameLocks noChangeAspect="true"/>
            </wp:cNvGraphicFramePr>
            <a:graphic>
              <a:graphicData uri="http://schemas.openxmlformats.org/drawingml/2006/picture">
                <pic:pic>
                  <pic:nvPicPr>
                    <pic:cNvPr id="60" name="图片 5" descr="C:\Users\Administrator\Documents\WeChat Files\wxid_6xj7tm83ftvi21\FileStorage\Temp\1684393210985.png"/>
                    <pic:cNvPicPr>
                      <a:picLocks noChangeAspect="true" noChangeArrowheads="true"/>
                    </pic:cNvPicPr>
                  </pic:nvPicPr>
                  <pic:blipFill>
                    <a:blip r:embed="rId25" cstate="print"/>
                    <a:srcRect/>
                    <a:stretch>
                      <a:fillRect/>
                    </a:stretch>
                  </pic:blipFill>
                  <pic:spPr>
                    <a:xfrm>
                      <a:off x="0" y="0"/>
                      <a:ext cx="4088029" cy="5468402"/>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4.3.4 BMS系统概述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电池管理系统主要由总控单元（三级架构）（BAU）、主控单元（BCU）、从控单元（BMU）以及相应的线束组成，系统具有功能覆盖广，体积小，抗干扰性能强，安全可靠等特点。</w:t>
      </w:r>
    </w:p>
    <w:p>
      <w:pPr>
        <w:ind w:firstLine="0" w:firstLineChars="0"/>
        <w:jc w:val="center"/>
        <w:rPr/>
      </w:pPr>
      <w:r>
        <w:rPr/>
        <w:drawing>
          <wp:inline distT="0" distB="0" distL="0" distR="0">
            <wp:extent cx="4413250" cy="2846705"/>
            <wp:effectExtent l="0" t="0" r="6350" b="3175"/>
            <wp:docPr id="62" name="图片 4" descr="C:\Users\Administrator\Documents\WeChat Files\wxid_6xj7tm83ftvi21\FileStorage\Temp\1684393137472.png"/>
            <wp:cNvGraphicFramePr>
              <a:graphicFrameLocks noChangeAspect="true"/>
            </wp:cNvGraphicFramePr>
            <a:graphic>
              <a:graphicData uri="http://schemas.openxmlformats.org/drawingml/2006/picture">
                <pic:pic>
                  <pic:nvPicPr>
                    <pic:cNvPr id="63" name="图片 4" descr="C:\Users\Administrator\Documents\WeChat Files\wxid_6xj7tm83ftvi21\FileStorage\Temp\1684393137472.png"/>
                    <pic:cNvPicPr>
                      <a:picLocks noChangeAspect="true" noChangeArrowheads="true"/>
                    </pic:cNvPicPr>
                  </pic:nvPicPr>
                  <pic:blipFill>
                    <a:blip r:embed="rId26"/>
                    <a:srcRect/>
                    <a:stretch>
                      <a:fillRect/>
                    </a:stretch>
                  </pic:blipFill>
                  <pic:spPr>
                    <a:xfrm>
                      <a:off x="0" y="0"/>
                      <a:ext cx="4436086" cy="2862026"/>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4.3.5 EMS系统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能量管理系统是储能电站的重要组成部分，它为微电网调度控制中心提供数据管理、监视、控制和优化，保障储能系统的稳定高效运行。能量管理系统为储能系统内部每个能源控制器提供功率和电压设定点；确保满足系统中热负荷、电负荷需求；确保系统满足与主网系统间的运行协议；尽可能使能源消耗与系统损耗最小；提供系统故障情况下孤岛运行与重合闸的逻辑与控制方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本储能系统中，EMS通讯拓扑分为三层结构：云监控、本地监控、协调控制；底层设备：1台500KW储能变流器、电池管理系统（BMS）、环境监测设备、消防系统、空调或门禁系统等均接入监控系统。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云监控：WEB展示、手机APP展示、报表数据分析、电池数据全景分析。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本地监控：本地展示、控制策略、自动逻辑、自动手动控制、历史数据报表、视频接入。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现场控制：通讯接入PCS、BMS、消防、空调控制，关键设备保护。</w:t>
      </w:r>
    </w:p>
    <w:p>
      <w:pPr>
        <w:ind w:left="0" w:leftChars="0" w:firstLine="0" w:firstLineChars="0"/>
        <w:jc w:val="center"/>
        <w:rPr/>
      </w:pPr>
      <w:r>
        <w:rPr/>
        <w:drawing>
          <wp:inline distT="0" distB="0" distL="0" distR="0">
            <wp:extent cx="4819650" cy="2595880"/>
            <wp:effectExtent l="0" t="0" r="11430" b="10160"/>
            <wp:docPr id="65" name="图片 6" descr="C:\Users\Administrator\Documents\WeChat Files\wxid_6xj7tm83ftvi21\FileStorage\Temp\1684393292552(1).png"/>
            <wp:cNvGraphicFramePr>
              <a:graphicFrameLocks noChangeAspect="true"/>
            </wp:cNvGraphicFramePr>
            <a:graphic>
              <a:graphicData uri="http://schemas.openxmlformats.org/drawingml/2006/picture">
                <pic:pic>
                  <pic:nvPicPr>
                    <pic:cNvPr id="66" name="图片 6" descr="C:\Users\Administrator\Documents\WeChat Files\wxid_6xj7tm83ftvi21\FileStorage\Temp\1684393292552(1).png"/>
                    <pic:cNvPicPr>
                      <a:picLocks noChangeAspect="true" noChangeArrowheads="true"/>
                    </pic:cNvPicPr>
                  </pic:nvPicPr>
                  <pic:blipFill>
                    <a:blip r:embed="rId27"/>
                    <a:srcRect r="6523"/>
                    <a:stretch>
                      <a:fillRect/>
                    </a:stretch>
                  </pic:blipFill>
                  <pic:spPr>
                    <a:xfrm>
                      <a:off x="0" y="0"/>
                      <a:ext cx="4839663" cy="2606898"/>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7" w:name="_Toc20518"/>
      <w:bookmarkStart w:id="58" w:name="_Toc17748"/>
      <w:r>
        <w:rPr>
          <w:rFonts w:hint="eastAsia" w:ascii="宋体" w:hAnsi="宋体" w:eastAsia="宋体" w:cs="宋体"/>
          <w:b/>
          <w:bCs/>
          <w:sz w:val="28"/>
          <w:szCs w:val="28"/>
          <w:lang w:val="en-US" w:eastAsia="zh-CN"/>
        </w:rPr>
        <w:t>4.3.6 光伏储能系统一次单线图</w:t>
      </w:r>
      <w:bookmarkEnd w:id="57"/>
      <w:bookmarkEnd w:id="58"/>
    </w:p>
    <w:p>
      <w:pPr>
        <w:ind w:firstLine="0" w:firstLineChars="0"/>
        <w:jc w:val="center"/>
        <w:rPr/>
      </w:pPr>
      <w:r>
        <w:rPr/>
        <w:drawing>
          <wp:inline distT="0" distB="0" distL="0" distR="0">
            <wp:extent cx="4828540" cy="2784475"/>
            <wp:effectExtent l="0" t="0" r="0" b="0"/>
            <wp:docPr id="68" name="picture" descr="descript"/>
            <wp:cNvGraphicFramePr/>
            <a:graphic>
              <a:graphicData uri="http://schemas.openxmlformats.org/drawingml/2006/picture">
                <pic:pic>
                  <pic:nvPicPr>
                    <pic:cNvPr id="69" name="picture" descr="descript"/>
                    <pic:cNvPicPr/>
                  </pic:nvPicPr>
                  <pic:blipFill>
                    <a:blip r:embed="rId28"/>
                    <a:srcRect l="5054" t="13681" r="3430" b="10842"/>
                    <a:stretch>
                      <a:fillRect/>
                    </a:stretch>
                  </pic:blipFill>
                  <pic:spPr>
                    <a:xfrm>
                      <a:off x="0" y="0"/>
                      <a:ext cx="4829154" cy="2784980"/>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9" w:name="_Toc11139"/>
      <w:bookmarkStart w:id="60" w:name="_Toc25380"/>
      <w:r>
        <w:rPr>
          <w:rFonts w:hint="eastAsia" w:ascii="宋体" w:hAnsi="宋体" w:eastAsia="宋体" w:cs="宋体"/>
          <w:b/>
          <w:bCs/>
          <w:sz w:val="28"/>
          <w:szCs w:val="28"/>
          <w:lang w:val="en-US" w:eastAsia="zh-CN"/>
        </w:rPr>
        <w:t>4.3.7 电缆、导线的选型及敷设</w:t>
      </w:r>
      <w:bookmarkEnd w:id="59"/>
      <w:bookmarkEnd w:id="6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串至逆变器的线缆采用PV-F-1x4，直流1000V光伏专用电缆，沿支架横梁敷设至桥架，无横梁的地方穿UPVC管敷设；当同个逆变器的组串不在同一排时，前后排组串的线缆穿UPVC管至逆变器。逆变器至并网柜的电气线缆采用ZC-YJV22-1.6/3.3kV交联聚乙烯绝缘聚氯乙烯护套电力电缆经桥架敷设至地面后再直埋或穿管进入并网柜，并在进线处做好防火封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直流电缆、动力电缆与控制电缆之间应尽可能分开或分隔敷设。</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1" w:name="_Toc32422"/>
      <w:bookmarkStart w:id="62" w:name="_Toc16259"/>
      <w:r>
        <w:rPr>
          <w:rFonts w:hint="eastAsia" w:ascii="宋体" w:hAnsi="宋体" w:eastAsia="宋体" w:cs="宋体"/>
          <w:b/>
          <w:bCs/>
          <w:sz w:val="28"/>
          <w:szCs w:val="28"/>
          <w:lang w:val="en-US" w:eastAsia="zh-CN"/>
        </w:rPr>
        <w:t>4.4 建设管理方案</w:t>
      </w:r>
      <w:bookmarkEnd w:id="61"/>
      <w:bookmarkEnd w:id="6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 项目管理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工程建设的顺利进行，由主管单位和建设单位成立本项目建设领导小组，切实加强对建设工程项目的领导，“领导小组”内各职能部门都能密切协调配合，做到目标、项目、资金、人员、责任、监督“六落实”并采取有力措施，层层签订责任状，确保项目的顺利实施，并收到预期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整个项目建设要严格执行项目法人制、招投标制、质量监督管理制和工程合同制。要牢固树立“质量第一”的思想，严格把住各个环节的质量关，对项目的资金要做到专款专用，专户储存，封闭使用，严禁资金的挪用，确保项目资金的及时足额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领导小组负责项目设计、施工和监理的招投标、协调计划落实和工程项目的监督管理、项目的监督检查、资金的落实，确保本项目按期顺利完成，其具体工作如下：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（1）实行招标投标制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对项目勘察设计、施工、监理以及与工程建设有关的设备、主要材料等的采购，面向社会进行公开招标，以达到提高工程质量，降低成本的目的。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（2）实行工程质量终身责任制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对项目建设工程质量负主要责任的领导、对参建单位的领导人和直接责任人，实行工程质量终身负责制度。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（3）实行工程监理制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项目建设过程中，聘请有资质的监理单位和人员，对项目建设进行监理，抓好工程进度，提高工程质量，降低成本。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（4）严格按照基本建设程序办事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项目建设过程中，同级审计部门会同纪检检察部门应对建设项目随时进行审计和监督，本项目也应该接受计划、审计等部门和社会舆论的监督，建成后按照有关规定进行严格的竣工验收。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（5）严格项目资金管理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要强化项目区建设专项资金的管理，实行封闭运行的财务管理机制，将建设项目分户建卡，实行专账管理、专款专用，根据项目所需的设备、材料和人工费用按验收凭证经检查、验收后进入预算或结算程序，严禁挪用和挤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2、运营期管理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运营管理包括节能与节水管理、耗材管理、绿化管理、垃圾管理四方面内容：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（1）节能与节水管理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本项目需制定节能和节水管理模式，对厂区内所使用的资源如水、电等进行监控管理的措施，建立完善的节能和节水管理机制。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（2）耗材管理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管道的布置应方便维修、改造和更换；属公共使用功能的设备、管道应设置在公共部位，以便日常维护和更换。建立耗材管理制度，主要包括建立建筑、设备、系统的维护制度，减少因维修带来的材料消耗，使用各类绿色建筑材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（3）绿化管理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对绿化用水进行计量，建立完善节水型灌溉系统。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（4）垃圾管理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在项目管理阶段制定一个垃圾管理制度，对生活垃圾进行分类收集，以便于相关垃圾处理单位改造利用。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4.4.3 实施进度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本项目可行性研究报告批准后，建设单位严格按照国家对建设工程的有关规定，积极开展工作。本项目实施主要包括以下五个部分：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1、前期工作：可研报告编制及批复、准备设计资料、土地征用及补偿等。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2、设计工作：建设场地勘察和工程设计等。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3、施工准备：落实协作关系及场地平整。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4、工程施工：进行总图及工程施工。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5、竣工验收：交工验收。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为加快建设进度，缩短建设工期，各阶段工作应尽量提前进行，允许有一定程度交叉。依据项目确定的规划设计方案，项目的建设工期拟定为0.5年。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表4-4项目实施进度计划表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i w:val="false"/>
          <w:iCs w:val="false"/>
          <w:snapToGrid w:val="false"/>
          <w:color w:val="000000"/>
          <w:kern w:val="0"/>
          <w:sz w:val="21"/>
          <w:szCs w:val="21"/>
          <w:u w:val="none"/>
          <w:lang w:val="en-US" w:eastAsia="zh-CN" w:bidi="ar"/>
        </w:rPr>
        <w:drawing>
          <wp:inline distT="0" distB="0" distL="0" distR="0">
            <wp:extent cx="5274310" cy="2315210"/>
            <wp:effectExtent l="0" t="0" r="0" b="0"/>
            <wp:docPr id="71" name="picture" descr="descript"/>
            <wp:cNvGraphicFramePr/>
            <a:graphic>
              <a:graphicData uri="http://schemas.openxmlformats.org/drawingml/2006/picture">
                <pic:pic>
                  <pic:nvPicPr>
                    <pic:cNvPr id="72" name="picture" descr="descript"/>
                    <pic:cNvPicPr/>
                  </pic:nvPicPr>
                  <pic:blipFill>
                    <a:blip r:embed="rId29"/>
                    <a:stretch>
                      <a:fillRect/>
                    </a:stretch>
                  </pic:blipFill>
                  <pic:spPr>
                    <a:xfrm>
                      <a:off x="0" y="0"/>
                      <a:ext cx="5274310" cy="2315551"/>
                    </a:xfrm>
                    <a:prstGeom prst="rect">
                      <a:avLst/>
                    </a:prstGeom>
                  </pic:spPr>
                </pic:pic>
              </a:graphicData>
            </a:graphic>
          </wp:inline>
        </w:drawing>
      </w:r>
      <w:r>
        <w:rPr>
          <w:rFonts w:hint="eastAsia" w:ascii="宋体" w:hAnsi="宋体" w:eastAsia="宋体" w:cs="宋体"/>
          <w:b/>
          <w:bCs/>
          <w:sz w:val="28"/>
          <w:szCs w:val="28"/>
          <w:lang w:val="en-US" w:eastAsia="zh-CN"/>
        </w:rPr>
        <w:t>4.4.4 项目招投标</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4.4.4.1 招标原则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1、公开原则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开原则，即要求招标投标活动必须保证充分的透明度，招标投标程序、投标人的资格条件、评标标准和方法、评标和中标结果等信息要公开，保证每个投标人能够获得相同信息，公平参与投标竞争并依法维护自身的合法权益。同时招标投标活动的公开透明，也为当事人、行政和社会监督提供了条件。公开是公平、公正的基础和前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2、公平原则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平原则，即要求招标人在招标投标各程序环节中一视同仁地给予潜在投标人或者投标人平等竞争的机会，并使其享有同等的权利和义务。例如，招标人不得在资格预审文件和招标文件中含有倾向性内容或者以不合理的条件限制和排斥潜在投标人；不得对潜在投标人或者投标人采取不同的资格审查或者评标标准，依法必须进行招标的项目不得以特定行政区域或者特定行业的业绩、奖项作为评标加分条件或者中标条件等。公平原则主要体现在两个方面:一方面，机会均等，即潜在投标人具有均等的投标竞争机会；另一方面，各方权利义务平等，即招标人和所有投标人之间权利义务均衡并合理承担民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3、公正原则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正原则，即要求招标人必须依法设定科学、合理和统一的程序、方法和标准，并严格据此接受和客观评审投标文件，真正择优确定中标人，不倾向、不歧视、不排斥，保证各投标人的合法平等权益。为此，招标投标法及其配套规定对招标、投标、开标、评标、中标、签订合同等作了相关规定，以保证招标投标的程序、方法、标准、权益及其实体结果的公正。例如，评标委员会必须按照招标文件事先确定并公开的评标标准和方法客观评审投标文件和推荐中标候选人，并明确否决投标的法定情形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4、诚实信用原则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诚实信用原则，即要求招标投标各方当事人在招标投标活动和履行合同中应当以守法、诚实、守信、善意的意识和态度行使权利和履行义务，不得故意隐瞒真相或者弄虚作假，不得串标、围标和恶意竞争，不能言而无信甚至背信弃义，在追求自己合法利益的同时不得损害他人的合法利益和社会利益，依法维护双方利益以及与社会利益的平衡。诚实信用是市场经济的基石和民事活动的基本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4.4.4.2 招标依据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《中华人民共和国建筑法》；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《中华人民共和国招标投标法》；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河南省招投标有关规定。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4.4.4.4 招标条件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《工程建设项目施工招标投标办法》第八条中规定：依法必须招标的工程建设项目，应当具备下列条件才能进行施工招标：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1、招标人已经依法成立。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2、初步设计及概算应当履行审批手续的，已经批准。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3、有相应资金或资金来源已经落实。</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4、有招标所需的设计图纸及技术资料。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4.4.4.5 招标程序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本项目招标活动具体程序如下：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（1）本项目按照国家有关规定先履行项目审批手续，取得批准后进行公开招标。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（2）招标人在国家指定媒体发布招标公告。公告应当载明招标人名称和地址，招标项目的性质、数量、实施地点和时间以及获取招标文件的办法等事项。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（3）本项目的招标文件应当包括招标项目的技术要求、对投标人资格审查的标准，投标报价要求和评标标准等所有实质性要求和条件以及拟签订合同的主要条款。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（4）组织潜在投标人踏勘项目现场。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（5）项目招标文件开始发出之日起至投标人提交投标文件截止之日，最短不得少于二十日。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2、项目投标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（1）本项目投标人应当具备承担招标项目的能力，并应按照招标文件的要求编制投标文件。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（2）投标文件的内容应当包括拟派出的项目负责人与主要技术人员的简历、业绩和拟用于完成招标项目的机械设备清单等。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（3）投标人应当在招标文件要求提交投标文件的截止时间前，将投标文件送达投标地点。投标人少于三个的，招标人应当依照本办法重新招标。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（4）投标人拟在中标后将中标项目的部分非主体、非关键性工作进行分包的，应当在投标文件中载明。</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（5）投标人不得相互串通投标报价，不得排挤其它投标人的公平竞争，不得损害招标人或其它投标人的合法权益。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（6）投标人不得以低于成本的报价投标，也不得以他人名义投标或者以其它方式弄虚作假、骗取中标。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3、开标、评标和中标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（1）开标由委托的招标代理机构主持，在招标文件确定的提交投标文件截止时间的同一时间及预先确定的地点，邀请所有投标人参加。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评标由招标人依法组建的评标委员会负责。评标委员会由五人以上单数组成，其中技术、经济等方面的专家不得少于成员总数的三分之二。专家应当是从事相关领域工作满八年并具有高级职称或具有同等专业水平，对工程项目有较深入的研究，并且职业道德良好，与投标单位无任何利害关系。评标委员会成员应当客观、公正地履行职务，遵守职业道德，对提出的评审意见承担个人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（3）中标人确定后，招标人向中标人发出中标通知书，该通知书具有法律效力，若中标人放弃中标项目，应当承担法律责任。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自中标通知书发出30日之内，按照招标文件和中标人的投标文件，招标人和中标人签订书面合同。中标人应当按照合同履行义务，完成中标项目。中标人不得向他人转包中标项目，也不得将中标项目肢解后分别向他人转包。</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4.4.4.6 招标方案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本项目所涉及到的所有建设项目均按规定要求实施招标，委托有资质的招标单位组织实施，采用公开招标方式，实行合理低价中标的原则，杜绝一切漏洞，保证项目顺利进行，达到项目的最初预期和效益。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1、招标范围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本项目招标范围包括项目的勘察、设计、建安工程施工、设备采购、工程监理等。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2、招标组织形式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根据法律、法规规定，本项目拟采取委托招标形式。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3、招标方式本项目的勘察设计、工程监理、建筑施工及安装工程、设备的采购拟采用的招标方式进行公开，择优选择勘察设计单位、建筑安装公司、工程监理公司和设备供货商。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具体招标方案如下所示：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表4-5项目招投标一览表</w:t>
      </w:r>
    </w:p>
    <w:tbl>
      <w:tblPr>
        <w:tblStyle w:val="00000a"/>
        <w:tblW w:w="0" w:type="auto"/>
        <w:tblInd w:w="-79"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315"/>
        <w:gridCol w:w="900"/>
        <w:gridCol w:w="951"/>
        <w:gridCol w:w="886"/>
        <w:gridCol w:w="891"/>
        <w:gridCol w:w="889"/>
        <w:gridCol w:w="890"/>
        <w:gridCol w:w="1109"/>
        <w:gridCol w:w="886"/>
      </w:tblGrid>
      <w:tr>
        <w:trPr>
          <w:trHeight w:val="575" w:hRule="atLeast"/>
        </w:trPr>
        <w:tc>
          <w:tcPr>
            <w:tcW w:w="1315"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分项</w:t>
            </w:r>
          </w:p>
        </w:tc>
        <w:tc>
          <w:tcPr>
            <w:tcW w:w="1851"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招标范围</w:t>
            </w:r>
          </w:p>
        </w:tc>
        <w:tc>
          <w:tcPr>
            <w:tcW w:w="1777"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招标组织形式</w:t>
            </w:r>
          </w:p>
        </w:tc>
        <w:tc>
          <w:tcPr>
            <w:tcW w:w="1779"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招标方式</w:t>
            </w:r>
          </w:p>
        </w:tc>
        <w:tc>
          <w:tcPr>
            <w:tcW w:w="1109"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不采用招标方式</w:t>
            </w:r>
          </w:p>
        </w:tc>
        <w:tc>
          <w:tcPr>
            <w:tcW w:w="886"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投资概算</w:t>
            </w:r>
          </w:p>
          <w:p>
            <w:pPr>
              <w:jc w:val="center"/>
              <w:rPr>
                <w:rFonts w:hint="eastAsia" w:ascii="宋体" w:hAnsi="宋体" w:eastAsia="宋体" w:cs="宋体"/>
                <w:b/>
                <w:bCs/>
                <w:sz w:val="21"/>
                <w:szCs w:val="21"/>
              </w:rPr>
            </w:pPr>
            <w:r>
              <w:rPr>
                <w:rFonts w:hint="eastAsia" w:ascii="宋体" w:hAnsi="宋体" w:eastAsia="宋体" w:cs="宋体"/>
                <w:b/>
                <w:bCs/>
                <w:sz w:val="21"/>
                <w:szCs w:val="21"/>
              </w:rPr>
              <w:t>（万元）</w:t>
            </w:r>
          </w:p>
        </w:tc>
      </w:tr>
      <w:tr>
        <w:trPr>
          <w:trHeight w:val="610" w:hRule="atLeast"/>
        </w:trPr>
        <w:tc>
          <w:tcPr>
            <w:tcW w:w="1315" w:type="dxa"/>
            <w:vMerge w:val="continue"/>
            <w:tcBorders>
              <w:tl2br w:val="nil"/>
              <w:tr2bl w:val="nil"/>
            </w:tcBorders>
            <w:vAlign w:val="center"/>
          </w:tcPr>
          <w:p>
            <w:pPr>
              <w:jc w:val="center"/>
              <w:rPr>
                <w:rFonts w:hint="eastAsia" w:ascii="宋体" w:hAnsi="宋体" w:eastAsia="宋体" w:cs="宋体"/>
                <w:sz w:val="21"/>
                <w:szCs w:val="21"/>
              </w:rPr>
            </w:pPr>
          </w:p>
        </w:tc>
        <w:tc>
          <w:tcPr>
            <w:tcW w:w="900"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全部招标</w:t>
            </w:r>
          </w:p>
        </w:tc>
        <w:tc>
          <w:tcPr>
            <w:tcW w:w="951"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部分招标</w:t>
            </w:r>
          </w:p>
        </w:tc>
        <w:tc>
          <w:tcPr>
            <w:tcW w:w="886"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自行招标</w:t>
            </w:r>
          </w:p>
        </w:tc>
        <w:tc>
          <w:tcPr>
            <w:tcW w:w="891"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委托招标</w:t>
            </w:r>
          </w:p>
        </w:tc>
        <w:tc>
          <w:tcPr>
            <w:tcW w:w="889"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公开招标</w:t>
            </w:r>
          </w:p>
        </w:tc>
        <w:tc>
          <w:tcPr>
            <w:tcW w:w="890"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邀请招标</w:t>
            </w:r>
          </w:p>
        </w:tc>
        <w:tc>
          <w:tcPr>
            <w:tcW w:w="1109" w:type="dxa"/>
            <w:vMerge w:val="continue"/>
            <w:tcBorders>
              <w:tl2br w:val="nil"/>
              <w:tr2bl w:val="nil"/>
            </w:tcBorders>
            <w:vAlign w:val="center"/>
          </w:tcPr>
          <w:p>
            <w:pPr>
              <w:jc w:val="center"/>
              <w:rPr>
                <w:rFonts w:hint="eastAsia" w:ascii="宋体" w:hAnsi="宋体" w:eastAsia="宋体" w:cs="宋体"/>
                <w:sz w:val="21"/>
                <w:szCs w:val="21"/>
              </w:rPr>
            </w:pPr>
          </w:p>
        </w:tc>
        <w:tc>
          <w:tcPr>
            <w:tcW w:w="886" w:type="dxa"/>
            <w:vMerge w:val="continue"/>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勘察</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设计</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施工</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工程监理</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重要购置及</w:t>
            </w:r>
          </w:p>
          <w:p>
            <w:pPr>
              <w:jc w:val="center"/>
              <w:rPr>
                <w:rFonts w:hint="eastAsia" w:ascii="宋体" w:hAnsi="宋体" w:eastAsia="宋体" w:cs="宋体"/>
                <w:sz w:val="21"/>
                <w:szCs w:val="21"/>
              </w:rPr>
            </w:pPr>
            <w:r>
              <w:rPr>
                <w:rFonts w:hint="eastAsia" w:ascii="宋体" w:hAnsi="宋体" w:eastAsia="宋体" w:cs="宋体"/>
                <w:sz w:val="21"/>
                <w:szCs w:val="21"/>
              </w:rPr>
              <w:t>材料</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其他</w:t>
            </w:r>
          </w:p>
        </w:tc>
        <w:tc>
          <w:tcPr>
            <w:tcW w:w="900" w:type="dxa"/>
            <w:tcBorders>
              <w:tl2br w:val="nil"/>
              <w:tr2bl w:val="nil"/>
            </w:tcBorders>
            <w:vAlign w:val="center"/>
          </w:tcPr>
          <w:p>
            <w:pPr>
              <w:jc w:val="center"/>
              <w:rPr>
                <w:rFonts w:hint="eastAsia" w:ascii="宋体" w:hAnsi="宋体" w:eastAsia="宋体" w:cs="宋体"/>
                <w:sz w:val="21"/>
                <w:szCs w:val="21"/>
              </w:rPr>
            </w:pP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p>
        </w:tc>
        <w:tc>
          <w:tcPr>
            <w:tcW w:w="889" w:type="dxa"/>
            <w:tcBorders>
              <w:tl2br w:val="nil"/>
              <w:tr2bl w:val="nil"/>
            </w:tcBorders>
            <w:vAlign w:val="center"/>
          </w:tcPr>
          <w:p>
            <w:pPr>
              <w:jc w:val="center"/>
              <w:rPr>
                <w:rFonts w:hint="eastAsia" w:ascii="宋体" w:hAnsi="宋体" w:eastAsia="宋体" w:cs="宋体"/>
                <w:sz w:val="21"/>
                <w:szCs w:val="21"/>
              </w:rPr>
            </w:pP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6" w:type="dxa"/>
            <w:tcBorders>
              <w:tl2br w:val="nil"/>
              <w:tr2bl w:val="nil"/>
            </w:tcBorders>
            <w:vAlign w:val="center"/>
          </w:tcPr>
          <w:p>
            <w:pPr>
              <w:jc w:val="center"/>
              <w:rPr>
                <w:rFonts w:hint="eastAsia" w:ascii="宋体" w:hAnsi="宋体" w:eastAsia="宋体" w:cs="宋体"/>
                <w:sz w:val="21"/>
                <w:szCs w:val="21"/>
              </w:rPr>
            </w:pPr>
          </w:p>
        </w:tc>
      </w:tr>
    </w:tbl>
    <w:p>
      <w:pPr>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bookmarkStart w:id="63" w:name="_Toc9558"/>
      <w:bookmarkStart w:id="64" w:name="_Toc16701"/>
      <w:r>
        <w:rPr>
          <w:rFonts w:hint="eastAsia" w:ascii="宋体" w:hAnsi="宋体" w:eastAsia="宋体" w:cs="宋体"/>
          <w:b/>
          <w:bCs/>
          <w:spacing w:val="0"/>
          <w:w w:val="100"/>
          <w:position w:val="0"/>
          <w:sz w:val="36"/>
          <w:szCs w:val="36"/>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65" w:name="_Toc20189"/>
      <w:bookmarkStart w:id="66" w:name="_Toc22426"/>
      <w:r>
        <w:rPr>
          <w:rFonts w:hint="eastAsia" w:ascii="宋体" w:hAnsi="宋体" w:eastAsia="宋体" w:cs="宋体"/>
          <w:b/>
          <w:bCs/>
          <w:sz w:val="36"/>
          <w:szCs w:val="36"/>
          <w:lang w:val="en-US" w:eastAsia="zh-CN"/>
        </w:rPr>
        <w:t>第五章 项目运营方案</w:t>
      </w:r>
      <w:bookmarkEnd w:id="63"/>
      <w:bookmarkEnd w:id="64"/>
      <w:bookmarkEnd w:id="65"/>
      <w:bookmarkEnd w:id="6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7" w:name="_Toc6377"/>
      <w:bookmarkStart w:id="68" w:name="_Toc30709"/>
      <w:r>
        <w:rPr>
          <w:rFonts w:hint="eastAsia" w:ascii="宋体" w:hAnsi="宋体" w:eastAsia="宋体" w:cs="宋体"/>
          <w:b/>
          <w:bCs/>
          <w:sz w:val="28"/>
          <w:szCs w:val="28"/>
          <w:lang w:val="en-US" w:eastAsia="zh-CN"/>
        </w:rPr>
        <w:t>5.1 运营方案</w:t>
      </w:r>
      <w:bookmarkEnd w:id="67"/>
      <w:bookmarkEnd w:id="6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5.1.1 发展战略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发展战略聚焦于打造全方位、高品质、智能化的源网荷储一体化运营服务体系，以满足不断增长的能源需求和日益提升的客户期望。首先，在能源供应方面，持续优化电源结构，提高清洁能源发电效率和稳定性，确保电力的持续可靠输出；同时，强化电网的智能化运维管理，运用先进的监测技术和数据分析手段，实时掌握电网运行状态，快速响应并解决故障问题，保障电力传输的安全高效。其次，针对用户侧，提供个性化的能源服务方案，深入了解不同用户的用电特性和需求，通过智能电表、控制系统等技术手段，帮助用户实现精细化的能源管理，如制定合理的用电计划、参与需求侧响应等，从而降低用户用电成本，提升能源使用效率。再者，充分发挥储能系统的调节作用，不仅在平抑电力波动、保障电能质量方面发挥关键效能，还积极参与电力辅助服务市场，挖掘储能的多重价值。此外，注重人才培养和技术创新，打造一支专业的运营服务团队，持续引进和研发先进的源网荷储技术，不断提升项目的运营管理水平和市场竞争力，以长期稳定的优质服务赢得客户信赖，树立行业标杆形象，推动项目在源网荷储领域的可持续发展，为能源转型和绿色发展贡献力量。</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5.1.2 项目运营服务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1、发展方向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将朝着智能化、高效化、定制化方向发展。在智能化上，引入先进的物联网、大数据与人工智能技术，对源网荷储各环节进行实时监测与精准调控，实现设备的智能运维和故障的自动诊断修复，提升系统整体运行效率与可靠性；高效化方面，通过优化能源调度策略，减少传输损耗，充分发挥储能的调峰填谷作用，确保能源在不同时段的合理分配与高效利用，降低运营成本；定制化则专注于满足不同用户的多样化需求，依据用户的用电习惯、生产特性等，为其量身打造能源管理方案，提供节能建议与技术支持，提升用户的能源使用效益与满意度，增强项目在市场中的竞争力，推动源网荷储一体化运营服务向更高水平迈进，更好地适应能源发展新趋势。</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5.1.3 维护维修方案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1、设备维护方案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（1）定期检查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建立定期检查机制，对生产设备进行定期的检查和维护，发现设备的问题及时处理，减少生产故障的发生。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（2）维护记录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建立设备维护记录系统，记录每台设备的维护情况，便于日后的跟踪和管理。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（3）设备保养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定期对设备进行保养，及时更换磨损部件，加油加润，确保设备的正常运行。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（4）人员培训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对维护人员进行培训，提高其技能和知识水平，使其能够更好地进行设备维护和保养工作。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2、设备维修方案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（1）技术支持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建立技术支持渠道，与设备生产厂家建立联系，及时获取技术支持和解决方案，保证设备的正常运行。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（2）维修团队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建立专业的维修团队，由资深维修人员组成，能够及时、有效地解决设备故障。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（3）维修备件库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建立维修备件库，存放常用的维修备件，便于快速更换，加快修复设备的速度。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（4）原因分析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对设备故障进行原因分析，找出故障的根本原因，从而采取有针对性的措施，防止故障再次发生。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建立科学的设备维护维修方案，通过人工监控和自动化工具，及时发现和解决可能存在的问题，确保设备的正常运行。同时，建立完善的管理和监督体系，确保方案实施的效果。</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5.1.4 运营服务方案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本项目运营服务方案将围绕源网荷储一体化系统，构建全方位、精细化、智能化的服务体系，确保项目安全、稳定、高效运行，实现能源的优化配置和客户价值的最大化。</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在能源供应环节，我们将对各类电源进行科学管理与维护，包括对分布式光伏、风电以及传统火电（若有）等发电设备的日常巡检、预防性维护和故障抢修，确保发电效率和电能质量，根据天气和负荷变化灵活调整发电策略，优先保障清洁能源的充分利用。电网运营方面，通过安装智能监控系统，实时掌握电网的潮流分布、电压稳定性等关键指标，及时发现并解决潜在的安全隐患，利用先进的电力通信技术实现电网的自动化调度和快速故障隔离，保障电力传输的可靠性和连续性。负荷管理上，为用户提供智能电表和能源管理终端，帮助用户实时了解用电情况，根据用户的生产计划和用电需求，制定个性化的用电方案，引导用户错峰用电，积极参与需求侧响应项目，从而降低用户的用电成本，提高能源利用效率。储能系统运营中，将根据电网的负荷特性和电价波动，合理安排储能的充放电时间，在用电低谷期储存电能，在高峰时段释放，起到削峰填谷的作用，同时参与电网的调频、调压等辅助服务，提升电网的稳定性和电能质量。此外，我们还将建立专业的客户服务团队，24 小时响应客户的咨询、投诉和技术支持需求，定期为客户提供能源使用报告和节能建议，通过持续优化运营服务流程和技术创新，不断提升项目的运营效益和客户满意度，为项目的长期可持续发展奠定坚实基础，在源网荷储一体化领域树立良好的服务典范，推动能源行业的绿色、高效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69" w:name="_Toc11627"/>
      <w:bookmarkStart w:id="70" w:name="_Toc27306"/>
      <w:r>
        <w:rPr>
          <w:rFonts w:hint="eastAsia" w:ascii="宋体" w:hAnsi="宋体" w:eastAsia="宋体" w:cs="宋体"/>
          <w:b/>
          <w:bCs/>
          <w:sz w:val="28"/>
          <w:szCs w:val="28"/>
        </w:rPr>
        <w:t>5.2 安全保障方案</w:t>
      </w:r>
      <w:bookmarkEnd w:id="69"/>
      <w:bookmarkEnd w:id="7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bookmarkStart w:id="71" w:name="_Toc2460"/>
      <w:r>
        <w:rPr>
          <w:rFonts w:hint="eastAsia" w:ascii="宋体" w:hAnsi="宋体" w:eastAsia="宋体" w:cs="宋体"/>
          <w:b/>
          <w:bCs/>
          <w:sz w:val="28"/>
          <w:szCs w:val="28"/>
        </w:rPr>
        <w:t>5.2.1 运营中危险因素及危险程度</w:t>
      </w:r>
      <w:bookmarkEnd w:id="7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新能源发电设备故障风险：太阳能光伏板可能出现热斑效应、组件老化损坏，风力发电机可能存在叶片断裂、齿轮箱故障等问题。这些故障一旦发生，不仅会导致发电中断，影响电力供应稳定性，还可能因设备部件掉落引发人员伤亡和财产损失。危险程度较高，尤其是在恶劣天气条件下或设备维护不及时的情况下，发生故障的概率会显著增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波动与短路风险：由于分布式能源的接入以及负荷的动态变化，电网可能出现电压波动、频率异常甚至短路故障。这会影响电力传输质量，对用电设备造成损坏，严重时可能引发火灾，威胁整个项目区域的安全。其危险程度取决于电网保护装置的可靠性和故障排查处理的及时性，若保护机制失效，危险程度将急剧上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系统安全风险：电化学储能装置如锂离子电池存在热失控、电解液泄漏、过充过放等安全隐患。热失控可能引发火灾甚至爆炸，危及周边人员和设施安全。而且储能系统在充放电过程中的能量管理若出现问题，也会影响其寿命和性能，进而影响整个源网荷储系统的稳定性。这种风险的危险程度极高，一旦发生事故，后果不堪设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电力调度与控制系统故障风险：项目依赖先进的电力调度和控制系统来协调源网荷储各环节的运行，如果该系统遭受黑客攻击、软件漏洞或硬件故障，可能导致调度指令错误、数据丢失或系统瘫痪，使得整个电力系统失去控制，造成大面积停电和设备损坏，对生产生活造成严重影响，危险程度不容小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人为操作失误风险：运维人员在设备操作、检修、调试等过程中，可能因技能不足、违规操作或疏忽大意而引发事故，如误操作电气设备导致触电、误拉合开关引发电网故障等。虽然单个操作失误可能影响范围有限，但长期来看，人为因素引发事故的累积风险不可忽视，危险程度中等偏上，通过加强人员培训和安全管理可有效降低此类风险。</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72" w:name="_Toc11841"/>
      <w:bookmarkStart w:id="73" w:name="_Toc28611"/>
      <w:r>
        <w:rPr>
          <w:rFonts w:hint="eastAsia" w:ascii="宋体" w:hAnsi="宋体" w:eastAsia="宋体" w:cs="宋体"/>
          <w:b/>
          <w:bCs/>
          <w:sz w:val="28"/>
          <w:szCs w:val="28"/>
        </w:rPr>
        <w:t>5.3 运营管理方案</w:t>
      </w:r>
      <w:bookmarkEnd w:id="72"/>
      <w:bookmarkEnd w:id="73"/>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5.3.2 劳动定员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本项目建成后运营期</w:t>
      </w:r>
      <w:r>
        <w:rPr>
          <w:rFonts w:hint="eastAsia" w:ascii="宋体" w:hAnsi="宋体" w:eastAsia="宋体" w:cs="宋体"/>
          <w:snapToGrid/>
          <w:color w:val="000000"/>
          <w:spacing w:val="0"/>
          <w:w w:val="100"/>
          <w:kern w:val="2"/>
          <w:position w:val="0"/>
          <w:sz w:val="28"/>
          <w:szCs w:val="28"/>
          <w:lang w:val="en-US" w:eastAsia="zh-CN" w:bidi="zh-CN"/>
        </w:rPr>
        <w:t>间，运营公司需新增劳动定员6人。主要负责项目项目运营及对入驻企业的监管。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5.3.3 人员素质要求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级管理人员如总经理、各部门经理、技术人员、管理人员由公司委任；中级管理人员，各车间经理、领班及技术骨干来源主要有三个渠道：一是由企业中挑选进行培训；二是从同行业中聘请，三是从应届专业学校毕业生中直接选拔。一般工作人员由公司内部调配解决，不足部分向社会公开招聘，择优录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在筹建期间要安排好企业员工的培训，以便受训人员可及时投入到设备安装调试和试生产中。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技术培训主要内容包括全员文化素质培训、生产管理培训、关键技术的应用培训、关键设备的操作与维修培训、产品研制开发培训、质量控制培训、安全培训等。培训对象包括生产工人、技术人员及管理人员。培训方式以国内为主，具体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1、组织理论知识学习，提高职工文化知识水平。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2、在本项目投产前组织各类新增人员就地培训，上岗前要组织考核，择优上岗。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3、聘请有实践经验的专家来厂现场指导传授技术。安排有实践经验的技术人员给不同岗位的干部工人上课，提高全员业务素质。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4、企业主要负责人、主管设备、技术、安全的负责人及安全生产管理人员应具有行业相关经验，能够按规范要求进行管理，有能力对工作中出现的各种问题进行良好的处理。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5、从业人员上岗前必须经过相关法规教育及相应技术培训，企业应建立培训及考核档案，企业负责人及生产、品质管理部门负责人还应接受相关专业培训。</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5.3.4 员工培训计划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的管理人员、技术人员及生产人员的素质是企业形象的具体体现，特别是在市场经济的今天，从业人员的素质的高低是企业发展的关键。因此，本项目生产关键环节的有关人员，拟派到国内同类型中水回用综合项目地进行培训，其他人员由公司组织就地培训，请经验丰富的专业技术人员讲课，使生产人员能够掌握基础知识和基本技能，并要严格考核，持证上岗，培训人员应不少于一线操作人员中的60%—70%，培训时间应根据岗位操作的复杂程度确定，通常为1—2个月，人员培训工作一定要安排在设备调试前进行。</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bookmarkStart w:id="74" w:name="_Toc20554"/>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安全生产责任制</w:t>
      </w:r>
      <w:bookmarkEnd w:id="7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安全生产责任制是确保企业安全生产的基础。企业应该设立安全生产管理机构，明确各级领导和员工的安全生产职责，并制定相应的安全生产规章制度。这样可以使各级管理者和员工都明确自己的安全生产职责，提高整个企业的安全管理水平。同时，企业还应加强对员工的安全教育培训，提高员工的安全意识和安全技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建立安全管理机构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机构是负责安全管理的组织机构，在企业中起着至关重要的作用。企业应该设立专门的安全管理机构，主要负责安全管理制度的制定和实施、安全生产资料管理、安全生产监督和检查等方面的工作。安全管理机构应拥有足够的权力和资源，能够有效地履行安全管理职责。</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 xml:space="preserve"> 建立安全管理体系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体系是安全管理的重要组成部分，包括安全制度、安全防范、安全监控和安全救援等方面。通过建立完善的安全管理体系，企业可以加强对生产过程中的安全控制，有效预防和应对各种安全风险。安全管理体系应根据企业的实际情况进行设计，保证其完整、系统、有效。</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安全防范措施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1、环境监测与风险控制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获嘉县在推进本项目时，需要强化环境监管，确保项目在建设和运营过程中符合环保要求，减少对生态环境的影响。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2、技术与设施升级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采用先进的源网荷储理念，对园区内光伏和储能设备进行智能化管理，提高系统的安全性和可靠性。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3、风险评估与管理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建立风险评估体系，对项目可能面临的技术风险、市场风险、财务风险等进行评估，并制定相应的应对措施。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4、公众参与与宣传教育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提高公众对新能源电力及源网荷储模式的认知度，鼓励公众参与项目的监督和管理，同时通过宣传教育提高公众的环保意识和安全意识。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5、加强员工培训和安全意识教育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加强员工的安全培训和安全意识教育，确保操作人员能够正确的运用设备，并预防和处理安全事故。员工作业时提供必要的个人防护装备，如安全帽、防护眼镜、防滑鞋、防护服等。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6、信息化管理及加强信息安全保护</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利用现代信息技术，建立智能化的管理系统，实现远程监控、数据分析和智能调度，提高管理效率和服务质量。采取多层次、多措施的信息安全保障体系，对数据进行分类备份、加密传输、审计监控等，防止数据被盗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3.9</w:t>
      </w:r>
      <w:r>
        <w:rPr>
          <w:rFonts w:hint="eastAsia" w:ascii="宋体" w:hAnsi="宋体" w:eastAsia="宋体" w:cs="宋体"/>
          <w:b/>
          <w:bCs/>
          <w:sz w:val="28"/>
          <w:szCs w:val="28"/>
        </w:rPr>
        <w:t xml:space="preserve"> 项目应急管理预案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1、应急响应机制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实际情况建立应急响应机制。该机制包括应急组织架构、应急响应程序、应急调度指挥等方面。应急响应机制中要包括人员责任分工，产生应急事件时，每个应急小组成员要知道自己的职责和任务，并发挥自己的专业优势协助处理应急事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2、应急预案制定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在应急预案中对可能发生的应急事故进行分类、评估和判断。应急预案的制订要按照应急响应等级，明确应急工作的步骤和措施，以及一次性应急物资采购和物资储备计划、应急复工方案等。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3、应急资源准备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前申购和储备物资和设备，准备充分、有序的应急物资，及时更新物资库存数。在应急预案制定的基础上建立物资应急储备体系，合理分配应急物资储备、物资采购和供应商选择及沟通等。预防与应急响应物资有关的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4、应急培训措施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组织企业内部的应急培训，针对不同岗位的员工，开展不同层次、不同内容的应急培训。企业应急培训内容可以包括防范知识、急救抢救技能、危机公关和虚拟疏散等。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5、应急调度和信息化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建立应急调度与信息化系统，快速响应线上网络安全问题、IT设备故障问题等，并制定应急调度预案，明确应急处置的流程。同时应加强网络安全防御，利用信息化技术加强危险源信息预警和防范。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6、应急演练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定期开展应急演练，包括突发事件处理、防火演练、应急疏散演练等，确保预案的可行性和使用性。演练中的细节和业务流程应与预案的实操情况配合，以最大程度地发挥出应急预案的价值和效果。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7、突发事件处理流程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在突发事件处理流程中提前设计应急响应步骤和具体实施方案，建立应急指挥体系，明确人员职责、应急调度、物资储备、应急通讯和技术保障等，确保应急传递的快捷与准确，应急处理的及时与有效性。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8、应急通讯和报警系统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完备、连通的应急通讯和报警系统，综合利用网络通信设备、人员通讯设备等手段，确保应急信息及时传递，应急通讯系统的成功率和通畅度高。预警和警报的判断，能够准确和及时发布，为迅速响应和有效出击提供重要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9、规范记录和督查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建立应急事件记录和督查制度，对应急情况进行详细记录，及时反馈和沟通。同时实时向管理层汇报应急事件情况，强化督查和检查效果，以不断完善具体的应急处置措施和应对经验。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应急管理预案的详细性和全面性是保障企业安全的重要保障措施。企业应该认真执行应急管理预案，不断加强应急意识和应急响应能力，提高应急处置水平，以保障企业和人员的生命和资产安全。</w:t>
      </w:r>
    </w:p>
    <w:p>
      <w:pPr>
        <w:rPr>
          <w:rFonts w:hint="eastAsia" w:ascii="宋体" w:hAnsi="宋体" w:eastAsia="宋体" w:cs="宋体"/>
          <w:b/>
          <w:i w:val="false"/>
          <w:strike w:val="false"/>
          <w:color w:val="000000"/>
          <w:spacing w:val="0"/>
          <w:sz w:val="36"/>
          <w:u w:val="none"/>
          <w:vertAlign w:val="baseline"/>
          <w:lang w:val="en-US" w:eastAsia="zh-CN"/>
        </w:rPr>
      </w:pPr>
      <w:r>
        <w:rPr>
          <w:rFonts w:hint="eastAsia" w:ascii="宋体" w:hAnsi="宋体" w:eastAsia="宋体" w:cs="宋体"/>
          <w:b/>
          <w:i w:val="false"/>
          <w:strike w:val="false"/>
          <w:color w:val="000000"/>
          <w:spacing w:val="0"/>
          <w:sz w:val="36"/>
          <w:u w:val="none"/>
          <w:vertAlign w:val="baseline"/>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color w:val="auto"/>
          <w:sz w:val="36"/>
          <w:szCs w:val="36"/>
          <w:lang w:val="en-US" w:eastAsia="zh-CN"/>
        </w:rPr>
      </w:pPr>
      <w:bookmarkStart w:id="75" w:name="_Toc25672"/>
      <w:bookmarkStart w:id="76" w:name="_Toc19857"/>
      <w:bookmarkStart w:id="77" w:name="_Toc8006"/>
      <w:r>
        <w:rPr>
          <w:rFonts w:hint="eastAsia" w:ascii="宋体" w:hAnsi="宋体" w:eastAsia="宋体" w:cs="宋体"/>
          <w:b/>
          <w:bCs/>
          <w:color w:val="auto"/>
          <w:sz w:val="36"/>
          <w:szCs w:val="36"/>
          <w:lang w:val="en-US" w:eastAsia="zh-CN"/>
        </w:rPr>
        <w:t>第六章 项目投融资与财务方案</w:t>
      </w:r>
      <w:bookmarkEnd w:id="75"/>
      <w:bookmarkEnd w:id="76"/>
      <w:bookmarkEnd w:id="7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78" w:name="_Toc2334"/>
      <w:bookmarkStart w:id="79" w:name="_Toc6231"/>
      <w:bookmarkStart w:id="80" w:name="_Toc11271"/>
      <w:r>
        <w:rPr>
          <w:rFonts w:hint="eastAsia" w:ascii="宋体" w:hAnsi="宋体" w:eastAsia="宋体" w:cs="宋体"/>
          <w:b/>
          <w:bCs/>
          <w:sz w:val="28"/>
          <w:szCs w:val="28"/>
        </w:rPr>
        <w:t>6.1 项目投资估算及说明</w:t>
      </w:r>
      <w:bookmarkEnd w:id="78"/>
      <w:bookmarkEnd w:id="79"/>
      <w:bookmarkEnd w:id="8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6.1.1 工程概况</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false"/>
          <w:strike w:val="false"/>
          <w:spacing w:val="0"/>
          <w:sz w:val="28"/>
          <w:u w:val="none"/>
        </w:rPr>
        <w:t>园区内工业厂房屋顶部署</w:t>
      </w:r>
      <w:r>
        <w:rPr>
          <w:rFonts w:hint="eastAsia" w:ascii="宋体" w:hAnsi="宋体" w:eastAsia="宋体" w:cs="宋体"/>
          <w:i w:val="false"/>
          <w:strike w:val="false"/>
          <w:spacing w:val="0"/>
          <w:sz w:val="28"/>
          <w:u w:val="none"/>
          <w:lang w:val="en-US" w:eastAsia="zh-CN"/>
        </w:rPr>
        <w:t>5956</w:t>
      </w:r>
      <w:r>
        <w:rPr>
          <w:rFonts w:ascii="宋体" w:hAnsi="宋体" w:eastAsia="宋体" w:cs="宋体"/>
          <w:i w:val="false"/>
          <w:strike w:val="false"/>
          <w:spacing w:val="0"/>
          <w:sz w:val="28"/>
          <w:u w:val="none"/>
        </w:rPr>
        <w:t>KW的分布式光伏发电系统，并配套安装用户侧储能设施，总规模达到</w:t>
      </w:r>
      <w:r>
        <w:rPr>
          <w:rFonts w:hint="eastAsia" w:ascii="宋体" w:hAnsi="宋体" w:eastAsia="宋体" w:cs="宋体"/>
          <w:i w:val="false"/>
          <w:strike w:val="false"/>
          <w:spacing w:val="0"/>
          <w:sz w:val="28"/>
          <w:u w:val="none"/>
          <w:lang w:val="en-US" w:eastAsia="zh-CN"/>
        </w:rPr>
        <w:t>20</w:t>
      </w:r>
      <w:r>
        <w:rPr>
          <w:rFonts w:ascii="宋体" w:hAnsi="宋体" w:eastAsia="宋体" w:cs="宋体"/>
          <w:i w:val="false"/>
          <w:strike w:val="false"/>
          <w:spacing w:val="0"/>
          <w:sz w:val="28"/>
          <w:u w:val="none"/>
        </w:rPr>
        <w:t>MW/</w:t>
      </w:r>
      <w:r>
        <w:rPr>
          <w:rFonts w:hint="eastAsia" w:ascii="宋体" w:hAnsi="宋体" w:eastAsia="宋体" w:cs="宋体"/>
          <w:i w:val="false"/>
          <w:strike w:val="false"/>
          <w:spacing w:val="0"/>
          <w:sz w:val="28"/>
          <w:u w:val="none"/>
          <w:lang w:val="en-US" w:eastAsia="zh-CN"/>
        </w:rPr>
        <w:t>40</w:t>
      </w:r>
      <w:r>
        <w:rPr>
          <w:rFonts w:ascii="宋体" w:hAnsi="宋体" w:eastAsia="宋体" w:cs="宋体"/>
          <w:i w:val="false"/>
          <w:strike w:val="false"/>
          <w:spacing w:val="0"/>
          <w:sz w:val="28"/>
          <w:u w:val="none"/>
        </w:rPr>
        <w:t>MWh（其中包含3MW储能换电模块）。此外，项目规划安装</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个600kw液冷光储充电桩和其他等量充电桩，并同步实施其他相关配套工程。通过源网荷储一体化方案，本项目将直接将所发绿色电力供给河南大成包装材料有限公司。该企业采用此清洁能源后，不仅能有效降低自身污染排放，还将有力推动可再生能源的应用与发展。这一综合性项目对于提升资源利用效率、减轻环境负担、以及助力绿色可持续发展目标的实现具有重要意义</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《投资项目可行性研究报告》（计办投资〔2002〕15号）；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《投资项目经济咨询评估指南》（咨经〔1998〕11号）；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《建设工程工程量清单计价规范》（GB50500-2013）；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《河南省市政工程预算定额》（HAA1-31-2016）；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《河南省房屋建筑与装饰工程预算定额》（HA01-31-2016）；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《河南省通用安装工程预算定额》（HA02-31-2016）；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河南省有关造价文件。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设备费用依据近期向制造厂询价计算。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6.1.3 投资构成与估算参数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项目投资主要是固定资产投资，其中固定资产投资由工程费用、工程建设其他费用、预备费、建设期利息四部分组成，详细情况如下。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1、工程费用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工程费用包括设备购置费，根据相同结构的类似工程计算，并参考现行市场材料价格和当地工程造价指数信息进行调整，以单方指标计入，具体如下。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（1）设备购置费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光伏设备：该项目设备主要</w:t>
      </w:r>
      <w:r>
        <w:rPr>
          <w:rFonts w:ascii="宋体" w:hAnsi="宋体" w:eastAsia="宋体" w:cs="宋体"/>
          <w:i w:val="false"/>
          <w:strike w:val="false"/>
          <w:spacing w:val="0"/>
          <w:sz w:val="28"/>
          <w:u w:val="none"/>
        </w:rPr>
        <w:t>640Wp单晶N型</w:t>
      </w:r>
      <w:r>
        <w:rPr>
          <w:rFonts w:hint="eastAsia" w:ascii="宋体" w:hAnsi="宋体" w:eastAsia="宋体" w:cs="宋体"/>
          <w:snapToGrid/>
          <w:color w:val="auto"/>
          <w:spacing w:val="0"/>
          <w:w w:val="100"/>
          <w:kern w:val="2"/>
          <w:position w:val="0"/>
          <w:sz w:val="28"/>
          <w:szCs w:val="28"/>
          <w:lang w:val="en-US" w:eastAsia="zh-CN" w:bidi="zh-CN"/>
        </w:rPr>
        <w:t>、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储能设备：电池系统5000KWH、储能变流器、集装箱柜体、温控系统、消防系统、储能EMS、</w:t>
      </w:r>
      <w:r>
        <w:rPr>
          <w:rFonts w:ascii="宋体" w:hAnsi="宋体" w:eastAsia="宋体" w:cs="宋体"/>
          <w:i w:val="false"/>
          <w:strike w:val="false"/>
          <w:spacing w:val="0"/>
          <w:sz w:val="28"/>
          <w:u w:val="none"/>
        </w:rPr>
        <w:t>15KWH换电系统(3000KWH)、</w:t>
      </w:r>
      <w:r>
        <w:rPr>
          <w:rFonts w:hint="eastAsia" w:ascii="宋体" w:hAnsi="宋体" w:eastAsia="宋体" w:cs="宋体"/>
          <w:snapToGrid/>
          <w:color w:val="auto"/>
          <w:spacing w:val="0"/>
          <w:w w:val="100"/>
          <w:kern w:val="2"/>
          <w:position w:val="0"/>
          <w:sz w:val="28"/>
          <w:szCs w:val="28"/>
          <w:lang w:val="en-US" w:eastAsia="zh-CN" w:bidi="zh-CN"/>
        </w:rPr>
        <w:t>储能箱基础及连接电缆及其他附件设备。预计费用5099.70万元。</w:t>
      </w:r>
    </w:p>
    <w:p>
      <w:pPr>
        <w:snapToGrid/>
        <w:spacing w:before="157" w:after="157" w:line="240" w:lineRule="auto"/>
        <w:ind w:firstLine="550"/>
        <w:rPr/>
      </w:pPr>
      <w:r>
        <w:rPr>
          <w:rFonts w:ascii="宋体" w:hAnsi="宋体" w:eastAsia="宋体" w:cs="宋体"/>
          <w:i w:val="false"/>
          <w:strike w:val="false"/>
          <w:color w:val="000000"/>
          <w:sz w:val="28"/>
          <w:u w:val="none"/>
        </w:rPr>
        <w:t>（2）园区配套工程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该项目室外工程主要包括：升压/降压变压器、中压输电电缆、绿化等相关配套工程、10kv储能变电站、中心配电室变压器2000KVA、</w:t>
      </w:r>
      <w:r>
        <w:rPr>
          <w:rFonts w:ascii="宋体" w:hAnsi="宋体" w:eastAsia="宋体" w:cs="宋体"/>
          <w:i w:val="false"/>
          <w:strike w:val="false"/>
          <w:spacing w:val="0"/>
          <w:sz w:val="28"/>
          <w:u w:val="none"/>
        </w:rPr>
        <w:t>光伏充电桩（600kw液冷）</w:t>
      </w:r>
      <w:r>
        <w:rPr>
          <w:rFonts w:ascii="宋体" w:hAnsi="宋体" w:eastAsia="宋体" w:cs="宋体"/>
          <w:i w:val="false"/>
          <w:strike w:val="false"/>
          <w:spacing w:val="0"/>
          <w:sz w:val="28"/>
          <w:u w:val="none"/>
        </w:rPr>
        <w:t>其中包含充电桩单桩价格65万元，单桩光伏车棚及储能模块合计价格约为45万元</w:t>
      </w:r>
      <w:r>
        <w:rPr>
          <w:rFonts w:hint="eastAsia" w:ascii="宋体" w:hAnsi="宋体" w:eastAsia="宋体" w:cs="宋体"/>
          <w:snapToGrid/>
          <w:color w:val="auto"/>
          <w:spacing w:val="0"/>
          <w:w w:val="100"/>
          <w:kern w:val="2"/>
          <w:position w:val="0"/>
          <w:sz w:val="28"/>
          <w:szCs w:val="28"/>
          <w:lang w:val="en-US" w:eastAsia="zh-CN" w:bidi="zh-CN"/>
        </w:rPr>
        <w:t>，预计</w:t>
      </w:r>
      <w:r>
        <w:rPr>
          <w:rFonts w:hint="eastAsia" w:ascii="宋体" w:hAnsi="宋体" w:eastAsia="宋体" w:cs="宋体"/>
          <w:snapToGrid/>
          <w:color w:val="auto"/>
          <w:spacing w:val="0"/>
          <w:w w:val="100"/>
          <w:kern w:val="2"/>
          <w:position w:val="0"/>
          <w:sz w:val="28"/>
          <w:szCs w:val="28"/>
          <w:lang w:val="en-US" w:eastAsia="zh-CN" w:bidi="zh-CN"/>
        </w:rPr>
        <w:t>总</w:t>
      </w:r>
      <w:r>
        <w:rPr>
          <w:rFonts w:hint="eastAsia" w:ascii="宋体" w:hAnsi="宋体" w:eastAsia="宋体" w:cs="宋体"/>
          <w:snapToGrid/>
          <w:color w:val="auto"/>
          <w:spacing w:val="0"/>
          <w:w w:val="100"/>
          <w:kern w:val="2"/>
          <w:position w:val="0"/>
          <w:sz w:val="28"/>
          <w:szCs w:val="28"/>
          <w:lang w:val="en-US" w:eastAsia="zh-CN" w:bidi="zh-CN"/>
        </w:rPr>
        <w:t>费用1094.22万元。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2、工程建设其他费用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本项目工程其他费用包括建设单位管理费、建设工程监理费、建设项目前期咨询费、工程勘察费、工程设计费、环境影响咨询服务费、场地准备及临时设施费、工程保险费、招标代理费、工程造价咨询费、</w:t>
      </w:r>
      <w:r>
        <w:rPr>
          <w:rFonts w:ascii="宋体" w:hAnsi="宋体" w:eastAsia="宋体" w:cs="宋体"/>
          <w:i w:val="false"/>
          <w:strike w:val="false"/>
          <w:spacing w:val="0"/>
          <w:sz w:val="28"/>
          <w:u w:val="none"/>
        </w:rPr>
        <w:t>屋顶荷载检测费</w:t>
      </w:r>
      <w:r>
        <w:rPr>
          <w:rFonts w:hint="eastAsia" w:ascii="宋体" w:hAnsi="宋体" w:eastAsia="宋体" w:cs="宋体"/>
          <w:snapToGrid/>
          <w:color w:val="auto"/>
          <w:spacing w:val="0"/>
          <w:w w:val="100"/>
          <w:kern w:val="2"/>
          <w:position w:val="0"/>
          <w:sz w:val="28"/>
          <w:szCs w:val="28"/>
          <w:lang w:val="en-US" w:eastAsia="zh-CN" w:bidi="zh-CN"/>
        </w:rPr>
        <w:t>等。具体情况如下：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（1）建设单位管理费：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根据财建(2016)504号文结合实际情况计取按39.51万元计入。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（2）建设工程监理费：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根据发改价格（2015）299号、豫建监协（2015）19号文并结合实际情况按47.42万元计取。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（3）建设项目前期工作咨询费：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根据参考豫发改收费[2011]627号并结合实际情况按39.51万元计取。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（4）工程勘察费：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根据国家计委、根据发改价格[2015]299号文并结合实际情况按26.17万元计取。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（5）工程设计费：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根据国家计委、建设部计价格（2002）10号文及发改价格[2015]299号文并结合实际情况按79.03万元计取。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（6）环境影响咨询服务费：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根据发改价格[2015]299号及发改收费[2011]627号文并结合实际情况按7.90万元计取。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（7）场地准备费及临时设施费：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根据《市政工程投资估算编制办法》（建标〔2007〕164号）文并结合实际情况按43.46万元计取。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（8）工程保险费：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根据《保险法》《合同法》法律法规规定并结合实际情况按23.30万元计取。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（9）招标代理服务费：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根据参考豫发改收费[2011]627号文并结合市场情况按26.87万元计取。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（10）工程造价咨询费：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根据中价协〔2013〕35号文并结合实际情况按23.71万元计取。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w:t>
      </w:r>
      <w:r>
        <w:rPr>
          <w:rFonts w:ascii="宋体" w:hAnsi="宋体" w:eastAsia="宋体" w:cs="宋体"/>
          <w:i w:val="false"/>
          <w:strike w:val="false"/>
          <w:spacing w:val="0"/>
          <w:sz w:val="28"/>
          <w:u w:val="none"/>
        </w:rPr>
        <w:t>屋顶荷载检测费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根据《关于规范房屋安全鉴定收费的通知》和《房屋安全鉴定收费标准》文件要求并结合实际情况按15.64万元。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3、预备费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基本预备费，以工程建设费与工程建设其他费用之和为基数，其中，基本预备费按照工程费用和工程其他费用之和5%计入，按413.75万元计取，涨价预备费按照0万元计取。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4、建设期利息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本项目建设期为0.5年（含建设期准备工作），计划2025年8月开工，预计2026年2月竣工，利率4.50%，建设期内按金融机构计息计划投入。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6.1.4 投资估算和资金筹措</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1、投资估算</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项目投资构成如下表所示:</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表6-</w:t>
      </w: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项目投资构成一览表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503"/>
        <w:gridCol w:w="1452"/>
        <w:gridCol w:w="822"/>
        <w:gridCol w:w="1382"/>
        <w:gridCol w:w="1435"/>
      </w:tblGrid>
      <w:tr>
        <w:trPr>
          <w:trHeight w:val="67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序号</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工程或费用名称</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合计</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单位</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数量</w:t>
            </w:r>
          </w:p>
        </w:tc>
        <w:tc>
          <w:tcPr>
            <w:tcW w:w="143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综合单价（万元）</w:t>
            </w:r>
          </w:p>
        </w:tc>
      </w:tr>
      <w:tr>
        <w:trPr>
          <w:trHeight w:val="30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一</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工程费用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7902.57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90.13%</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光伏组件</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 xml:space="preserve">1708.65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KW</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5956</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 xml:space="preserve">0.287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640Wp单晶N型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882.272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块</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11168.00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0.079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逆变器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81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57.00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1.420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交流汇流箱</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9.32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9.00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1.036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光伏支架及配件</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157.03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87.29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1.799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光伏直流电缆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2.00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5.500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MC4连接器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1.32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套</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610.00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0.022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1.7</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交流电缆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147.62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8.10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18.225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1.8</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干式变压器（箱变)</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25.26</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20.260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1.9</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光伏接入柜</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5.13</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5.132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并网柜</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5</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5.000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站用变电柜</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4.71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4.711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10kV动态无功补偿装置</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39.07</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35.000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高压电缆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82.51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2.00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41.300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土建基础</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96.75</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项</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80.250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组件、电气安装、辅材等</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160.65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KW</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5950.00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0.027 </w:t>
            </w:r>
          </w:p>
        </w:tc>
      </w:tr>
      <w:tr>
        <w:trPr>
          <w:trHeight w:val="48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电池储能</w:t>
            </w:r>
          </w:p>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集装箱</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5099.7</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KWH</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40000</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 xml:space="preserve">0.127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电池系统 5000KWH</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3200.5</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432.50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储能变流器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370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50.00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集装箱柜体</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111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15.00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温控系统</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148</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20.00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消防系统</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111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15.00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储能EMS</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370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50.00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2.7</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附件</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59.2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8.00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2.8</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储能箱基础及连接电缆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130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25.00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2.9</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15KWH换电系统(3000KWH)</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600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200</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3.00 </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园区配套工程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 xml:space="preserve">1094.22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5551.3</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0.227</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升压/降压变压器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80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40</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中压输电电缆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150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3000</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0.05</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绿化等相关配套工程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41.84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132</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0.317</w:t>
            </w:r>
          </w:p>
        </w:tc>
      </w:tr>
      <w:tr>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10kv储能变电站</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 xml:space="preserve">247.38 </w:t>
            </w:r>
          </w:p>
        </w:tc>
        <w:tc>
          <w:tcPr>
            <w:tcW w:w="82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179</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1.382</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中心配电室变压器2000KVA</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25</w:t>
            </w:r>
          </w:p>
        </w:tc>
        <w:tc>
          <w:tcPr>
            <w:tcW w:w="82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25</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光伏充电桩（600kw液冷</w:t>
            </w:r>
            <w:r>
              <w:rPr>
                <w:rFonts w:hint="eastAsia" w:ascii="宋体" w:hAnsi="宋体" w:eastAsia="宋体" w:cs="宋体"/>
                <w:i w:val="false"/>
                <w:strike w:val="false"/>
                <w:color w:val="000000"/>
                <w:spacing w:val="0"/>
                <w:sz w:val="18"/>
                <w:u w:val="none"/>
              </w:rPr>
              <w:t>或者其他等量充电桩</w:t>
            </w:r>
            <w:r>
              <w:rPr>
                <w:rFonts w:ascii="宋体" w:hAnsi="宋体" w:eastAsia="宋体" w:cs="宋体"/>
                <w:i w:val="false"/>
                <w:strike w:val="false"/>
                <w:color w:val="000000"/>
                <w:spacing w:val="0"/>
                <w:sz w:val="18"/>
                <w:u w:val="none"/>
              </w:rPr>
              <w:t>）</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550</w:t>
            </w:r>
          </w:p>
        </w:tc>
        <w:tc>
          <w:tcPr>
            <w:tcW w:w="82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5</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110</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二</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工程建设其他费用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372.52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4.25%</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建设管理费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39.51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建设工程监理费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47.42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建设项目前期工作咨询费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39.51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工程勘察费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26.17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屋顶荷载检测费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15.64 </w:t>
            </w:r>
          </w:p>
        </w:tc>
        <w:tc>
          <w:tcPr>
            <w:tcW w:w="822" w:type="dxa"/>
            <w:tcBorders>
              <w:top w:val="single" w:color="000000" w:sz="6" w:space="0"/>
              <w:left w:val="single" w:color="000000" w:sz="6" w:space="0"/>
              <w:bottom w:val="single" w:color="000000" w:sz="6" w:space="0"/>
              <w:right w:val="single" w:color="000000" w:sz="0" w:space="0"/>
            </w:tcBorders>
            <w:tcMar>
              <w:bottom w:w="0" w:type="dxa"/>
            </w:tcMar>
            <w:vAlign w:val="center"/>
          </w:tcPr>
          <w:p>
            <w:pPr>
              <w:widowControl w:val="false"/>
              <w:snapToGrid/>
              <w:spacing w:before="0" w:after="0" w:line="240" w:lineRule="auto"/>
              <w:jc w:val="center"/>
              <w:rPr/>
            </w:pPr>
          </w:p>
        </w:tc>
        <w:tc>
          <w:tcPr>
            <w:tcW w:w="1382" w:type="dxa"/>
            <w:tcBorders>
              <w:top w:val="single" w:color="000000" w:sz="6" w:space="0"/>
              <w:left w:val="single" w:color="000000" w:sz="0" w:space="0"/>
              <w:bottom w:val="single" w:color="000000" w:sz="6" w:space="0"/>
              <w:right w:val="single" w:color="000000" w:sz="0" w:space="0"/>
            </w:tcBorders>
            <w:tcMar>
              <w:bottom w:w="0" w:type="dxa"/>
            </w:tcMar>
            <w:vAlign w:val="center"/>
          </w:tcPr>
          <w:p>
            <w:pPr>
              <w:widowControl w:val="false"/>
              <w:snapToGrid/>
              <w:spacing w:before="0" w:after="0" w:line="240" w:lineRule="auto"/>
              <w:jc w:val="center"/>
              <w:rPr/>
            </w:pPr>
          </w:p>
        </w:tc>
        <w:tc>
          <w:tcPr>
            <w:tcW w:w="1435" w:type="dxa"/>
            <w:tcBorders>
              <w:top w:val="single" w:color="000000" w:sz="6" w:space="0"/>
              <w:left w:val="single" w:color="000000" w:sz="0"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工程设计费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79.03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p>
        </w:tc>
      </w:tr>
      <w:tr>
        <w:trPr>
          <w:trHeight w:val="42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7</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环境影响咨询服务费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7.90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49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8</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场地准备费及临时设施费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43.46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46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9</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工程保险费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23.30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46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10</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招标代理服务费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26.87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11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造价咨询费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23.71 </w:t>
            </w:r>
          </w:p>
        </w:tc>
        <w:tc>
          <w:tcPr>
            <w:tcW w:w="822" w:type="dxa"/>
            <w:tcBorders>
              <w:top w:val="single" w:color="000000" w:sz="6" w:space="0"/>
              <w:left w:val="single" w:color="000000" w:sz="6" w:space="0"/>
              <w:bottom w:val="single" w:color="000000" w:sz="6" w:space="0"/>
              <w:right w:val="single" w:color="000000" w:sz="0" w:space="0"/>
            </w:tcBorders>
            <w:tcMar>
              <w:bottom w:w="0" w:type="dxa"/>
            </w:tcMar>
            <w:vAlign w:val="top"/>
          </w:tcPr>
          <w:p>
            <w:pPr>
              <w:widowControl w:val="false"/>
              <w:snapToGrid/>
              <w:spacing w:before="0" w:after="0" w:line="240" w:lineRule="auto"/>
              <w:jc w:val="center"/>
              <w:rPr/>
            </w:pPr>
          </w:p>
        </w:tc>
        <w:tc>
          <w:tcPr>
            <w:tcW w:w="1382" w:type="dxa"/>
            <w:tcBorders>
              <w:top w:val="single" w:color="000000" w:sz="6" w:space="0"/>
              <w:left w:val="single" w:color="000000" w:sz="0" w:space="0"/>
              <w:bottom w:val="single" w:color="000000" w:sz="6" w:space="0"/>
              <w:right w:val="single" w:color="000000" w:sz="0" w:space="0"/>
            </w:tcBorders>
            <w:tcMar>
              <w:bottom w:w="0" w:type="dxa"/>
            </w:tcMar>
            <w:vAlign w:val="top"/>
          </w:tcPr>
          <w:p>
            <w:pPr>
              <w:widowControl w:val="false"/>
              <w:snapToGrid/>
              <w:spacing w:before="0" w:after="0" w:line="240" w:lineRule="auto"/>
              <w:jc w:val="center"/>
              <w:rPr/>
            </w:pPr>
          </w:p>
        </w:tc>
        <w:tc>
          <w:tcPr>
            <w:tcW w:w="1435" w:type="dxa"/>
            <w:tcBorders>
              <w:top w:val="single" w:color="000000" w:sz="6" w:space="0"/>
              <w:left w:val="single" w:color="000000" w:sz="0"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三</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预备费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413.75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4.72%</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基本预备费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 xml:space="preserve">413.75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（一+二）*5%</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3.2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涨价预备费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四</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建设投资合计</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8688.84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99.10%</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比例（%）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i w:val="false"/>
                <w:strike w:val="false"/>
                <w:color w:val="000000"/>
                <w:spacing w:val="0"/>
                <w:sz w:val="18"/>
                <w:u w:val="none"/>
              </w:rPr>
              <w:t>100%</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五</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建设期利息</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78.75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0.90%</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六</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固定资产投资</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8767.59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100.00%</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八</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项目总投资</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8767.59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100.00%</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2、资金投入计划和筹措方案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本项目总投资8767.59万元，其中固定资产投资8767.59万元，0.5年建设期内均匀投入。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1" w:name="_Toc21346"/>
      <w:bookmarkStart w:id="82" w:name="_Toc27847"/>
      <w:bookmarkStart w:id="83" w:name="_Toc22702"/>
      <w:r>
        <w:rPr>
          <w:rFonts w:hint="eastAsia" w:ascii="宋体" w:hAnsi="宋体" w:eastAsia="宋体" w:cs="宋体"/>
          <w:b/>
          <w:bCs/>
          <w:sz w:val="28"/>
          <w:szCs w:val="28"/>
        </w:rPr>
        <w:t>6.2 财务盈利能力分析</w:t>
      </w:r>
      <w:bookmarkEnd w:id="81"/>
      <w:bookmarkEnd w:id="82"/>
      <w:bookmarkEnd w:id="83"/>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 财务评价的目标和原则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评价项目在财务上的可行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评价原则：1、客观性、科学性、公正性原则。2、坚持定量分析与定性分析相结合原则。3、以定量分析为主评价中采用动态与静态分析相结合，以动态分析为主原则。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《国家发展改革委员会、建设部关于建设项目经济评价工作的若干规定》（发改投资[2006]1325号）文件。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《企业会计准则》及其相关规定。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《中华人民共和国企业所得税法》及其相关规定。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《中华人民共和国增值税法》》及其相关规定。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《项目融资业务指引》。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其他财税管理办法。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6.2.3 参数选取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遵循同期性、有效性、谨慎性和准确性的原则，结合国家财税法律法规、项目所在地区、归属行业以及项目自身特点，选取项目参数，具体情况如下。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w:t>
      </w:r>
      <w:r>
        <w:rPr>
          <w:rFonts w:ascii="宋体" w:hAnsi="宋体" w:eastAsia="宋体" w:cs="宋体"/>
          <w:i w:val="false"/>
          <w:strike w:val="false"/>
          <w:spacing w:val="0"/>
          <w:sz w:val="28"/>
          <w:u w:val="none"/>
        </w:rPr>
        <w:t>、光伏储能设备按照20年折旧，残值率5%，折旧方法为平均年限法</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2、根据现行的税收政策规定，增值税按最新税率13%、9%计算，城市建设维护税按7%，教育费附加税按3%，企业所得税率按25%。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3、项目计算期12年，其中建设期0.5年。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项目财务基准收益率（折现率）为4.2%。目前，无风险收益率（10年期国债收益率）在2.1%左右，因本项目是服务饮食的民生项目，行业发展确定性较强，行业风险相对较小，所以风险收益暂定为2.1%，即项目财务基准收益率（折现率）为4.2%。</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6.2.4 项目收入测算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本项目建成后收入由光伏收入、储能电站收入及充电桩收入三部分构成。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1、光伏发电收入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（1）数量：</w:t>
      </w:r>
      <w:r>
        <w:rPr>
          <w:rFonts w:ascii="宋体" w:hAnsi="宋体" w:eastAsia="宋体" w:cs="宋体"/>
          <w:i w:val="false"/>
          <w:strike w:val="false"/>
          <w:spacing w:val="0"/>
          <w:sz w:val="28"/>
          <w:u w:val="none"/>
        </w:rPr>
        <w:t>本项目采用“源网荷储模式”，结合企业</w:t>
      </w:r>
      <w:r>
        <w:rPr>
          <w:rFonts w:hint="eastAsia" w:ascii="宋体" w:hAnsi="宋体" w:eastAsia="宋体" w:cs="宋体"/>
          <w:i w:val="false"/>
          <w:strike w:val="false"/>
          <w:spacing w:val="0"/>
          <w:sz w:val="28"/>
          <w:u w:val="none"/>
        </w:rPr>
        <w:t>河南大成包装材料有限公司</w:t>
      </w:r>
      <w:r>
        <w:rPr>
          <w:rFonts w:ascii="宋体" w:hAnsi="宋体" w:eastAsia="宋体" w:cs="宋体"/>
          <w:i w:val="false"/>
          <w:strike w:val="false"/>
          <w:spacing w:val="0"/>
          <w:sz w:val="28"/>
          <w:u w:val="none"/>
        </w:rPr>
        <w:t>年用电量</w:t>
      </w:r>
      <w:r>
        <w:rPr>
          <w:rFonts w:hint="eastAsia" w:ascii="宋体" w:hAnsi="宋体" w:eastAsia="宋体" w:cs="宋体"/>
          <w:i w:val="false"/>
          <w:strike w:val="false"/>
          <w:spacing w:val="0"/>
          <w:sz w:val="28"/>
          <w:u w:val="none"/>
          <w:lang w:val="en-US" w:eastAsia="zh-CN"/>
        </w:rPr>
        <w:t>4752</w:t>
      </w:r>
      <w:r>
        <w:rPr>
          <w:rFonts w:ascii="宋体" w:hAnsi="宋体" w:eastAsia="宋体" w:cs="宋体"/>
          <w:i w:val="false"/>
          <w:strike w:val="false"/>
          <w:spacing w:val="0"/>
          <w:sz w:val="28"/>
          <w:u w:val="none"/>
        </w:rPr>
        <w:t>万kWh，即年平均用电负荷为44MW左右，,该企业距本项目光伏电站2公里左右（小于</w:t>
      </w:r>
      <w:r>
        <w:rPr>
          <w:rFonts w:hint="eastAsia" w:ascii="宋体" w:hAnsi="宋体" w:eastAsia="宋体" w:cs="宋体"/>
          <w:snapToGrid/>
          <w:color w:val="auto"/>
          <w:spacing w:val="0"/>
          <w:w w:val="100"/>
          <w:kern w:val="2"/>
          <w:position w:val="0"/>
          <w:sz w:val="28"/>
          <w:szCs w:val="28"/>
          <w:lang w:val="en-US" w:eastAsia="zh-CN" w:bidi="zh-CN"/>
        </w:rPr>
        <w:t>20公），根据测算，光伏电站每年发电量为718.07万kWh（3.349kWh/kWp/天*5956kWp*360天），考虑到该企业是24小时生产，白天平谷时段用电1425.60</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，本项目光伏发电将直接由该企业100%消纳。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（2）衰减值：光伏发电首年衰减值为1%，剩余每年衰减值为0.4%。</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ascii="宋体" w:hAnsi="宋体" w:eastAsia="宋体" w:cs="宋体"/>
          <w:i w:val="false"/>
          <w:strike w:val="false"/>
          <w:spacing w:val="0"/>
          <w:sz w:val="28"/>
          <w:u w:val="none"/>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w:t>
      </w:r>
      <w:r>
        <w:rPr>
          <w:rFonts w:hint="eastAsia" w:ascii="宋体" w:hAnsi="宋体" w:eastAsia="宋体" w:cs="宋体"/>
          <w:i w:val="false"/>
          <w:strike w:val="false"/>
          <w:spacing w:val="0"/>
          <w:sz w:val="28"/>
          <w:u w:val="none"/>
          <w:lang w:val="en-US" w:eastAsia="zh-CN"/>
        </w:rPr>
        <w:t>5956</w:t>
      </w:r>
      <w:r>
        <w:rPr>
          <w:rFonts w:ascii="宋体" w:hAnsi="宋体" w:eastAsia="宋体" w:cs="宋体"/>
          <w:i w:val="false"/>
          <w:strike w:val="false"/>
          <w:spacing w:val="0"/>
          <w:sz w:val="28"/>
          <w:u w:val="none"/>
        </w:rPr>
        <w:t>kWp*360天=</w:t>
      </w:r>
      <w:r>
        <w:rPr>
          <w:rFonts w:hint="eastAsia" w:ascii="宋体" w:hAnsi="宋体" w:eastAsia="宋体" w:cs="宋体"/>
          <w:i w:val="false"/>
          <w:strike w:val="false"/>
          <w:spacing w:val="0"/>
          <w:sz w:val="28"/>
          <w:u w:val="none"/>
          <w:lang w:val="en-US" w:eastAsia="zh-CN"/>
        </w:rPr>
        <w:t>718.07</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0" distR="0">
            <wp:extent cx="5274310" cy="2454275"/>
            <wp:effectExtent l="0" t="0" r="0" b="0"/>
            <wp:docPr id="74" name="picture" descr="descript"/>
            <wp:cNvGraphicFramePr/>
            <a:graphic>
              <a:graphicData uri="http://schemas.openxmlformats.org/drawingml/2006/picture">
                <pic:pic>
                  <pic:nvPicPr>
                    <pic:cNvPr id="75" name="picture" descr="descript"/>
                    <pic:cNvPicPr/>
                  </pic:nvPicPr>
                  <pic:blipFill>
                    <a:blip r:embed="rId30"/>
                    <a:stretch>
                      <a:fillRect/>
                    </a:stretch>
                  </pic:blipFill>
                  <pic:spPr>
                    <a:xfrm>
                      <a:off x="0" y="0"/>
                      <a:ext cx="5274310" cy="2454297"/>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根据生产规律，高峰用电占比39%，平时段用电占比60%，低谷时段用电为1%，光伏发电主要集中在早上8-17点，工商业用电平均电价为0.724元/kWh左右（每月电价有一定浮动），出于谨慎性原则，光伏发电用电电价为0.57元/kWh，暂不考虑电价调幅</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numPr>
          <w:ilvl w:val="0"/>
          <w:numId w:val="0"/>
        </w:numPr>
        <w:kinsoku/>
        <w:wordWrap/>
        <w:overflowPunct/>
        <w:topLinePunct w:val="false"/>
        <w:autoSpaceDE/>
        <w:autoSpaceDN/>
        <w:bidi w:val="false"/>
        <w:adjustRightInd/>
        <w:snapToGrid/>
        <w:jc w:val="both"/>
        <w:textAlignment w:val="auto"/>
        <w:rPr>
          <w:rFonts w:hint="eastAsia" w:eastAsia="宋体"/>
          <w:lang w:eastAsia="zh-CN"/>
        </w:rPr>
      </w:pPr>
      <w:r>
        <w:rPr/>
        <w:drawing>
          <wp:inline distT="0" distB="0" distL="0" distR="0">
            <wp:extent cx="5274310" cy="2512695"/>
            <wp:effectExtent l="0" t="0" r="0" b="0"/>
            <wp:docPr id="77" name="picture" descr="descript"/>
            <wp:cNvGraphicFramePr/>
            <a:graphic>
              <a:graphicData uri="http://schemas.openxmlformats.org/drawingml/2006/picture">
                <pic:pic>
                  <pic:nvPicPr>
                    <pic:cNvPr id="78" name="picture" descr="descript"/>
                    <pic:cNvPicPr/>
                  </pic:nvPicPr>
                  <pic:blipFill>
                    <a:blip r:embed="rId31">
                      <a:extLst/>
                    </a:blip>
                    <a:srcRect/>
                    <a:stretch>
                      <a:fillRect/>
                    </a:stretch>
                  </pic:blipFill>
                  <pic:spPr>
                    <a:xfrm>
                      <a:off x="0" y="0"/>
                      <a:ext cx="5274310" cy="2512695"/>
                    </a:xfrm>
                    <a:prstGeom prst="rect">
                      <a:avLst/>
                    </a:prstGeom>
                    <a:ln>
                      <a:headEnd/>
                      <a:tailEnd/>
                    </a:ln>
                  </pic:spPr>
                </pic:pic>
              </a:graphicData>
            </a:graphic>
          </wp:inline>
        </w:drawing>
      </w:r>
    </w:p>
    <w:p>
      <w:pPr>
        <w:pBdr>
          <w:bottom w:val="none" w:color="auto" w:sz="0" w:space="0"/>
        </w:pBdr>
        <w:snapToGrid/>
        <w:spacing w:line="240" w:lineRule="auto"/>
        <w:ind w:firstLineChars="200"/>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谨慎性原则，本次测算工商业用电平均电价为0.724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2、储能电站收益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（1）峰值需求量：</w:t>
      </w:r>
      <w:r>
        <w:rPr>
          <w:rFonts w:hint="eastAsia" w:ascii="宋体" w:hAnsi="宋体" w:eastAsia="宋体" w:cs="宋体"/>
          <w:i w:val="false"/>
          <w:strike w:val="false"/>
          <w:spacing w:val="0"/>
          <w:sz w:val="28"/>
          <w:u w:val="none"/>
        </w:rPr>
        <w:t>河南大成包装材料有限公司</w:t>
      </w:r>
      <w:r>
        <w:rPr>
          <w:rFonts w:ascii="宋体" w:hAnsi="宋体" w:eastAsia="宋体" w:cs="宋体"/>
          <w:i w:val="false"/>
          <w:strike w:val="false"/>
          <w:spacing w:val="0"/>
          <w:sz w:val="28"/>
          <w:u w:val="none"/>
        </w:rPr>
        <w:t>年用电需求</w:t>
      </w:r>
      <w:r>
        <w:rPr>
          <w:rFonts w:hint="eastAsia" w:ascii="宋体" w:hAnsi="宋体" w:eastAsia="宋体" w:cs="宋体"/>
          <w:i w:val="false"/>
          <w:strike w:val="false"/>
          <w:spacing w:val="0"/>
          <w:sz w:val="28"/>
          <w:u w:val="none"/>
          <w:lang w:val="en-US" w:eastAsia="zh-CN"/>
        </w:rPr>
        <w:t>4752</w:t>
      </w:r>
      <w:r>
        <w:rPr>
          <w:rFonts w:ascii="宋体" w:hAnsi="宋体" w:eastAsia="宋体" w:cs="宋体"/>
          <w:i w:val="false"/>
          <w:strike w:val="false"/>
          <w:spacing w:val="0"/>
          <w:sz w:val="28"/>
          <w:u w:val="none"/>
        </w:rPr>
        <w:t>万kWh，考虑到该企业是24小时生产，峰值用电</w:t>
      </w:r>
      <w:r>
        <w:rPr>
          <w:rFonts w:hint="eastAsia" w:ascii="宋体" w:hAnsi="宋体" w:eastAsia="宋体" w:cs="宋体"/>
          <w:i w:val="false"/>
          <w:strike w:val="false"/>
          <w:spacing w:val="0"/>
          <w:sz w:val="28"/>
          <w:u w:val="none"/>
          <w:lang w:val="en-US" w:eastAsia="zh-CN"/>
        </w:rPr>
        <w:t>1425.60</w:t>
      </w:r>
      <w:r>
        <w:rPr>
          <w:rFonts w:ascii="宋体" w:hAnsi="宋体" w:eastAsia="宋体" w:cs="宋体"/>
          <w:i w:val="false"/>
          <w:strike w:val="false"/>
          <w:spacing w:val="0"/>
          <w:sz w:val="28"/>
          <w:u w:val="none"/>
        </w:rPr>
        <w:t>万kWh（高峰段为16--24时），</w:t>
      </w:r>
      <w:r>
        <w:rPr>
          <w:rFonts w:ascii="宋体" w:hAnsi="宋体" w:eastAsia="宋体" w:cs="宋体"/>
          <w:i w:val="false"/>
          <w:strike w:val="false"/>
          <w:color w:val="000000"/>
          <w:spacing w:val="0"/>
          <w:sz w:val="28"/>
          <w:u w:val="none"/>
        </w:rPr>
        <w:t>本</w:t>
      </w:r>
      <w:r>
        <w:rPr>
          <w:rFonts w:hint="eastAsia" w:ascii="宋体" w:hAnsi="宋体" w:eastAsia="宋体" w:cs="宋体"/>
          <w:snapToGrid/>
          <w:color w:val="000000"/>
          <w:spacing w:val="0"/>
          <w:w w:val="100"/>
          <w:kern w:val="2"/>
          <w:position w:val="0"/>
          <w:sz w:val="28"/>
          <w:szCs w:val="28"/>
          <w:lang w:val="en-US" w:eastAsia="zh-CN" w:bidi="zh-CN"/>
        </w:rPr>
        <w:t>项目配备储能发电系统总计40MW，其中普通用户侧储能为37MW，剩余3MW分布式换电储能设备，因3MW分布式换电储能设备需要专业团队运营，收入存在不去定性，本次测算将不作为收入计算。本项目</w:t>
      </w:r>
      <w:r>
        <w:rPr>
          <w:rFonts w:hint="eastAsia" w:ascii="宋体" w:hAnsi="宋体" w:eastAsia="宋体" w:cs="宋体"/>
          <w:snapToGrid/>
          <w:color w:val="auto"/>
          <w:spacing w:val="0"/>
          <w:w w:val="100"/>
          <w:kern w:val="2"/>
          <w:position w:val="0"/>
          <w:sz w:val="28"/>
          <w:szCs w:val="28"/>
          <w:lang w:val="en-US" w:eastAsia="zh-CN" w:bidi="zh-CN"/>
        </w:rPr>
        <w:t>最大储能量为每天8*5000=40000kWh。为谨慎考虑，日出能量按照92%计算为36800kWh。年储能供电量是36800kWh*360=1324.80万kWh，可为满足该企业波峰用电需求。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销售电价：根据结合近2025年5月份电力公司代理购电工商业用户电价表推算，峰值价差约为0.728元/kwh（未考虑尖峰电价），出于谨慎性原则，项目暂按差价0.61元/kWh测算。储能峰谷发电收益=日峰值需求量*峰谷价差*年发电天数，贷款存续期间自用收益及经营性收入估算合计为9451.58万元</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snapToGrid/>
        <w:spacing w:before="157" w:beforeLines="50" w:after="157" w:afterLines="50" w:line="360" w:lineRule="auto"/>
        <w:ind w:right="0" w:rightChars="0" w:firstLineChars="0"/>
        <w:jc w:val="both"/>
        <w:textAlignment w:val="baseline"/>
        <w:rPr>
          <w:rFonts w:hint="eastAsia" w:ascii="宋体" w:hAnsi="宋体" w:eastAsia="宋体" w:cs="宋体"/>
          <w:i w:val="false"/>
          <w:strike w:val="false"/>
          <w:color w:val="000000"/>
          <w:spacing w:val="0"/>
          <w:sz w:val="28"/>
          <w:szCs w:val="28"/>
          <w:u w:val="none"/>
          <w:lang w:val="en-US" w:eastAsia="zh-CN"/>
        </w:rPr>
      </w:pPr>
      <w:r>
        <w:rPr/>
        <w:drawing>
          <wp:inline distT="0" distB="0" distL="0" distR="0">
            <wp:extent cx="5274310" cy="2512695"/>
            <wp:effectExtent l="0" t="0" r="0" b="0"/>
            <wp:docPr id="80" name="picture" descr="descript"/>
            <wp:cNvGraphicFramePr/>
            <a:graphic>
              <a:graphicData uri="http://schemas.openxmlformats.org/drawingml/2006/picture">
                <pic:pic>
                  <pic:nvPicPr>
                    <pic:cNvPr id="81" name="picture" descr="descript"/>
                    <pic:cNvPicPr/>
                  </pic:nvPicPr>
                  <pic:blipFill>
                    <a:blip r:embed="rId31">
                      <a:extLst/>
                    </a:blip>
                    <a:srcRect/>
                    <a:stretch>
                      <a:fillRect/>
                    </a:stretch>
                  </pic:blipFill>
                  <pic:spPr>
                    <a:xfrm>
                      <a:off x="0" y="0"/>
                      <a:ext cx="5274310" cy="2512695"/>
                    </a:xfrm>
                    <a:prstGeom prst="rect">
                      <a:avLst/>
                    </a:prstGeom>
                    <a:ln>
                      <a:headEnd/>
                      <a:tailEnd/>
                    </a:ln>
                  </pic:spPr>
                </pic:pic>
              </a:graphicData>
            </a:graphic>
          </wp:inline>
        </w:drawing>
      </w:r>
    </w:p>
    <w:p>
      <w:pPr>
        <w:pBdr>
          <w:bottom w:val="none" w:color="auto" w:sz="0" w:space="0"/>
        </w:pBdr>
        <w:snapToGrid/>
        <w:spacing w:line="240" w:lineRule="auto"/>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则储能峰谷发电收益=日峰值需求量*峰谷价差*年发电天数，贷款存续期间自用收益及经营性收入估算合计为9451.58万元。</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3、电动汽车充电桩收入</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设置600kw液冷充电桩5个。项目充电桩所使用电力全部由光伏车棚及储能模块提供，考虑到本项目的服务群体和区位，定价不宜过高，本次充电费用将按照0.35元/度充电电费及0.3元/度充电服务费，合计充电桩使用费为0.65元/千瓦时计算，功率为600kw，</w:t>
      </w:r>
      <w:r>
        <w:rPr>
          <w:rFonts w:hint="eastAsia" w:ascii="宋体" w:hAnsi="宋体" w:eastAsia="宋体" w:cs="宋体"/>
          <w:snapToGrid/>
          <w:color w:val="auto"/>
          <w:spacing w:val="0"/>
          <w:w w:val="100"/>
          <w:kern w:val="2"/>
          <w:position w:val="0"/>
          <w:sz w:val="28"/>
          <w:szCs w:val="28"/>
          <w:lang w:val="en-US" w:eastAsia="zh-CN" w:bidi="zh-CN"/>
        </w:rPr>
        <w:t>利用率按照运营期第0.5年使用系数按50%，第二年按60%，第三年按70%，第四年按80%，第五年按90%，第六年及以后按95%计算。每个充电桩每天工作0.5小时，年使用360天，每小时充电600度。贷款存续期间充电桩收入估算合计为347.49万元</w:t>
      </w:r>
      <w:r>
        <w:rPr>
          <w:rFonts w:ascii="宋体" w:hAnsi="宋体" w:eastAsia="宋体" w:cs="宋体"/>
          <w:i w:val="false"/>
          <w:strike w:val="false"/>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综上所述，项目12年运营期内总收入为14353.45万元。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6.2.5 项目成本测算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1、燃料动力费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完成后，本项目生产服务用房用电用水由运营方承担。按实际生产量估算，价格依据现行市场确定，当项目达到设计达产能力100%，年成本费用为2.6万元/年，考虑到储能波谷充电，波峰放电，电池充电放每天消耗电能3200kWh，波谷充电成本0.35元/kWh，年消耗电能3200kWh*360*0.35元/kWh=40.32万元。</w:t>
      </w:r>
      <w:r>
        <w:rPr>
          <w:rFonts w:ascii="宋体" w:hAnsi="宋体" w:eastAsia="宋体" w:cs="宋体"/>
          <w:i w:val="false"/>
          <w:strike w:val="false"/>
          <w:color w:val="000000"/>
          <w:spacing w:val="0"/>
          <w:sz w:val="28"/>
          <w:u w:val="none"/>
        </w:rPr>
        <w:t>项目运营期内年均</w:t>
      </w:r>
      <w:r>
        <w:rPr>
          <w:rFonts w:hint="eastAsia" w:ascii="宋体" w:hAnsi="宋体" w:eastAsia="宋体" w:cs="宋体"/>
          <w:snapToGrid/>
          <w:color w:val="auto"/>
          <w:spacing w:val="0"/>
          <w:w w:val="100"/>
          <w:kern w:val="2"/>
          <w:position w:val="0"/>
          <w:sz w:val="28"/>
          <w:szCs w:val="28"/>
          <w:lang w:val="en-US" w:eastAsia="zh-CN" w:bidi="zh-CN"/>
        </w:rPr>
        <w:t>燃料动力费成本41.17万元。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2、人员工资与福利成本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本项目编制拟定为6人，主要为运营、维修维护管理人员，平均工资标准为100000元/年，</w:t>
      </w:r>
      <w:r>
        <w:rPr>
          <w:rFonts w:ascii="宋体" w:hAnsi="宋体" w:eastAsia="宋体" w:cs="宋体"/>
          <w:i w:val="false"/>
          <w:strike w:val="false"/>
          <w:spacing w:val="0"/>
          <w:sz w:val="28"/>
          <w:u w:val="none"/>
        </w:rPr>
        <w:t>考虑平均社会发展水平，费用每年</w:t>
      </w:r>
      <w:r>
        <w:rPr>
          <w:rFonts w:hint="eastAsia" w:ascii="宋体" w:hAnsi="宋体" w:eastAsia="宋体" w:cs="宋体"/>
          <w:i w:val="false"/>
          <w:strike w:val="false"/>
          <w:spacing w:val="0"/>
          <w:sz w:val="28"/>
          <w:u w:val="none"/>
          <w:lang w:val="en-US" w:eastAsia="zh-CN"/>
        </w:rPr>
        <w:t>3</w:t>
      </w:r>
      <w:r>
        <w:rPr>
          <w:rFonts w:ascii="宋体" w:hAnsi="宋体" w:eastAsia="宋体" w:cs="宋体"/>
          <w:i w:val="false"/>
          <w:strike w:val="false"/>
          <w:spacing w:val="0"/>
          <w:sz w:val="28"/>
          <w:u w:val="none"/>
        </w:rPr>
        <w:t>增长</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w:t>
      </w:r>
      <w:r>
        <w:rPr>
          <w:rFonts w:hint="eastAsia" w:ascii="宋体" w:hAnsi="宋体" w:eastAsia="宋体" w:cs="宋体"/>
          <w:snapToGrid/>
          <w:color w:val="auto"/>
          <w:spacing w:val="0"/>
          <w:w w:val="100"/>
          <w:kern w:val="2"/>
          <w:position w:val="0"/>
          <w:sz w:val="28"/>
          <w:szCs w:val="28"/>
          <w:lang w:val="en-US" w:eastAsia="zh-CN" w:bidi="zh-CN"/>
        </w:rPr>
        <w:t>经计算，年均职工薪酬及福利费为62.14万元。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3、保洁维护费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参考市场运维成本，结合项目实际情况，按照年折旧费的8%计取</w:t>
      </w:r>
      <w:r>
        <w:rPr>
          <w:rFonts w:hint="eastAsia" w:ascii="宋体" w:hAnsi="宋体" w:eastAsia="宋体" w:cs="宋体"/>
          <w:i w:val="false"/>
          <w:strike w:val="false"/>
          <w:snapToGrid/>
          <w:color w:val="auto"/>
          <w:spacing w:val="0"/>
          <w:w w:val="100"/>
          <w:kern w:val="2"/>
          <w:position w:val="0"/>
          <w:sz w:val="28"/>
          <w:szCs w:val="28"/>
          <w:u w:val="none"/>
          <w:lang w:val="en-US" w:eastAsia="zh-CN" w:bidi="zh-CN"/>
        </w:rPr>
        <w:t>，</w:t>
      </w:r>
      <w:r>
        <w:rPr>
          <w:rFonts w:hint="eastAsia" w:ascii="宋体" w:hAnsi="宋体" w:eastAsia="宋体" w:cs="宋体"/>
          <w:snapToGrid/>
          <w:color w:val="auto"/>
          <w:spacing w:val="0"/>
          <w:w w:val="100"/>
          <w:kern w:val="2"/>
          <w:position w:val="0"/>
          <w:sz w:val="28"/>
          <w:szCs w:val="28"/>
          <w:lang w:val="en-US" w:eastAsia="zh-CN" w:bidi="zh-CN"/>
        </w:rPr>
        <w:t>经计算</w:t>
      </w:r>
      <w:r>
        <w:rPr>
          <w:rFonts w:ascii="宋体" w:hAnsi="宋体" w:eastAsia="宋体" w:cs="宋体"/>
          <w:i w:val="false"/>
          <w:strike w:val="false"/>
          <w:spacing w:val="0"/>
          <w:sz w:val="28"/>
          <w:u w:val="none"/>
        </w:rPr>
        <w:t>项目运营期内年均保洁维护费为28.79万元。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firstLineChars="200"/>
        <w:jc w:val="both"/>
        <w:textAlignment w:val="auto"/>
        <w:outlineLvl w:val="9"/>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4、折旧与摊销</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本项目按直线法计算折旧，本项目主要是光伏设备和储能设备，该设备折旧年限为20年，残值率为5%。项目运营期内年均折旧额为359.53万元。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5、运营及管理费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主要为光伏发电设备、储能系统管理和光伏充电桩等，结合项目实际情况，按照年营业收入2%计取，则项目合计运营及管理费年均为23.92万元。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7、利息支出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项目申请贷款7000万元，年限为12年，其中建设期0.5年，建设期利息计入总投资，利率为4.50%。运营期内每年还本付息，具体情况见《还本付息表》。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auto"/>
          <w:sz w:val="28"/>
          <w:szCs w:val="28"/>
        </w:rPr>
      </w:pPr>
      <w:r>
        <w:rPr>
          <w:rFonts w:hint="eastAsia" w:ascii="宋体" w:hAnsi="宋体" w:eastAsia="宋体" w:cs="宋体"/>
          <w:b/>
          <w:bCs/>
          <w:color w:val="auto"/>
          <w:sz w:val="28"/>
          <w:szCs w:val="28"/>
        </w:rPr>
        <w:t>6.2.6 总投资收益率（ROI）</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总投资收益率（ROI）表示总投资的盈利水平，指项目到达设计能力后正常年份的年息税前利润或运营期内年平均息税前利润（EBIT）与项目总投资（TI）的比率；总投资收益率按照下式计算：</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color w:val="auto"/>
        </w:rPr>
      </w:pPr>
      <w:r>
        <w:rPr>
          <w:rFonts w:ascii="宋体" w:hAnsi="宋体" w:eastAsia="宋体" w:cs="宋体"/>
          <w:i w:val="false"/>
          <w:strike w:val="false"/>
          <w:color w:val="auto"/>
          <w:spacing w:val="0"/>
          <w:sz w:val="28"/>
          <w:u w:val="none"/>
        </w:rPr>
        <w:t>RO</w:t>
      </w:r>
      <w:r>
        <w:rPr>
          <w:rFonts w:hint="eastAsia" w:ascii="宋体" w:hAnsi="宋体" w:eastAsia="宋体" w:cs="宋体"/>
          <w:i w:val="false"/>
          <w:strike w:val="false"/>
          <w:color w:val="auto"/>
          <w:spacing w:val="0"/>
          <w:sz w:val="28"/>
          <w:u w:val="none"/>
          <w:lang w:val="en-US" w:eastAsia="zh-CN"/>
        </w:rPr>
        <w:t>I</w:t>
      </w:r>
      <w:r>
        <w:rPr>
          <w:rFonts w:ascii="宋体" w:hAnsi="宋体" w:eastAsia="宋体" w:cs="宋体"/>
          <w:i w:val="false"/>
          <w:strike w:val="false"/>
          <w:color w:val="auto"/>
          <w:spacing w:val="0"/>
          <w:sz w:val="28"/>
          <w:u w:val="none"/>
        </w:rPr>
        <w:t>=EBIT/TI*100%=5.91%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式中：EBIT—项目正常年份的年息税前利润或运营期内年平均息税前利润；TI—项目总投资</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6.2.7 资本金净利润率（ROE）</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按照《方法与参数》的规定，资本金净利润率（ROE）表示利润总额占用资本金的百分比，这个比值反映了投资者投入企业资本金的获利能力，是一种获利能力的标准性的指标。其计算公式如下：</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ROE=NP/EC*100%=14.99%</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其中：NP—项目达到设计生产能力后正常年份的税后净利润或运营期内税后年平均净利润，净利润=利润总额-所得税；EC—项目资本金。</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6.2.8 税后财务内部收益率（FIRR）</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按照《方法与参数》的规定，财务内部收益率（FIRR）系指项目计算期内净现金流量现值累计等于零时的折现率。其计算公式如下：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jc w:val="center"/>
        <w:textAlignment w:val="baseline"/>
        <w:rPr>
          <w:color w:val="FF0000"/>
        </w:rPr>
      </w:pPr>
      <w:r>
        <w:rPr>
          <w:color w:val="FF0000"/>
        </w:rPr>
        <w:drawing>
          <wp:inline distT="0" distB="0" distL="0" distR="0">
            <wp:extent cx="2362200" cy="542290"/>
            <wp:effectExtent l="0" t="0" r="0" b="10160"/>
            <wp:docPr id="83" name="picture" descr="descript"/>
            <wp:cNvGraphicFramePr/>
            <a:graphic>
              <a:graphicData uri="http://schemas.openxmlformats.org/drawingml/2006/picture">
                <pic:pic>
                  <pic:nvPicPr>
                    <pic:cNvPr id="84" name="picture" descr="descript"/>
                    <pic:cNvPicPr/>
                  </pic:nvPicPr>
                  <pic:blipFill>
                    <a:blip r:embed="rId32"/>
                    <a:stretch>
                      <a:fillRect/>
                    </a:stretch>
                  </pic:blipFill>
                  <pic:spPr>
                    <a:xfrm>
                      <a:off x="0" y="0"/>
                      <a:ext cx="2362200" cy="54229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式中：CI为现金流入，CO为现金流出，下同。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本项目税后全部投资财务内部收益率（FIRR）计算结果为7.98%。</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6.2.9 税后财务净现值（FNPV）</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按照《方法与参数》的规定，财务净现值（FNPV）系指按设定的折现率（一般采用基准收益率ic）计算项目计算期内各年净现金流量的现值之和。</w:t>
      </w:r>
    </w:p>
    <w:p>
      <w:pPr>
        <w:snapToGrid/>
        <w:spacing w:before="161" w:after="161" w:line="360" w:lineRule="auto"/>
        <w:ind w:left="0"/>
        <w:jc w:val="center"/>
        <w:rPr>
          <w:color w:val="FF0000"/>
        </w:rPr>
      </w:pPr>
      <w:r>
        <w:rPr>
          <w:color w:val="FF0000"/>
        </w:rPr>
        <w:drawing>
          <wp:inline distT="0" distB="0" distL="0" distR="0">
            <wp:extent cx="2514600" cy="457200"/>
            <wp:effectExtent l="0" t="0" r="0" b="0"/>
            <wp:docPr id="86" name="picture" descr="descript"/>
            <wp:cNvGraphicFramePr/>
            <a:graphic>
              <a:graphicData uri="http://schemas.openxmlformats.org/drawingml/2006/picture">
                <pic:pic>
                  <pic:nvPicPr>
                    <pic:cNvPr id="87" name="picture" descr="descript"/>
                    <pic:cNvPicPr/>
                  </pic:nvPicPr>
                  <pic:blipFill>
                    <a:blip r:embed="rId33"/>
                    <a:stretch>
                      <a:fillRect/>
                    </a:stretch>
                  </pic:blipFill>
                  <pic:spPr>
                    <a:xfrm>
                      <a:off x="0" y="0"/>
                      <a:ext cx="2514600" cy="4572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式中Ic为基准收益率，本项目为4.2%。</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本项目税后全部投资财务净现值（FNPV）计算结果为2151.65万元。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6.2.10 所得税后动态投资回收期（Pt）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按照《方法与参数》的规定，投资回收期（Pt）系指以项目的净收益回收项目投资所需要的时间。其计算公式如下：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28" w:line="360" w:lineRule="auto"/>
        <w:ind w:left="0" w:firstLine="560" w:firstLineChars="20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drawing>
          <wp:inline distT="0" distB="0" distL="0" distR="0">
            <wp:extent cx="1447800" cy="533400"/>
            <wp:effectExtent l="0" t="0" r="0" b="0"/>
            <wp:docPr id="89" name="picture" descr="descript"/>
            <wp:cNvGraphicFramePr/>
            <a:graphic>
              <a:graphicData uri="http://schemas.openxmlformats.org/drawingml/2006/picture">
                <pic:pic>
                  <pic:nvPicPr>
                    <pic:cNvPr id="90" name="picture" descr="descript"/>
                    <pic:cNvPicPr/>
                  </pic:nvPicPr>
                  <pic:blipFill>
                    <a:blip r:embed="rId34"/>
                    <a:stretch>
                      <a:fillRect/>
                    </a:stretch>
                  </pic:blipFill>
                  <pic:spPr>
                    <a:xfrm>
                      <a:off x="0" y="0"/>
                      <a:ext cx="1447800" cy="5334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本项目税后投资回收期（Pt）经计算为11.26年（含建设期）。</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6.2.11 盈亏平衡分析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各种不确定性因素的变化会影响投资方案的经济效果，当这些因素的变化达到某一临界值时，就会使方案的损益情况产生质变。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进行盈亏平衡分析，目的是找出该临界值，以判断投资方案对不确定性因素变化的承受能力，旨在为决策提供依据。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BEP项目能力利用率=年固定成本/（年营业收入-年可变成本-年营业税金及附加）×100％=50.92%</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6.2.12 敏感性分析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本项目主要风险因素包括销售收入、原材料、经营成本、固定资产投资等因素的变化，而投资值的影响。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财务敏感性分析表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95"/>
        <w:gridCol w:w="990"/>
        <w:gridCol w:w="975"/>
        <w:gridCol w:w="990"/>
        <w:gridCol w:w="975"/>
        <w:gridCol w:w="990"/>
        <w:gridCol w:w="1110"/>
      </w:tblGrid>
      <w:tr>
        <w:trPr>
          <w:trHeight w:val="464"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变动幅度</w:t>
            </w:r>
          </w:p>
        </w:tc>
        <w:tc>
          <w:tcPr>
            <w:tcW w:w="109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111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r>
      <w:tr>
        <w:trPr>
          <w:trHeight w:val="461"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销售收入</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ascii="宋体" w:hAnsi="宋体" w:eastAsia="宋体" w:cs="宋体"/>
                <w:i w:val="false"/>
                <w:strike w:val="false"/>
                <w:color w:val="auto"/>
                <w:spacing w:val="0"/>
                <w:sz w:val="21"/>
                <w:u w:val="none"/>
              </w:rPr>
              <w:t>5.54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ascii="宋体" w:hAnsi="宋体" w:eastAsia="宋体" w:cs="宋体"/>
                <w:i w:val="false"/>
                <w:strike w:val="false"/>
                <w:color w:val="auto"/>
                <w:spacing w:val="0"/>
                <w:sz w:val="21"/>
                <w:u w:val="none"/>
              </w:rPr>
              <w:t>6.35</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7.17</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7.98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8.80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9.61</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FF0000"/>
                <w:lang w:val="en-US" w:eastAsia="zh-CN"/>
              </w:rPr>
            </w:pPr>
            <w:r>
              <w:rPr>
                <w:rFonts w:hint="eastAsia" w:ascii="宋体" w:hAnsi="宋体" w:eastAsia="宋体" w:cs="宋体"/>
                <w:i w:val="false"/>
                <w:strike w:val="false"/>
                <w:color w:val="auto"/>
                <w:spacing w:val="0"/>
                <w:sz w:val="21"/>
                <w:u w:val="none"/>
                <w:lang w:val="en-US" w:eastAsia="zh-CN"/>
              </w:rPr>
              <w:t>10.42</w:t>
            </w:r>
          </w:p>
        </w:tc>
      </w:tr>
      <w:tr>
        <w:trPr>
          <w:trHeight w:val="435"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经营成本</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8.31</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8.20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8.09</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7.98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7.88</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7.77</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7.66</w:t>
            </w:r>
          </w:p>
        </w:tc>
      </w:tr>
      <w:tr>
        <w:trPr>
          <w:trHeight w:val="499"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建安投资</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10.33</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9.46</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8.68</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7.98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7.35</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6.77</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6.24</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该项目具有较强的抗风险能力，但应密切关注中水回用价格的变化，制定适应市场变化的经营策略；同时注意控制项目的成本费用，降低经营成本。</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4" w:name="_Toc15987"/>
      <w:bookmarkStart w:id="85" w:name="_Toc8749"/>
      <w:bookmarkStart w:id="86" w:name="_Toc14428"/>
      <w:r>
        <w:rPr>
          <w:rFonts w:hint="eastAsia" w:ascii="宋体" w:hAnsi="宋体" w:eastAsia="宋体" w:cs="宋体"/>
          <w:b/>
          <w:bCs/>
          <w:sz w:val="28"/>
          <w:szCs w:val="28"/>
        </w:rPr>
        <w:t>6.3 资金投入计划和筹措方案</w:t>
      </w:r>
      <w:bookmarkEnd w:id="84"/>
      <w:bookmarkEnd w:id="85"/>
      <w:bookmarkEnd w:id="8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本项目总投资8767.59万元，其中固定资产投资8767.59万元，0.5年建设期内均匀投入。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7" w:name="_Toc20110"/>
      <w:bookmarkStart w:id="88" w:name="_Toc9143"/>
      <w:bookmarkStart w:id="89" w:name="_Toc21753"/>
      <w:r>
        <w:rPr>
          <w:rFonts w:hint="eastAsia" w:ascii="宋体" w:hAnsi="宋体" w:eastAsia="宋体" w:cs="宋体"/>
          <w:b/>
          <w:bCs/>
          <w:sz w:val="28"/>
          <w:szCs w:val="28"/>
        </w:rPr>
        <w:t>6.4 债务清偿能力分析</w:t>
      </w:r>
      <w:bookmarkEnd w:id="87"/>
      <w:bookmarkEnd w:id="88"/>
      <w:bookmarkEnd w:id="8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通过现金流量表计算可以看出项目计算期各年能收支平衡，并有盈余，有足够大的经营活动净现金流量，表明有足够的现金流量维持正常运营，实现财务可持续性，说明项目财务生存能力强。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该项目综合利息备付率5.12，综合偿债备付率1.16，说明企业具有较强的清偿能力。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90" w:name="_Toc13409"/>
      <w:bookmarkStart w:id="91" w:name="_Toc26187"/>
      <w:bookmarkStart w:id="92" w:name="_Toc21961"/>
      <w:r>
        <w:rPr>
          <w:rFonts w:hint="eastAsia" w:ascii="宋体" w:hAnsi="宋体" w:eastAsia="宋体" w:cs="宋体"/>
          <w:b/>
          <w:bCs/>
          <w:sz w:val="28"/>
          <w:szCs w:val="28"/>
        </w:rPr>
        <w:t>6.5 财务可持续性分析</w:t>
      </w:r>
      <w:bookmarkEnd w:id="90"/>
      <w:bookmarkEnd w:id="91"/>
      <w:bookmarkEnd w:id="9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对项目从筹建到经营全过程各项评价指标的测算，项目虽然投资较大，但项目建成以后经营效益较好。项目建成后所得税后全部投资财务内部收益率为7.98%，投资回收期为11.26年（含建设期）。项目税后财务内部收益率高于行业基准收益率，各项指标都略高于国内同行业平均水平，项目在财务上是可行的，并且很强的经济效益和抗风险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综上所述，该项目符合国家的产业政策，经济效益较好，具有一定的抗风险能力，项目可行性强。</w:t>
      </w:r>
    </w:p>
    <w:p>
      <w:pPr>
        <w:rPr>
          <w:rFonts w:ascii="宋体" w:hAnsi="宋体" w:eastAsia="宋体" w:cs="宋体"/>
          <w:b/>
          <w:i w:val="false"/>
          <w:strike w:val="false"/>
          <w:color w:val="000000"/>
          <w:spacing w:val="0"/>
          <w:sz w:val="36"/>
          <w:u w:val="none"/>
        </w:rPr>
      </w:pPr>
      <w:r>
        <w:rPr>
          <w:rFonts w:ascii="宋体" w:hAnsi="宋体" w:eastAsia="宋体" w:cs="宋体"/>
          <w:b/>
          <w:i w:val="false"/>
          <w:strike w:val="false"/>
          <w:color w:val="000000"/>
          <w:spacing w:val="0"/>
          <w:sz w:val="36"/>
          <w:u w:val="none"/>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93" w:name="_Toc21255"/>
      <w:bookmarkStart w:id="94" w:name="_Toc29809"/>
      <w:bookmarkStart w:id="95" w:name="_Toc4400"/>
      <w:r>
        <w:rPr>
          <w:rFonts w:hint="eastAsia" w:ascii="宋体" w:hAnsi="宋体" w:eastAsia="宋体" w:cs="宋体"/>
          <w:b/>
          <w:bCs/>
          <w:sz w:val="36"/>
          <w:szCs w:val="36"/>
        </w:rPr>
        <w:t>第七章 项目影响效果分析</w:t>
      </w:r>
      <w:bookmarkEnd w:id="93"/>
      <w:bookmarkEnd w:id="94"/>
      <w:bookmarkEnd w:id="9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96" w:name="_Toc968"/>
      <w:bookmarkStart w:id="97" w:name="_Toc26664"/>
      <w:bookmarkStart w:id="98" w:name="_Toc18730"/>
      <w:r>
        <w:rPr>
          <w:rFonts w:hint="eastAsia" w:ascii="宋体" w:hAnsi="宋体" w:eastAsia="宋体" w:cs="宋体"/>
          <w:b/>
          <w:bCs/>
          <w:sz w:val="28"/>
          <w:szCs w:val="28"/>
        </w:rPr>
        <w:t>7.1 经济影响分析</w:t>
      </w:r>
      <w:bookmarkEnd w:id="96"/>
      <w:bookmarkEnd w:id="97"/>
      <w:bookmarkEnd w:id="9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7.1.1 项目对宏观经济的影响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对宏观经济有着多方面的积极影响。从能源产业发展来看，推动了源网荷储一体化进程，促进了新能源发电、智能电网、储能等领域的技术创新与产业升级，带动上下游相关产业的协同发展，创造了大量就业机会，如新能源设备制造、安装、运维等岗位，提高了劳动力的就业水平与收入。在区域经济增长方面，项目建设期间的大规模投资直接拉动了建材、机械等行业的需求，建成后的稳定运营不仅保障了当地企业的电力供应，降低企业用电成本，提升企业竞争力，间接促进产业集聚与经济活跃度，还通过电力外送等方式增加地方财政收入，助力基础设施建设与公共服务改善，为宏观经济的可持续发展注入新动力，增强经济发展的韧性与稳定性，优化能源结构，减少对传统能源的依赖，在实现节能减排目标的同时，也为应对气候变化做出贡献，提升了经济发展的质量与效益。</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7.1.2 项目对产业经济的影响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1、促进产业升级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实施推动了能源产业从传统的单一能源供应模式向清洁、高效、智能的源网荷储一体化模式转变。新能源发电技术的大规模应用促使能源生产更加绿色可持续，储能技术的引入优化了能源的时空配置，智能电网的建设提升了电力传输与分配的效率和可靠性。这种产业升级不仅发生在能源产业内部，还通过稳定可靠且成本优化的电力供应，带动了工业、制造业等其他产业的技术升级和生产模式变革，促使企业淘汰落后产能，采用更加节能环保和智能化的生产设备与工艺，提升产品附加值和市场竞争力，推动整个产业结构向高端化迈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2、增强区域智能化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大量运用先进的信息技术、物联网技术、大数据分析和人工智能算法，实现了对能源生产、传输、存储和消费各环节的智能化监控与管理。这不仅提升了能源系统的运行效率和安全性，还为区域智能化发展提供了示范和基础支撑。例如，智能电网的建设有助于打造智慧城市的能源基础设施，为智能交通、智能建筑等其他领域的智能化发展提供数据交互和能源保障，促进区域内各产业与信息技术的深度融合，培育智能产业生态，提升区域的整体智能化水平和创新能力，使区域在数字经济时代占据发展先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3、促进就业与人才培养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项目的规划设计、工程建设到运营维护，各个阶段都创造了丰富多样的就业岗位，涵盖能源工程、电力技术、信息技术、项目管理等多个专业领域。这不仅解决了当地部分劳动力的就业问题，还吸引了外部人才流入，为区域人才储备增添活力。同时，项目的长期运营需求促使当地教育机构和培训机构与企业紧密合作，开展针对性的人才培养计划，提升劳动力素质和技能水平，形成人才培养与产业发展的良性互动，为产业经济的持续发展提供坚实的人才保障，也为当地居民提供了更多的职业发展机会和上升通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4、推动上下游产业链协同发展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带动了上下游产业链的繁荣与协同。在新能源发电领域，刺激了光伏组件、风力发电机制造等上游产业的发展，扩大了市场需求，促进企业规模扩张和技术创新；中游的能源存储设备生产、智能电网设备制造等产业也因项目的实施迎来新的发展机遇；下游的能源服务、电力销售等产业得以丰富和拓展，形成了完整且紧密的产业链条。各环节企业之间通过加强合作与技术交流，实现资源共享和优势互补，提高整个产业链的协同效率和市场竞争力，推动产业集群的形成和发展，增强区域产业经济的抗风险能力和可持续发展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5、改善营商环境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稳定可靠的能源供应是企业生产经营的重要保障，本项目的建成有效解决了县域内企业用电的稳定性和成本问题，降低了企业的运营风险和生产成本，提高了企业的生产效率和盈利能力。这对于吸引更多外部企业投资入驻具有显著的吸引力，同时也有助于本地企业扩大生产规模和进行产业升级，形成良好的产业发展氛围。此外，项目所展现的创新理念和技术应用，提升了县域的科技水平和创新形象，为县域营商环境的优化增添了新的亮点，促进了区域内产业经济的良性循环和可持续发展，使县域在区域经济竞争中脱颖而出，为经济社会的长期繁荣奠定坚实基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7.1.3 项目对区域经济的影响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1、促进资源高效利用，降低企业成本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通过整合能源的生产、传输、储存和消费环节，实现了对各类能源资源的精细化管理与优化配置。一方面，充分挖掘太阳能、风能等清洁能源的潜力，将其转化为电能并就地消纳，减少了能源在传输过程中的损耗，提高了能源利用效率；另一方面，精准的负荷调控和储能系统的灵活运用，有效平衡了电力供需，避免了能源的浪费。对于区域内的企业而言，稳定且价格合理的电力供应降低了其用电成本，增强了企业的市场竞争力，为企业的扩大再生产和技术创新提供了有力支持，进而提升了区域产业的整体效益和资源利用效率，促进区域经济的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2、推动新能源产业发展，优化能源结构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大力推动了新能源产业在区域内的蓬勃兴起。大规模的新能源发电设施建设带动了光伏、风电等相关产业的投资增长，吸引了上下游企业的集聚，形成了完整的新能源产业链条，从设备制造、安装调试到运营维护，创造了大量的经济附加值和就业岗位。同时，新能源在区域能源结构中的占比不断提高，逐步替代传统化石能源，降低了对外部能源的依赖程度，减少了环境污染，实现了能源供应的多元化和清洁化，为区域经济的绿色发展奠定了坚实基础，提升了区域经济的环境友好性和发展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3、创造就业机会，促进社会稳定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和运营过程涵盖了众多领域和专业，为当地居民提供了丰富多样的就业机会。从项目前期的规划设计、工程建设中的建筑施工、设备安装，到后期的运营管理、维护检修以及能源服务等环节，都需要大量不同技能层次的劳动力，包括技术工人、工程师、管理人员等。这些就业岗位的创造不仅缓解了当地的就业压力，增加了居民的收入水平，而且提升了劳动力素质和就业稳定性，减少了社会不稳定因素，为区域社会的和谐稳定发展做出了重要贡献，为经济发展营造了良好的社会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4、带动整体经济发展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作为区域经济发展的新引擎，通过上述各个方面的积极作用，产生了显著的乘数效应，带动了区域整体经济的繁荣。新能源产业的崛起促进了产业结构的优化升级，吸引了更多的外部投资和人才流入，提升了区域的产业竞争力和创新能力；企业成本的降低增强了企业的盈利能力和发展活力，促使企业加大研发投入和市场拓展力度，进一步拉动了上下游产业的协同发展；就业机会的增加和居民收入的提高带动了消费市场的繁荣，促进了服务业等相关产业的发展，形成了经济发展的良性循环。项目的建设全方位地推动了区域经济在规模扩张、结构优化、质量提升等方面取得显著成效，为区域经济的长期稳定增长提供了坚实保障和强大动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7.1.4 项目建设的经济合理性分析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1、项目实施可以产生较好投资回报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实施具备产生较好投资回报的潜力。一方面，随着能源市场的发展以及对清洁能源需求的持续增长，项目所产生的电力在满足园区企业需求的同时，可通过合理的电力销售策略，如参与电力市场化交易，利用峰谷电价差等方式，实现稳定且可观的收益。另一方面，项目的建设和运营将带动相关产业的发展，例如新能源设备制造、安装、维护以及储能技术研发等领域，这些产业的协同发展不仅能够降低项目的建设与运营成本，还能通过产业附加值的提升进一步增加项目的整体收益。此外，项目的实施过程中，通过优化资源配置和提高能源利用效率，能够有效降低长期运营成本，从而保障项目在经济上的可持续性和盈利能力，为投资者带来满意的回报，吸引更多的资金流入该领域，促进项目的持续优化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2、项目实施可以产生良好社会效益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项目建设将创造大量直接和间接的就业机会，涵盖工程建设、技术研发、运营管理、能源服务等多个环节，为当地居民提供多样化的就业岗位，提高居民收入水平，缓解就业压力，促进社会稳定与和谐发展。其次，稳定可靠的能源供应将有力支持园区内中小企业的发展，降低企业的用电成本，提升企业的市场竞争力和生产效率，进而带动整个园区产业的繁荣，对地方经济的发展起到积极的推动作用。再者，项目作为清洁能源的示范工程，将提升公众对可再生能源的认知和接受度，促进绿色环保理念的传播，推动社会形成节能减排、绿色发展的良好氛围，具有显著的社会效益和公共价值。</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3、项目建设推动获嘉县可持续发展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color w:val="auto"/>
          <w:spacing w:val="0"/>
          <w:w w:val="100"/>
          <w:kern w:val="2"/>
          <w:position w:val="0"/>
          <w:sz w:val="28"/>
          <w:szCs w:val="28"/>
          <w:lang w:val="en-US" w:eastAsia="zh-CN" w:bidi="zh-CN"/>
        </w:rPr>
        <w:t>在能源领域，项目的源网荷储一体化模式将促进当地能源结构的优化升级，减少对传统化石能源的依赖，提高能源供应的稳定性和安全性，降低能源供应过程中的环境风险，为获嘉县的经济发展提供清洁、可持续的能源保障。在产业发展方面，项目将带动新能源及相关产业在当地的集聚和发展，形成完整的产业链条，推动产业结构的调整和升级，培育新的经济增长点，增强获嘉县经济发展的内生动力和抗风险能力。同时，项目的建设和运营过程中所积累的技术经验和人才资源，也将为当地其他产业的发展提供技术支撑和人才储备，促进获嘉县经济、社会与环境的协调可持续发展，为地区的长期繁荣奠定坚实基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99" w:name="_Toc13853"/>
      <w:bookmarkStart w:id="100" w:name="_Toc28986"/>
      <w:bookmarkStart w:id="101" w:name="_Toc14234"/>
      <w:r>
        <w:rPr>
          <w:rFonts w:hint="eastAsia" w:ascii="宋体" w:hAnsi="宋体" w:eastAsia="宋体" w:cs="宋体"/>
          <w:b/>
          <w:bCs/>
          <w:sz w:val="28"/>
          <w:szCs w:val="28"/>
        </w:rPr>
        <w:t>7.2 社会影响分析</w:t>
      </w:r>
      <w:bookmarkEnd w:id="99"/>
      <w:bookmarkEnd w:id="100"/>
      <w:bookmarkEnd w:id="10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7.2.1 社会影响因素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1、相关利益者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直接影响到众多利益相关者群体。对于园区内的中小企业而言，项目的实施将改变其能源供应模式，稳定且价格合理的绿色电力供应有助于降低企业生产成本，提高生产效率和产品竞争力，从而直接影响企业的经济效益和发展前景，增强企业在市场中的生存能力和扩张动力。而对于当地居民来说，项目可能会带来生活环境的改变，如能源基础设施的建设可能会影响周边的居住景观，但同时也期望从项目的发展中获得更好的公共服务和经济福利，例如就业机会的增加和生活用电的稳定保障等。此外，政府作为监管者和推动者，关注项目对地方经济发展、税收贡献以及能源结构优化等方面的作用，希望通过项目实现区域的可持续发展和公共利益的最大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2、就业机会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和运营过程将创造大量的就业岗位，涵盖多个领域和不同技能层次。在项目建设阶段，需要大量的建筑工人、设备安装人员和工程技术人员，为当地劳动力市场提供了短期的就业机会，尤其是对于具有一定建筑施工技能的人员来说，能够缓解就业压力并增加收入来源。在长期运营中，能源生产、管理、维护以及相关服务领域将持续吸纳专业技术人才，如电力工程师、储能技术专家、能源管理人员等，这不仅为当地培养和留住了高端技术人才，还为高校相关专业毕业生提供了就业方向，促进了人才的合理流动和就业结构的优化，提升了社会整体的就业质量和人力资源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3、社会责任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肩负着重要的社会责任。从环境保护角度来看，作为源网荷储一体化项目，其推广清洁能源的应用，减少了对传统化石能源的依赖，降低了碳排放，有助于改善当地空气质量和生态环境，履行了对环境保护的责任，符合社会对可持续发展的追求。同时，项目在建设和运营过程中应注重安全生产，保障员工的生命健康权益，积极参与社区建设和公益事业，如为当地社区提供能源知识普及教育、支持基础设施建设等，通过这些举措回馈社会，提升企业形象和社会声誉，促进项目与社会的和谐共生发展，实现经济、社会和环境效益的有机统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7.2.2 减缓负面社会影响的措施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1、加强环境监测和治理措施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监管加强：引进先进技术和管理手段进行监管；建立环境数据云平台和大数据监测系统，实现精准调度、提高监管能力和生态预警周期。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加强安全管理：严格执行安全生产制度、建立健全的安全监管审批、落实风险研判、安全现场考核等措施，确保安全生产。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社会责任：坚持走可持续发展道路，重视员工安全健康、文化教育事业和社区发展，注重硬件、软件和人才等资源的持续利用与培养。</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2" w:name="_Toc20797"/>
      <w:bookmarkStart w:id="103" w:name="_Toc11607"/>
      <w:bookmarkStart w:id="104" w:name="_Toc27230"/>
      <w:r>
        <w:rPr>
          <w:rFonts w:hint="eastAsia" w:ascii="宋体" w:hAnsi="宋体" w:eastAsia="宋体" w:cs="宋体"/>
          <w:b/>
          <w:bCs/>
          <w:sz w:val="28"/>
          <w:szCs w:val="28"/>
        </w:rPr>
        <w:t>7.3 生态环境影响分析</w:t>
      </w:r>
      <w:bookmarkEnd w:id="102"/>
      <w:bookmarkEnd w:id="103"/>
      <w:bookmarkEnd w:id="10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7.3.1 建</w:t>
      </w:r>
      <w:r>
        <w:rPr>
          <w:rFonts w:hint="eastAsia" w:ascii="宋体" w:hAnsi="宋体" w:eastAsia="宋体" w:cs="宋体"/>
          <w:b/>
          <w:bCs/>
          <w:sz w:val="28"/>
          <w:szCs w:val="28"/>
          <w:lang w:val="en-US" w:eastAsia="zh-CN"/>
        </w:rPr>
        <w:t>设</w:t>
      </w:r>
      <w:r>
        <w:rPr>
          <w:rFonts w:hint="eastAsia" w:ascii="宋体" w:hAnsi="宋体" w:eastAsia="宋体" w:cs="宋体"/>
          <w:b/>
          <w:bCs/>
          <w:sz w:val="28"/>
          <w:szCs w:val="28"/>
        </w:rPr>
        <w:t>项目所在地的生态环境现状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本项目通过引入光伏发电及储能服务，积极响应可再生能源的推广，有效减少对传统化石能源的依赖，从而降低温室气体排放和空气污染。</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7.3.2 项目在污染物排放、地环境敏感区等方面的影响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jc w:val="both"/>
        <w:textAlignment w:val="baseline"/>
        <w:rPr/>
      </w:pPr>
      <w:r>
        <w:rPr>
          <w:rFonts w:ascii="宋体" w:hAnsi="宋体" w:eastAsia="宋体" w:cs="宋体"/>
          <w:b/>
          <w:i w:val="false"/>
          <w:strike w:val="false"/>
          <w:color w:val="000000"/>
          <w:spacing w:val="0"/>
          <w:sz w:val="28"/>
          <w:u w:val="none"/>
          <w:vertAlign w:val="baseline"/>
        </w:rPr>
        <w:t>7.3.2.1 环境保护目标和具体质量标准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遵循可持续发展战略思想，切实保障资源合理开发和利用，保护生态环境，改善周围环境质量，形成生态良性循环。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环境质量标准：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1、项目范围内大气环境质量须达到《环境空气质量标准》（GB3095-2012）的二级标准；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2、根据《声环境质量标准》（GB3096-2008），项目区噪声平均等效声级昼间值≤65dB；夜间值≤55dB；</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3、《声环境质量标准》（GB3096-2008）；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4、《生活饮用水卫生规范》(GB5749-2006)；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5、《地下水质量标准》（GB/T14848-93）；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6、《大气污染物综合排放标准》（GB16297-1996）；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7、《污水排入城镇下水道水质》（CJ343-2010）；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8、《建筑施工场界环境噪声排放标准》（GB12523-2011）；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9、《一般工业固体废物贮存、处置场污染控制标准》（GB18599-2001）及其修改单。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7.3.2.2</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建设期环境影响及治理措施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主要是施工期间对环境的影响，通过采取有效的环保治理措施，对周围环境的影响可降低到最低程度。项目实施后，可取得工程建设和环境整治兼顾的效果，既促进区域社会经济发展，又促进生态环境的改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本项目施工期内，应妥善处理工程建设对周边环境及秩序的影响。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现场运输建筑材料的临时施工道路应经常洒水，运送砂石料的运输车辆，用帆布等遮盖，以防物料飞扬，沿途撒漏。混凝土搅拌作业尽量在固定地点封闭进行。施工期间车辆排放的废气会对周围环境产生一定的影响，车辆排出的CO、NOX和HC会使沿线空气质量下降，造成轻度污染，对当地环境有轻微影响。施工单位应使用符合环保标准的施工车辆设备，减少废气排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2、对声环境的影响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工程施工中将使用的施工机械包括大型挖土机、空压机、混凝土搅拌机等高噪声机械，在土方、基础结构等施工阶段各类机械单独或共同作业时产生的噪声与振动影响不容忽视。应采取以下措施：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（1）施工场地布局合理，相对集中固定施工机械并远离环境敏感点。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（2）对噪声震动固定设备采用固定或移动式隔振降噪处理。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（3）避免现场混凝土搅拌作业，采用新技术缩短连续浇灌作业时间。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（4）尽可能避免高噪声震动设备同时作业。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（5）保障施工场地交通畅通，减缓运输作业引起的噪声影响。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（6）施工现场严格管理，加强环境监测，严格执行环境管理规定。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加强宣传特别是对现场周边居民，使其充分理解建设工程的重要性，做好相应的环境补偿工作。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3、固体废弃物影响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施工期固体废弃物主要来自施工过程中开挖的土方和废弃的建筑材料，经集中收集后全部运至城市垃圾处理场妥善堆放，以减少对环境的影响。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4、水土保护的影响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施工中对地表及植被的扰动较大，若土质疏松，在降雨集中季节受雨水的冲刷作用，不可避免地造成一定程度的水土流失，可能会造成局部暂时的沟渠堵塞。因此，需对这些部位注意防范。本工程应注意选择集中取土、弃土位置，尽量做到取土、弃土与城市其他建设相结合。对于道路两侧因施工破坏的其它用地，施工完成后应尽可能的给予人工恢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firstLine="0" w:firstLineChars="0"/>
        <w:jc w:val="both"/>
        <w:textAlignment w:val="baseline"/>
        <w:rPr/>
      </w:pPr>
      <w:r>
        <w:rPr>
          <w:rFonts w:ascii="宋体" w:hAnsi="宋体" w:eastAsia="宋体" w:cs="宋体"/>
          <w:b/>
          <w:i w:val="false"/>
          <w:strike w:val="false"/>
          <w:color w:val="000000"/>
          <w:spacing w:val="0"/>
          <w:sz w:val="28"/>
          <w:u w:val="none"/>
        </w:rPr>
        <w:t>7.3.2.3 地质灾害影响分析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该项目所处地段，地势平坦，自然条件较好。交通运输十分便利，拟建项目为管道设备，项目选址所在地的地质情况良好，不存在灾害问题，项目的建设和运营不会诱发地质灾害。</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7.3.2.4</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项目周围没有历史文化遗产、自然遗产、风景名胜和自然景观等，无特殊环境影响。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7.3.2.5</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环境影响分析结论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和运营期通过采取适当的污染防治措施对污染物的进行妥当处理，可以做到废气、废水、噪声及固体废弃物达标排放；并严格执行环保设施与主体工程同时设计、同时施工、同时投入运行的“三同时”制度，将对环境的影响降到最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因此，从环境保护的角度进行分析，本项目的建设是可行的。</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5" w:name="_Toc8439"/>
      <w:bookmarkStart w:id="106" w:name="_Toc21575"/>
      <w:bookmarkStart w:id="107" w:name="_Toc12272"/>
      <w:r>
        <w:rPr>
          <w:rFonts w:hint="eastAsia" w:ascii="宋体" w:hAnsi="宋体" w:eastAsia="宋体" w:cs="宋体"/>
          <w:b/>
          <w:bCs/>
          <w:sz w:val="28"/>
          <w:szCs w:val="28"/>
        </w:rPr>
        <w:t>7.4 资源和能源利用效果分析</w:t>
      </w:r>
      <w:bookmarkEnd w:id="105"/>
      <w:bookmarkEnd w:id="106"/>
      <w:bookmarkEnd w:id="10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7.4.1 项目所需消耗的资源品种、数量、来源情况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本项目非重要资源的项目，项目建设完成后，项目运营方式为中光伏电站发电、储能调峰及源网荷储等，项目所消耗能源主要为电力。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 资源综合利用方案和资源节约措施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节能是国家发展经济的一项长远战略方针。节能是指加强用能管理，采用技术上可行、经济上合理以及环境社会可以承受的措施，减少从能源生产到消费各个环节中的损失和浪费，更加有效、合理地利用能源，提高能源利用效率和经济效益，以保护环境，保障国民经济和社会的发展，满足人民生活需要。根据项目建设的不同阶段，采取相应的措施进行节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7.4.2.1 电气节能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设备的选用及节电控制措施：变压器选用过载能力强、低损耗、低噪音、体积小、维护方便的SCB13干式变压器，并选择合适的装机容量，减少设备本身的能源消耗；对于空调机组等季节性负荷设专用变压器供电；电梯、水泵、风机等设备均采用节能型设备并采取合适的节电控制方案；功率在200kW及以上的电动机采用高压电动机，对大容量交流异步电动机采用恒频变压软启动器启动，改善启动特性；多台电梯集中排列时应具有按规定程序集中调度和控制的群控功能；办公照明采用LED节能灯盘，走道、楼梯间照明及应急照明均采用LED灯光源，办公区域走道、卫生间、楼梯间照明采用人体感应节能自熄开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（2）功率因数的提高及谐波治理：室内外照明灯具均采用高功率因数的电子镇流器；变电所内采用低压集中无功动态补偿装置，补偿后的功率因数大于0.93；变电所设谐波保护装置以抑制系统谐波,提高供电质量。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照度及照明功率密度值的确定选择合理的照度标准，选用合适的光源及高效节能灯具，采用合理的灯具安装方式及照明配电系统，并根据建筑的使用条件和天然采光状况采用合理有效的照明控制装置来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（4）本工程设置的变配电所均靠近每个区域的用电负荷中心，缩短线缆、母线的长度。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（5）多项分级计量：本工程供配电系统采用能源管理系统，对各类型负荷均能实现电能的计量、统计、分析,实现本工程变配电设备自动化监测和管理。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（6）配电线路的选择：通过计算合理的选择导线的截面及线路敷设方案，降低配电线路的损耗；采用单芯电缆组成的供配电回路时，电缆呈品字形敷设以降低线路阻抗。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本工程在设计中根据地理环境和应用条件，充分考虑自然光、太阳能等新型能源的应用。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7.4.2.2 节水措施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1、供水系统中，尽量使用节能型阀门、水龙头等产品，做到有效合理用水，减少浪费；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2、经常检查供水系统是否正常，及时堵漏，以杜绝水从地下白白流失；</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3、制定用水、节水相关制度，树立自觉节水、节水人人有责的意识；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4、提高用水回收率和重复利用率；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5、卫生间采用节水型设备和器具，如采用感应式阀门，冲水采用自闭式冲水阀等，降低水资源的无效消耗，达到节约用水的目的；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6、回收雨水作为浇洒绿地用水。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7.4.2.3 可再生能源利用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在项目设计和实施过程中，项目单位根据实际情况考虑增加可再生能源利用措施。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从建筑节能角度，利用太阳能不仅可行，而且节能效果明显，这一点从以往的研究和实践中都得到了充分证明，建议生活服务用房采用太阳能热水系统。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太阳能热水系统与建筑节能结合，就是把太阳能热水系统产品作为建筑构件安装，使其与建筑有机结合。同时要有相关的设计、安装、施工与验收标准，从技术标准的高度解决太阳能热水系统与建筑结合问题。这是太阳能热水系统在建筑领域得到广泛应用、促进太阳能产业快速发展的关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2、太阳能路灯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此外，建议项目可考虑室外太阳能光伏电源用于户外路灯、草坪灯的节能项目，与传统路灯相比，太阳能路灯在外观上并没有太多不同，只是每根灯杆上方增加了两块太阳能板，这两块太阳能吸收板，是太阳能路灯的关键所在。太阳能灯白天靠日光发电蓄电，晚上光线暗到一定程度时根据自动感应器决定开灯时间，照明时间为6至8小时，在阴天的情况下，太阳能灯可以连续工作5至6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3、雨水收集处理技术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为节约用水，建议项目单位考虑对雨水进行收集利用。对雨水进行收集、储存、水质净化，然后回用于绿化、道路广场浇洒、景观用水等。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雨水回用系统，就是将雨水收集后，按照不同的需求对收集的雨水进行处理后达到符合设计使用标准的系统。是由截污挂篮装置、弃流过滤装置、蓄水系统、净化系统组成。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可设置两套雨水管道，一套为雨水收集回用管道，一套为雨水收集排放管道。屋面雨水经雨水管道收集后，排向室外雨水收集回用管道，经室外初期雨水弃流井完成初期雨水弃流后，进入雨水收集模块池储存并回用。雨水收集回用系统弃流的初期雨水、超过雨水收集系统能力的溢流雨水均由室外雨水收集排放管道收集；雨水收集排放管道收集的雨水，最终排入市政雨水管道。</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8" w:name="_Toc23202"/>
      <w:bookmarkStart w:id="109" w:name="_Toc1119"/>
      <w:bookmarkStart w:id="110" w:name="_Toc28750"/>
      <w:r>
        <w:rPr>
          <w:rFonts w:hint="eastAsia" w:ascii="宋体" w:hAnsi="宋体" w:eastAsia="宋体" w:cs="宋体"/>
          <w:b/>
          <w:bCs/>
          <w:sz w:val="28"/>
          <w:szCs w:val="28"/>
        </w:rPr>
        <w:t>7.5 碳达峰碳中和分析</w:t>
      </w:r>
      <w:bookmarkEnd w:id="108"/>
      <w:bookmarkEnd w:id="109"/>
      <w:bookmarkEnd w:id="11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与碳达峰碳中和目标紧密相连，具有重要的战略意义和积极影响。在建设过程中，通过大力发展源网荷储一体化系统，优先利用太阳能、风能等清洁能源进行发电，从能源生产源头减少碳排放。智能电网的建设优化了电力传输与分配效率，降低了电网损耗，进一步减少了间接碳排放。储能系统的应用有效平抑了新能源发电的间歇性波动，增强了电力供应的稳定性和可靠性，提高了清洁能源在能源消费结构中的占比，有助于减少对传统化石能源的依赖，从而降低碳排放总量。项目建成后的长期运营，将持续为周边地区提供低碳甚至零碳的电力供应，推动工业、商业及居民生活等领域的能源消费向绿色低碳转型，为区域能源结构的优化升级和碳达峰碳中和目标的实现提供有力支撑，在应对气候变化、推动可持续发展方面发挥关键作用，具有显著的环境效益和社会效益，是迈向绿色低碳未来的重要实践。</w:t>
      </w: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11" w:name="_Toc15550"/>
      <w:bookmarkStart w:id="112" w:name="_Toc5060"/>
      <w:bookmarkStart w:id="113" w:name="_Toc23354"/>
      <w:r>
        <w:rPr>
          <w:rFonts w:hint="eastAsia" w:ascii="宋体" w:hAnsi="宋体" w:eastAsia="宋体" w:cs="宋体"/>
          <w:b/>
          <w:bCs/>
          <w:sz w:val="36"/>
          <w:szCs w:val="36"/>
        </w:rPr>
        <w:t>第八章 项目风险管控方案</w:t>
      </w:r>
      <w:bookmarkEnd w:id="111"/>
      <w:bookmarkEnd w:id="112"/>
      <w:bookmarkEnd w:id="113"/>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4" w:name="_Toc19940"/>
      <w:bookmarkStart w:id="115" w:name="_Toc16035"/>
      <w:bookmarkStart w:id="116" w:name="_Toc21389"/>
      <w:r>
        <w:rPr>
          <w:rFonts w:hint="eastAsia" w:ascii="宋体" w:hAnsi="宋体" w:eastAsia="宋体" w:cs="宋体"/>
          <w:b/>
          <w:bCs/>
          <w:sz w:val="28"/>
          <w:szCs w:val="28"/>
        </w:rPr>
        <w:t>8.1 风险识别与评价</w:t>
      </w:r>
      <w:bookmarkEnd w:id="114"/>
      <w:bookmarkEnd w:id="115"/>
      <w:bookmarkEnd w:id="11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项目风险贯穿于项目建设和运营的全过程。本项目在建设、实施以及运营阶段可能主要存在以下风险：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1、市场风险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电力市场价格波动会对项目收益产生影响，电力价格受能源供需关系、政策调整等因素影响，若价格下跌可能导致项目收入减少。其次，电力需求存在不确定性，经济发展状况、产业结构调整、气候变化等都会使电力需求发生变化，若需求低于预期，会影响项目的能源销售和收益。再者，市场竞争日益激烈，随着源网荷储一体化项目的发展，越来越多的企业参与其中，可能会在能源供应、客户资源等方面形成竞争，若项目竞争力不足，可能会失去市场份额。另外，储能设备成本和技术的变化也会带来风险，成本上升会增加项目投资，而新技术的出现可能使现有储能技术过时，影响项目的长期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投资金额较大，为了确保项目建设资金按时、足额到位；建设单位应做好详细的预算，如果项目资金不能及时到位，将会给项目的顺利进行带来一定程度的风险，同时更需要拓展直接融资渠道，大力发展风险投资，建立适合建设单位融资的资本市场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3、项目策划及管理风险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策划的风险是指在项目开发阶段的环境调查和分析、项目定义和论证、组织、管理、合同、经济、技术等策划的过程中，在项目实施阶段的环境调查和分析，项目目标分析和再论证，项目实施的组织、管理、合同、经济和技术策划过程中，由于项目经营人才技术程度低而带来的风险。项目管理风险是指项目在实施和使用的过程中因管理不善而导致项目失败的可能性。主要包括管理方法落后，管理人员综合素质不高以及决策失误等诸多因素可能增加的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4、政策风险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能源领域的快速发展和国家战略的动态调整，相关政策法规存在变动的可能性。例如，补贴政策的退坡或取消可能会影响项目的收益预期，因为项目前期的投资决策或许部分基于现行补贴机制进行规划。而在行业标准和规范方面，若未来出台更为严格的准入门槛和技术要求，项目可能需要追加投资进行设备升级和技术改造，以满足新的政策规定，否则可能面临限产甚至停产的风险，从而对项目的持续稳定运营构成挑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本项目主要为光伏发电、储能调峰及源网荷储，项目涉及的技术风险较小。</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7" w:name="_Toc22602"/>
      <w:bookmarkStart w:id="118" w:name="_Toc31594"/>
      <w:bookmarkStart w:id="119" w:name="_Toc17477"/>
      <w:r>
        <w:rPr>
          <w:rFonts w:hint="eastAsia" w:ascii="宋体" w:hAnsi="宋体" w:eastAsia="宋体" w:cs="宋体"/>
          <w:b/>
          <w:bCs/>
          <w:sz w:val="28"/>
          <w:szCs w:val="28"/>
        </w:rPr>
        <w:t>8.2 风险评估</w:t>
      </w:r>
      <w:bookmarkEnd w:id="117"/>
      <w:bookmarkEnd w:id="118"/>
      <w:bookmarkEnd w:id="11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通过分析，本项目的风险的主要因素是市场因素和资金因素及管理风险变化因素等构成。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本项目得到当地政府以及广大群众和相关部门的支持，关于资金、技术、工程方面的风险，均已在项目前期得到了相当的重视，通过政府各部门的有力协调源网荷储一体化等合理措施的制定与实施，可以将这些风险控制在可控范围内，对项目的实施影响程度较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顺利实施，建议项目的建设单位及相关部门应高度重视项目的具体操作，一开始就应该建立风险管理机制，确定相关的责任人，协调和监督项目在各阶段的运行情况，协助项目管理者制定各项管理办法，搜集信息，及时反馈，并编制和不断更新各项风险应急预案，在风险出现之前及时采取措施，有效规避风险，保证项目顺利实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rPr>
      </w:pPr>
      <w:r>
        <w:rPr>
          <w:rFonts w:hint="eastAsia" w:ascii="宋体" w:hAnsi="宋体" w:eastAsia="宋体" w:cs="宋体"/>
          <w:b/>
          <w:bCs/>
          <w:sz w:val="28"/>
          <w:szCs w:val="28"/>
        </w:rPr>
        <w:t>表8-1风险因素分析</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445"/>
        <w:gridCol w:w="2850"/>
      </w:tblGrid>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风险因素名称</w:t>
            </w:r>
          </w:p>
        </w:tc>
        <w:tc>
          <w:tcPr>
            <w:tcW w:w="244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风险程度</w:t>
            </w:r>
          </w:p>
        </w:tc>
        <w:tc>
          <w:tcPr>
            <w:tcW w:w="285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说明</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市场需求及竞争</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资金风险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项目投资额较大</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项目策划与管理风险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项目功能系统复杂</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政策风险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具有政策优势</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较小</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技术成熟</w:t>
            </w:r>
          </w:p>
        </w:tc>
      </w:tr>
    </w:tbl>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right="0" w:rightChars="0" w:firstLine="420" w:firstLineChars="200"/>
        <w:jc w:val="both"/>
        <w:textAlignment w:val="baseline"/>
        <w:rPr>
          <w:sz w:val="21"/>
          <w:szCs w:val="21"/>
        </w:rPr>
      </w:pPr>
      <w:r>
        <w:rPr>
          <w:rFonts w:ascii="宋体" w:hAnsi="宋体" w:eastAsia="宋体" w:cs="宋体"/>
          <w:i w:val="false"/>
          <w:strike w:val="false"/>
          <w:color w:val="000000"/>
          <w:spacing w:val="0"/>
          <w:sz w:val="21"/>
          <w:szCs w:val="21"/>
          <w:u w:val="none"/>
        </w:rPr>
        <w:t>注：上表把风险程度分为五个档次：微小、较小、一般、较大、重大。</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20" w:name="_Toc5068"/>
      <w:bookmarkStart w:id="121" w:name="_Toc17111"/>
      <w:bookmarkStart w:id="122" w:name="_Toc17787"/>
      <w:r>
        <w:rPr>
          <w:rFonts w:hint="eastAsia" w:ascii="宋体" w:hAnsi="宋体" w:eastAsia="宋体" w:cs="宋体"/>
          <w:b/>
          <w:bCs/>
          <w:sz w:val="28"/>
          <w:szCs w:val="28"/>
        </w:rPr>
        <w:t>8.3 风险管控方案</w:t>
      </w:r>
      <w:bookmarkEnd w:id="120"/>
      <w:bookmarkEnd w:id="121"/>
      <w:bookmarkEnd w:id="12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项目投资的成功在很大程度上依赖于对风险的认识和管理，及早发现或预测到上述风险并能及时地采取有效的措施，可以化解或缓和、减轻、控制这些风险。本项目控制风险的措施如下：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加强项目管理和建设，确保项目建设始终沿着正确的方向进行。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2、市场风险应对措施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针对市场风险，应做好配套的项目招商引资方案，从项目前期策划就对市场进行详细分析，制定针对性的营销策略，完善软硬件配套设施，增强服务的深度和广度，不断的开拓新的市场份额。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3、财务风险应对措施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实行严格的资金借贷和运用审批制度，根据项目发展情况和资金市场成本变化，调整资本结构；使投资项目尽快产生效益，提高资产盈利能力，降低投资风险；加强对业务收入、业务支出、日常现金等的管理，在保持较高的流动性的基础上，减少资金占用；加大资本运营的力度，构筑和拓宽畅通的融资渠道，为项目的资金供应建立稳固的渠道，加强对资金运行情况的监控，最大限度地提高资金使用效率；实施财务预决算制度；建立相应的风险预警机制，加强内部管理，严格规章制度，把可能发生的损失降低到最低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4、管理风险应对措施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制定完善各项管理制度；加强对管理人员组织结构、管理制度、管理方法等方面的内部培训、外部培训，提高其整体素质和经营管理水平；推行目标成本全面管理，加强成本控制；倡导组织创新、思想创新，以适应不断变化的外部环境。设计项目管理运营模式时应本着“严谨、细实”的原则，建立并完善了相应的管理体制和内部组织机构，并使之规范运行。不断向同行业其它经营较好的企业学习，不断丰富自身管理经验，逐步提升管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技术水平，开发具有自主知识产权的技术，重视技术方案的咨询论证，就技术方案的可行性进行研究，对项目方案的风险水平与收益水平进行比较，对方案实施后的可能结果进行猜测。应改善内部组织，建立有利于技术创新的生产过程组织。建立健全技术开发的风险预警系统，及时发现技术开发和项目运营过程中的风险隐患。</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6、自然风险应对措施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避免项目在实施过程中发生意外及其他各种不可抗拒因素给政府造成损失，一方面建议项目单位在财务预算中拨出专款，购买各种保险以规避可能遇到的风险；另一方面建议建设单位建立完善的自然风险预警制度和自然风险应急救援措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23" w:name="_Toc26235"/>
      <w:bookmarkStart w:id="124" w:name="_Toc4480"/>
      <w:bookmarkStart w:id="125" w:name="_Toc21641"/>
      <w:r>
        <w:rPr>
          <w:rFonts w:hint="eastAsia" w:ascii="宋体" w:hAnsi="宋体" w:eastAsia="宋体" w:cs="宋体"/>
          <w:b/>
          <w:bCs/>
          <w:sz w:val="28"/>
          <w:szCs w:val="28"/>
        </w:rPr>
        <w:t>8.4 重大风险管控应急预案</w:t>
      </w:r>
      <w:bookmarkEnd w:id="123"/>
      <w:bookmarkEnd w:id="124"/>
      <w:bookmarkEnd w:id="125"/>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根据对各种风险因素及风险程度的分析，本项目面临的主要风险已经明确，针对这些风险因素提出如下的防范和降低风险的措施：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1、为了使该项目顺利实施，甲方事前做好充分准备，通过多渠道进行融资，利用好各级政府的各项优惠政策，在保证质量的前提下，加快项目实施进度，尽可能规避融资风险。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2、加强工程的施工管理，提高工程质量，保证施工进度。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3、加强企业的自身管理，提高监管能力，有效控制工程造价。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密切关注国家宏观经济政策的变化，加强对影响行业的政策和相关因素的分析研究，及时制定有效的对策，使建设规模和结构适应行业发展和市场供求的趋势，尽可能把政策影响降低到最低水平，确保本项目的顺利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5、要严格贯彻执行建设和管理的有关法规，加强人员培训，严格技术管理，严把建设过程的每一道关口，确保工程质量稳定可靠。</w:t>
      </w:r>
    </w:p>
    <w:p>
      <w:pPr>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26" w:name="_Toc1846"/>
      <w:bookmarkStart w:id="127" w:name="_Toc14313"/>
      <w:bookmarkStart w:id="128" w:name="_Toc17603"/>
      <w:r>
        <w:rPr>
          <w:rFonts w:hint="eastAsia" w:ascii="宋体" w:hAnsi="宋体" w:eastAsia="宋体" w:cs="宋体"/>
          <w:b/>
          <w:bCs/>
          <w:sz w:val="36"/>
          <w:szCs w:val="36"/>
        </w:rPr>
        <w:t>第九章 结论和建议</w:t>
      </w:r>
      <w:bookmarkEnd w:id="126"/>
      <w:bookmarkEnd w:id="127"/>
      <w:bookmarkEnd w:id="12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29" w:name="_Toc18930"/>
      <w:bookmarkStart w:id="130" w:name="_Toc25714"/>
      <w:bookmarkStart w:id="131" w:name="_Toc6270"/>
      <w:r>
        <w:rPr>
          <w:rFonts w:hint="eastAsia" w:ascii="宋体" w:hAnsi="宋体" w:eastAsia="宋体" w:cs="宋体"/>
          <w:b/>
          <w:bCs/>
          <w:sz w:val="28"/>
          <w:szCs w:val="28"/>
        </w:rPr>
        <w:t>9.1 结论</w:t>
      </w:r>
      <w:bookmarkEnd w:id="129"/>
      <w:bookmarkEnd w:id="130"/>
      <w:bookmarkEnd w:id="13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获嘉县作为一个工业+农业蓬勃发展的区域，区域内有着众多大中小企业聚集，在经济下行的大环境下，企业亟需降本增效进行转型升级。在此背景下，本项目的实施显得尤为重要。本项目不仅能够帮助获嘉县中小企业降低经营成本，更通过技术创新与资源整合，显著提升了绿色能源的开发和使用，推动了双碳的战略发展进度，促进了当地中小企业转型升级，为获嘉县营造了一个更加优越的投资与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2、本项目建设规模合理，建设条件具备，建设方案可行，投资规模适中，资金来源有保证，具有一定的抗风险能力、良好的经济和社会效益，建议尽快实施早日建成发挥良好的经济效益和社会效益。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3、本项目的建设是积极顺应供给侧结构性改革大势，大力实施创新新驱动战略，努力推动经济发展方式转变和经济结构调整的重要举措。</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32" w:name="_Toc31302"/>
      <w:bookmarkStart w:id="133" w:name="_Toc3775"/>
      <w:bookmarkStart w:id="134" w:name="_Toc12580"/>
      <w:r>
        <w:rPr>
          <w:rFonts w:hint="eastAsia" w:ascii="宋体" w:hAnsi="宋体" w:eastAsia="宋体" w:cs="宋体"/>
          <w:b/>
          <w:bCs/>
          <w:sz w:val="28"/>
          <w:szCs w:val="28"/>
        </w:rPr>
        <w:t>9.2 建议</w:t>
      </w:r>
      <w:bookmarkEnd w:id="132"/>
      <w:bookmarkEnd w:id="133"/>
      <w:bookmarkEnd w:id="13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1、向地方政府争取相关政策支持和优惠措施，例如税收优惠等。这些政策能够降低项目建设和运营成本，提高投资回报率，吸引更多资金和资源参与到项目中来。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2、建设项目单位应尽早办理各种手续，抓紧时间落实，做好项目前期工作，并尽早组织开工建设。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3、水、电、气、通风等设施应积极采用节能、节水、节材并符合环境保护和计量要求的新技术、新设备，电度表、水表等计量设备安装使用前应进行首次强制检测。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4、建议建设单位通过加强管理来控制工程风险。良好的项目管理是项目取得成功的重要保证。从投资开发来看，项目全过程的投资、进度和质量是控制的重点。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5、为了尽快实施该项目，应当优化项目管理流程和执行计划。确保项目各阶段的设计、审批、采购和施工能够高效有序地进行，避免因流程繁琐或延迟导致项目推迟。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6、项目应严格按环保“三同时”原则，搞好环境治理工作。</w:t>
      </w:r>
    </w:p>
    <w:p>
      <w:pPr>
        <w:snapToGrid/>
        <w:spacing w:line="240" w:lineRule="auto"/>
        <w:rPr/>
      </w:pPr>
    </w:p>
    <w:p>
      <w:pPr>
        <w:snapToGrid/>
        <w:spacing w:line="240" w:lineRule="auto"/>
        <w:rPr/>
      </w:pPr>
    </w:p>
    <w:p>
      <w:pPr>
        <w:snapToGrid/>
        <w:spacing w:line="240" w:lineRule="auto"/>
        <w:rPr/>
      </w:pPr>
      <w:r>
        <w:rPr>
          <w:rFonts w:ascii="Arial" w:hAnsi="Arial" w:eastAsia="Arial" w:cs="Arial"/>
          <w:i w:val="false"/>
          <w:strike w:val="false"/>
          <w:color w:val="000000"/>
          <w:sz w:val="21"/>
          <w:u w:val="none"/>
        </w:rPr>
        <w:t> </w:t>
      </w:r>
    </w:p>
    <w:p>
      <w:pPr>
        <w:snapToGrid/>
        <w:spacing w:before="157" w:after="157" w:line="360" w:lineRule="auto"/>
        <w:ind w:right="0" w:rightChars="0" w:firstLine="420" w:firstLineChars="200"/>
        <w:jc w:val="both"/>
        <w:rPr/>
      </w:pPr>
    </w:p>
    <w:p>
      <w:pPr>
        <w:keepNext w:val="false"/>
        <w:keepLines w:val="false"/>
        <w:pageBreakBefore w:val="false"/>
        <w:widowControl w:val="false"/>
        <w:pBdr>
          <w:bottom w:val="none" w:color="auto" w:sz="0" w:space="0"/>
        </w:pBdr>
        <w:kinsoku/>
        <w:wordWrap/>
        <w:overflowPunct/>
        <w:topLinePunct w:val="false"/>
        <w:autoSpaceD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spacing w:val="0"/>
          <w:w w:val="100"/>
          <w:kern w:val="2"/>
          <w:position w:val="0"/>
          <w:sz w:val="28"/>
          <w:szCs w:val="28"/>
          <w:lang w:val="en-US" w:eastAsia="zh-CN" w:bidi="zh-CN"/>
        </w:rPr>
        <w:br w:type="page"/>
      </w:r>
    </w:p>
    <w:p>
      <w:pPr>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35" w:name="_Toc10969"/>
      <w:bookmarkStart w:id="136" w:name="_Toc4429"/>
      <w:bookmarkStart w:id="137" w:name="_Toc1013"/>
      <w:r>
        <w:rPr>
          <w:rFonts w:hint="eastAsia" w:ascii="宋体" w:hAnsi="宋体" w:eastAsia="宋体" w:cs="宋体"/>
          <w:b/>
          <w:bCs/>
          <w:i w:val="false"/>
          <w:iCs w:val="false"/>
          <w:color w:val="auto"/>
          <w:kern w:val="0"/>
          <w:sz w:val="28"/>
          <w:szCs w:val="28"/>
          <w:u w:val="none"/>
          <w:lang w:val="en-US" w:eastAsia="zh-CN"/>
        </w:rPr>
        <w:t>附表1：建设投资估算表</w:t>
      </w:r>
      <w:bookmarkEnd w:id="135"/>
      <w:bookmarkEnd w:id="136"/>
      <w:bookmarkEnd w:id="137"/>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1"/>
        <w:gridCol w:w="3091"/>
        <w:gridCol w:w="1230"/>
        <w:gridCol w:w="1156"/>
        <w:gridCol w:w="1285"/>
        <w:gridCol w:w="1285"/>
        <w:gridCol w:w="1284"/>
        <w:gridCol w:w="840"/>
        <w:gridCol w:w="1245"/>
        <w:gridCol w:w="1754"/>
      </w:tblGrid>
      <w:tr>
        <w:trPr>
          <w:trHeight w:val="386" w:hRule="atLeast"/>
          <w:tblHeader/>
        </w:trPr>
        <w:tc>
          <w:tcPr>
            <w:tcW w:w="13941" w:type="dxa"/>
            <w:gridSpan w:val="10"/>
            <w:tcBorders>
              <w:top w:val="nil"/>
              <w:left w:val="nil"/>
              <w:bottom w:val="nil"/>
              <w:right w:val="nil"/>
            </w:tcBorders>
            <w:shd w:val="clear" w:color="auto" w:fill="auto"/>
            <w:vAlign w:val="center"/>
          </w:tcPr>
          <w:p>
            <w:pPr>
              <w:keepNext w:val="false"/>
              <w:keepLines w:val="false"/>
              <w:widowControl/>
              <w:suppressLineNumbers w:val="false"/>
              <w:jc w:val="right"/>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color w:val="000000"/>
                <w:kern w:val="0"/>
                <w:sz w:val="21"/>
                <w:szCs w:val="21"/>
                <w:u w:val="none"/>
                <w:lang w:val="en-US" w:eastAsia="zh-CN"/>
              </w:rPr>
              <w:t>单位：万元</w:t>
            </w:r>
          </w:p>
        </w:tc>
      </w:tr>
      <w:tr>
        <w:trPr>
          <w:trHeight w:val="476" w:hRule="atLeast"/>
          <w:tblHead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序号</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工程或费用名称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建筑工程费</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安装工程费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设备购置费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其他费用</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合计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数量</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综合单价（万元）</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一</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163.33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362.26</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7376.98</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7902.57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90.13%</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光伏组件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96.75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160.65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1451.25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1708.65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KW</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5956.00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0.29</w:t>
            </w:r>
          </w:p>
        </w:tc>
      </w:tr>
      <w:tr>
        <w:trPr>
          <w:trHeight w:val="476" w:hRule="atLeast"/>
        </w:trPr>
        <w:tc>
          <w:tcPr>
            <w:tcW w:w="771"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9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640Wp单晶N型</w:t>
            </w:r>
          </w:p>
        </w:tc>
        <w:tc>
          <w:tcPr>
            <w:tcW w:w="1230"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882.27</w:t>
            </w: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882.27</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块</w:t>
            </w:r>
          </w:p>
        </w:tc>
        <w:tc>
          <w:tcPr>
            <w:tcW w:w="1245"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11168.00</w:t>
            </w:r>
          </w:p>
        </w:tc>
        <w:tc>
          <w:tcPr>
            <w:tcW w:w="1754"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0.08</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lang w:val="en-US" w:eastAsia="zh-CN"/>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逆变器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57.00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1.42</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交流汇流箱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9.00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1.04</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光伏支架及配件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157.03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157.03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87.29</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1.80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光伏直流电缆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5.50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MC4连接器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610.00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0.02</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8.10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18.23</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干式变压器（箱变)</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20.26</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光伏接入柜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5.13</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1.10</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并网柜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站用变电柜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10kV动态无功补偿装置</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高压电缆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82.51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82.51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土建基础</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80.25</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组件、电气安装、辅材等</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160.65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160.65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KW</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0.03</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电池储能</w:t>
            </w:r>
            <w:r>
              <w:rPr>
                <w:rFonts w:hint="eastAsia" w:ascii="宋体" w:hAnsi="宋体" w:eastAsia="宋体" w:cs="宋体"/>
                <w:b/>
                <w:bCs/>
                <w:i w:val="false"/>
                <w:iCs w:val="false"/>
                <w:snapToGrid w:val="false"/>
                <w:color w:val="000000"/>
                <w:kern w:val="0"/>
                <w:sz w:val="18"/>
                <w:szCs w:val="18"/>
                <w:u w:val="none"/>
                <w:lang w:val="en-US" w:eastAsia="zh-CN" w:bidi="ar"/>
              </w:rPr>
              <w:br w:type="textWrapping"/>
            </w:r>
            <w:r>
              <w:rPr>
                <w:rFonts w:hint="eastAsia" w:ascii="宋体" w:hAnsi="宋体" w:eastAsia="宋体" w:cs="宋体"/>
                <w:b/>
                <w:bCs/>
                <w:i w:val="false"/>
                <w:iCs w:val="false"/>
                <w:snapToGrid w:val="false"/>
                <w:color w:val="000000"/>
                <w:kern w:val="0"/>
                <w:sz w:val="18"/>
                <w:szCs w:val="18"/>
                <w:u w:val="none"/>
                <w:lang w:val="en-US" w:eastAsia="zh-CN" w:bidi="ar"/>
              </w:rPr>
              <w:t>集装箱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FF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4969.70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FF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5099.70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KWH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40000.00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0.13</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电池系统 5000KWH</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432.50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储能变流器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集装箱柜体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温控系统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148.00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148.00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消防系统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储能EMS</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59.20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储能箱基础及连接电缆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15KWH换电系统(3000KWH)</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园区配套工程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66.58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71.61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956.03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1094.22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5551.30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0.23</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升压/降压变压器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中压输电电缆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127.50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0.05</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绿化等相关配套工程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0.32</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10kv储能变电站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24.74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37.11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185.53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247.38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179.00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中心配电室变压器2000KVA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color w:val="FF0000"/>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color w:val="FF0000"/>
                <w:sz w:val="18"/>
                <w:szCs w:val="18"/>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光伏充电桩（600kw液冷</w:t>
            </w:r>
            <w:r>
              <w:rPr>
                <w:rFonts w:hint="eastAsia" w:ascii="宋体" w:hAnsi="宋体" w:eastAsia="宋体" w:cs="宋体"/>
                <w:i w:val="false"/>
                <w:iCs w:val="false"/>
                <w:snapToGrid w:val="false"/>
                <w:color w:val="000000"/>
                <w:kern w:val="0"/>
                <w:sz w:val="18"/>
                <w:szCs w:val="18"/>
                <w:u w:val="none"/>
                <w:lang w:val="en-US" w:eastAsia="zh-CN" w:bidi="ar"/>
              </w:rPr>
              <w:t>或其他等量充电桩）</w:t>
            </w:r>
            <w:r>
              <w:rPr>
                <w:rFonts w:hint="eastAsia" w:ascii="宋体" w:hAnsi="宋体" w:eastAsia="宋体" w:cs="宋体"/>
                <w:i w:val="false"/>
                <w:iCs w:val="false"/>
                <w:snapToGrid w:val="false"/>
                <w:color w:val="000000"/>
                <w:kern w:val="0"/>
                <w:sz w:val="18"/>
                <w:szCs w:val="18"/>
                <w:u w:val="none"/>
                <w:lang w:val="en-US" w:eastAsia="zh-CN" w:bidi="ar"/>
              </w:rPr>
              <w:t>）</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110.00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二</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工程建设其他费用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372.52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372.52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4.25%</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建设管理费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39.51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39.51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建设工程监理费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47.42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47.42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建设项目前期工作咨询费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39.51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39.51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工程勘察费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屋顶荷载检测费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15.64</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15.64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工程设计费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79.03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79.03</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环境影响咨询服务费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7.90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7.90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场地准备费及临时设施费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43.46</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43.46</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工程保险费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23.30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23.30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招标代理服务费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26.87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26.87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造价咨询费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23.71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23.71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三</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413.75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413.75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4.72%</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基本预备费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413.75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413.75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（一+二）*5%</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涨价预备费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四</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建设投资合计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163.33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362.26</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7376.98</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786.28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8688.84</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99.10%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snapToGrid w:val="false"/>
                <w:color w:val="000000"/>
                <w:kern w:val="0"/>
                <w:sz w:val="18"/>
                <w:szCs w:val="18"/>
                <w:u w:val="none"/>
                <w:lang w:val="en-US" w:eastAsia="zh-CN" w:bidi="ar"/>
              </w:rPr>
            </w:pP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比例（%）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4.17%</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84.90%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9.05%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100.00%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五</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建设期利息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78.75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0.90%</w:t>
            </w:r>
          </w:p>
        </w:tc>
      </w:tr>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六</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固定资产投资</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8767.59</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bookmarkStart w:id="138" w:name="_Toc13313"/>
      <w:bookmarkStart w:id="139" w:name="_Toc967"/>
      <w:bookmarkStart w:id="140" w:name="_Toc7389"/>
      <w:tr>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七</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项目总投资</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8767.59</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bl>
    <w:p>
      <w:pPr>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bookmarkEnd w:id="138"/>
      <w:bookmarkEnd w:id="139"/>
      <w:bookmarkEnd w:id="140"/>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46"/>
        <w:gridCol w:w="960"/>
        <w:gridCol w:w="1378"/>
        <w:gridCol w:w="1378"/>
        <w:gridCol w:w="1378"/>
        <w:gridCol w:w="1378"/>
        <w:gridCol w:w="1378"/>
        <w:gridCol w:w="138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6"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6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7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507"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46"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38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7906.85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7719.06</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7343.49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6967.91</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6592.33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6216.76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4319.12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187.79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7719.06</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7343.49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6967.91</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6592.33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6216.76</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5841.18</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4319.12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187.79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91"/>
        <w:gridCol w:w="975"/>
        <w:gridCol w:w="1368"/>
        <w:gridCol w:w="1368"/>
        <w:gridCol w:w="1368"/>
        <w:gridCol w:w="1368"/>
        <w:gridCol w:w="1368"/>
        <w:gridCol w:w="137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91"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7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1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62"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37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0.05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5841.18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5465.61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5090.03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4714.46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4338.88</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3963.31</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4319.12</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5465.61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5090.03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4714.46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4338.88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3963.31</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3587.73</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4319.12</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375.58</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bl>
    <w:p>
      <w:pPr>
        <w:ind w:left="0" w:leftChars="0" w:firstLine="0" w:firstLineChars="0"/>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1" w:name="_Toc16695"/>
      <w:bookmarkStart w:id="142" w:name="_Toc10373"/>
      <w:bookmarkStart w:id="143" w:name="_Toc614"/>
      <w:r>
        <w:rPr>
          <w:rFonts w:hint="eastAsia" w:ascii="宋体" w:hAnsi="宋体" w:eastAsia="宋体" w:cs="宋体"/>
          <w:b/>
          <w:bCs/>
          <w:i w:val="false"/>
          <w:iCs w:val="false"/>
          <w:color w:val="auto"/>
          <w:kern w:val="0"/>
          <w:sz w:val="28"/>
          <w:szCs w:val="28"/>
          <w:u w:val="none"/>
          <w:lang w:val="en-US" w:eastAsia="zh-CN"/>
        </w:rPr>
        <w:t>附表3：营业收入及税金表</w:t>
      </w:r>
      <w:bookmarkEnd w:id="141"/>
      <w:bookmarkEnd w:id="142"/>
      <w:bookmarkEnd w:id="143"/>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615.45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1232.78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1234.67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1236.58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1238.49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1238.65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202.61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403.59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401.98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398.77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397.17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5896.44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5872.85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5849.36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5825.97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5802.66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5779.45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404.06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808.13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808.13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21.06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24.57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28.08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31.59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15.19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15.19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151.82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151.93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151.88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159.42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159.74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159.69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附表3：营业收入及税金表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253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1263.41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1261.83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1260.25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1258.68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1257.12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1255.56</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395.58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392.43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389.29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387.74</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5756.33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5733.31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5710.37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5687.53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5664.78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5642.12</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0.57</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33.35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15.51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10.78</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4.62</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154.24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154.04</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162.91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162.50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162.29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162.09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161.89</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7.84</w:t>
            </w: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4" w:name="_Toc6038"/>
      <w:bookmarkStart w:id="145" w:name="_Toc27140"/>
      <w:bookmarkStart w:id="146" w:name="_Toc6072"/>
      <w:r>
        <w:rPr>
          <w:rFonts w:hint="eastAsia" w:ascii="宋体" w:hAnsi="宋体" w:eastAsia="宋体" w:cs="宋体"/>
          <w:b/>
          <w:bCs/>
          <w:i w:val="false"/>
          <w:iCs w:val="false"/>
          <w:color w:val="auto"/>
          <w:kern w:val="0"/>
          <w:sz w:val="28"/>
          <w:szCs w:val="28"/>
          <w:u w:val="none"/>
          <w:lang w:val="en-US" w:eastAsia="zh-CN"/>
        </w:rPr>
        <w:t>附表4：总成本费用表</w:t>
      </w:r>
      <w:bookmarkEnd w:id="144"/>
      <w:bookmarkEnd w:id="145"/>
      <w:bookmarkEnd w:id="146"/>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494.02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745.67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63.00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66.15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345.53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287.07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24.73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24.77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24.77</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1872.28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78.79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157.66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157.70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160.74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160.78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163.93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4319.12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187.79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1982.25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155.25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294.75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272.25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248.63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223.88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198.00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8173.65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421.83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827.99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805.52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784.94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760.23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737.50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6588.43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355.35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694.98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672.52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648.93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624.22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598.35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1239.69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105.96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105.96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109.11</w:t>
            </w:r>
          </w:p>
        </w:tc>
      </w:tr>
    </w:tbl>
    <w:p>
      <w:pPr>
        <w:rPr>
          <w:rFonts w:hint="eastAsia" w:ascii="宋体" w:hAnsi="宋体" w:eastAsia="宋体" w:cs="宋体"/>
          <w:b/>
          <w:bCs/>
          <w:lang w:val="en-US" w:eastAsia="zh-CN"/>
        </w:rPr>
      </w:pPr>
      <w:bookmarkStart w:id="147" w:name="_Toc32655"/>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附表4：总成本费用表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494.02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42.96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745.67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69.46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69.46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345.53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30.05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287.07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25.27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25.21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25.17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25.14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25.11</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1872.28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164.42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164.39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164.36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164.33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167.61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167.57</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4319.12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375.58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1982.25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142.88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113.63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83.25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51.75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27.00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8173.65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711.00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682.84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653.56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623.15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594.93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570.15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6588.43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571.84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543.69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514.41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484.00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452.47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427.69</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1239.69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112.42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112.42</w:t>
            </w:r>
          </w:p>
        </w:tc>
      </w:tr>
    </w:tbl>
    <w:p>
      <w:p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8" w:name="_Toc11083"/>
      <w:bookmarkStart w:id="149" w:name="_Toc3902"/>
      <w:r>
        <w:rPr>
          <w:rFonts w:hint="eastAsia" w:ascii="宋体" w:hAnsi="宋体" w:eastAsia="宋体" w:cs="宋体"/>
          <w:b/>
          <w:bCs/>
          <w:i w:val="false"/>
          <w:iCs w:val="false"/>
          <w:color w:val="auto"/>
          <w:kern w:val="0"/>
          <w:sz w:val="28"/>
          <w:szCs w:val="28"/>
          <w:u w:val="none"/>
          <w:lang w:val="en-US" w:eastAsia="zh-CN"/>
        </w:rPr>
        <w:t>附表5：利润及利润分配表</w:t>
      </w:r>
      <w:bookmarkEnd w:id="147"/>
      <w:bookmarkEnd w:id="148"/>
      <w:bookmarkEnd w:id="149"/>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14353.45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615.45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1232.78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1234.67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1236.58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1238.49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1238.65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176.20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1761.99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75.76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151.72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151.82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151.88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8173.65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421.83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827.99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805.52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784.94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760.23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737.50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110.28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238.02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262.26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284.64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311.14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334.08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238.02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262.26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284.64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311.14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334.08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1060.40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27.57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59.50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65.57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71.16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77.79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83.52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3181.21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82.71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178.51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196.70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213.48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233.36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250.56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12616.11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412.13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604.25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814.28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15797.32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82.71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252.95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431.80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625.60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837.61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1064.83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318.12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21.35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23.34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25.06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412.13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604.25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814.28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1039.78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3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412.13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604.25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814.28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1039.78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6223.86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265.53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532.77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534.51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533.26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535.02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532.08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10542.98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453.32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908.34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910.09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908.84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910.59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907.65</w:t>
            </w: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附表5：利润及利润分配表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14353.45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1263.41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1261.83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1260.25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1258.68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1257.12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1255.56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176.20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1761.99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155.05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154.24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154.04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8173.65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711.00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682.84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653.56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623.15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594.93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570.15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381.85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408.65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436.58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465.64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492.52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515.96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381.85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408.65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436.58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465.64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492.52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515.96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1060.40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95.46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102.16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109.14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116.41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123.13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128.99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3181.21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286.39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306.49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327.43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349.23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369.39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386.97</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12616.11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1039.78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1297.53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1573.37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2182.36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2514.81</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15797.32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1326.17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1604.02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1900.80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2217.29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2551.75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2901.79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318.12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30.65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32.74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34.92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36.94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38.70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1297.53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1573.37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2182.36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2514.81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2863.09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1297.53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1573.37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1868.06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2182.36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2514.81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2863.09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6223.86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552.85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551.53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550.20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548.89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544.27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542.96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10542.98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928.43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927.10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925.78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924.46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919.84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918.54</w:t>
            </w:r>
          </w:p>
        </w:tc>
      </w:tr>
    </w:tbl>
    <w:p>
      <w:pPr>
        <w:keepNext w:val="false"/>
        <w:keepLines w:val="false"/>
        <w:pageBreakBefore w:val="false"/>
        <w:kinsoku/>
        <w:wordWrap/>
        <w:overflowPunct/>
        <w:topLinePunct w:val="false"/>
        <w:autoSpaceDE/>
        <w:autoSpaceDN/>
        <w:bidi w:val="false"/>
        <w:adjustRightInd/>
        <w:snapToGrid/>
        <w:spacing w:line="240" w:lineRule="auto"/>
        <w:ind w:left="0" w:leftChars="0" w:firstLine="0" w:firstLineChars="0"/>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50" w:name="_Toc8976"/>
      <w:bookmarkStart w:id="151" w:name="_Toc9189"/>
      <w:bookmarkStart w:id="152" w:name="_Toc19934"/>
      <w:r>
        <w:rPr>
          <w:rFonts w:hint="eastAsia" w:ascii="宋体" w:hAnsi="宋体" w:eastAsia="宋体" w:cs="宋体"/>
          <w:b/>
          <w:bCs/>
          <w:i w:val="false"/>
          <w:iCs w:val="false"/>
          <w:color w:val="auto"/>
          <w:kern w:val="0"/>
          <w:sz w:val="28"/>
          <w:szCs w:val="28"/>
          <w:u w:val="none"/>
          <w:lang w:val="en-US" w:eastAsia="zh-CN"/>
        </w:rPr>
        <w:t>附表6：项目投资现金流量表</w:t>
      </w:r>
      <w:bookmarkEnd w:id="150"/>
      <w:bookmarkEnd w:id="151"/>
      <w:bookmarkEnd w:id="152"/>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trPr>
          <w:trHeight w:val="354"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18723.18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1397.44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1238.65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14353.45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615.45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1238.65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782.00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3587.73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12499.32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8850.97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327.89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330.99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1872.28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157.66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157.70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160.78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163.93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176.20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1761.99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75.76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151.62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151.72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151.82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151.93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151.88</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6223.86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908.34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910.09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910.59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907.65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-6545.19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-5635.10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-4726.27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-3815.68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-2908.02</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2920.30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836.59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770.93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741.28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709.11</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-6316.51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-5512.10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-4741.17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-3999.88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-3290.77</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1032.83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77.79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83.52</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5191.03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844.52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837.68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832.81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824.13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-6604.69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-5760.17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-4922.50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-4089.69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-3265.56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2151.65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746.46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710.57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677.96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643.86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-6371.31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-5624.85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-4914.28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-4236.32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-3592.46</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附表6：项目投资现金流量表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851"/>
        <w:gridCol w:w="416"/>
        <w:gridCol w:w="236"/>
        <w:gridCol w:w="984"/>
        <w:gridCol w:w="280"/>
        <w:gridCol w:w="704"/>
        <w:gridCol w:w="795"/>
        <w:gridCol w:w="189"/>
        <w:gridCol w:w="984"/>
        <w:gridCol w:w="326"/>
        <w:gridCol w:w="658"/>
        <w:gridCol w:w="841"/>
        <w:gridCol w:w="143"/>
        <w:gridCol w:w="984"/>
        <w:gridCol w:w="371"/>
        <w:gridCol w:w="612"/>
        <w:gridCol w:w="942"/>
      </w:tblGrid>
      <w:tr>
        <w:trPr>
          <w:trHeight w:val="23" w:hRule="atLeast"/>
          <w:tblHeader/>
        </w:trPr>
        <w:tc>
          <w:tcPr>
            <w:tcW w:w="13957" w:type="dxa"/>
            <w:gridSpan w:val="1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18723.18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4843.29</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14353.45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1255.56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3587.73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3587.73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12499.32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334.98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334.72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334.47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334.22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337.27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337.02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8688.84</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1872.28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164.42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164.39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164.36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164.33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167.61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167.57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176.20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15.40</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1761.99</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155.05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154.85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154.65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154.24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154.04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6223.86</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928.43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927.10</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925.78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924.46</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919.84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4506.27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-1979.59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-1052.49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-126.71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797.75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1717.59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6223.86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2920.30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696.10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667.09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639.29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612.65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609.59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2986.34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-2594.67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-1927.57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-1288.28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-675.63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-66.05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2920.30</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1032.83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102.16</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109.14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116.41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123.13</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128.99</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5191.03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832.97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824.94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816.63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808.05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796.71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4377.28</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-2432.59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-1607.65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-791.02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813.75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5191.03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2151.65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624.53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591.31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563.92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535.50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527.99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2900.86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-2967.93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-2376.62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-1812.70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-1277.20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-749.21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2151.65</w:t>
            </w:r>
          </w:p>
        </w:tc>
      </w:tr>
      <w:tr>
        <w:trPr>
          <w:trHeight w:val="420" w:hRule="atLeast"/>
        </w:trPr>
        <w:tc>
          <w:tcPr>
            <w:tcW w:w="3641"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计算指标：</w:t>
            </w:r>
          </w:p>
        </w:tc>
        <w:tc>
          <w:tcPr>
            <w:tcW w:w="851"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9.39%</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7.98%</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项目投资财务净现值（所得税前）（ic=4.2%）</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2920.30</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2151.65</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11.02</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11.26</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53" w:name="_Toc28353"/>
      <w:bookmarkStart w:id="154" w:name="_Toc23809"/>
      <w:bookmarkStart w:id="155" w:name="_Toc8075"/>
      <w:r>
        <w:rPr>
          <w:rFonts w:hint="eastAsia" w:ascii="宋体" w:hAnsi="宋体" w:eastAsia="宋体" w:cs="宋体"/>
          <w:b/>
          <w:bCs/>
          <w:i w:val="false"/>
          <w:iCs w:val="false"/>
          <w:color w:val="auto"/>
          <w:kern w:val="0"/>
          <w:sz w:val="28"/>
          <w:szCs w:val="28"/>
          <w:u w:val="none"/>
          <w:lang w:val="en-US" w:eastAsia="zh-CN"/>
        </w:rPr>
        <w:t>附表7：还本付息表</w:t>
      </w:r>
      <w:bookmarkEnd w:id="153"/>
      <w:bookmarkEnd w:id="154"/>
      <w:bookmarkEnd w:id="155"/>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trPr>
          <w:trHeight w:val="323" w:hRule="atLeast"/>
        </w:trPr>
        <w:tc>
          <w:tcPr>
            <w:tcW w:w="13946" w:type="dxa"/>
            <w:gridSpan w:val="10"/>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798.00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198.00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10542.98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453.32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910.09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908.84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910.59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907.65</w:t>
            </w:r>
          </w:p>
        </w:tc>
      </w:tr>
      <w:tr>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4.58</w:t>
            </w:r>
          </w:p>
        </w:tc>
      </w:tr>
      <w:tr>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附表7：还本付息表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trPr>
          <w:trHeight w:val="323" w:hRule="atLeast"/>
        </w:trPr>
        <w:tc>
          <w:tcPr>
            <w:tcW w:w="13946"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827.00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50800.00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10542.98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928.43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927.10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925.78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924.46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919.84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918.54</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8.15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17.77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34.02</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r>
    </w:tbl>
    <w:p>
      <w:pPr>
        <w:rPr>
          <w:rFonts w:hint="eastAsia"/>
          <w:lang w:val="en-US" w:eastAsia="zh-CN"/>
        </w:rPr>
      </w:pPr>
    </w:p>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http://schemas.openxmlformats.org/wordprocessingml/2006/main">
  <w:endnote w:type="continuationSeparator" w:id="0">
    <w:p>
      <w:pPr>
        <w:spacing w:line="240" w:lineRule="auto"/>
        <w:rPr/>
      </w:pPr>
      <w:r>
        <w:rPr/>
        <w:continuationSeparator/>
      </w:r>
    </w:p>
  </w:endnote>
  <w:endnote w:type="separator" w:id="1">
    <w:p>
      <w:pPr>
        <w:spacing w:line="240" w:lineRule="auto"/>
        <w:rPr/>
      </w:pPr>
      <w:r>
        <w:rPr/>
        <w:separator/>
      </w:r>
    </w:p>
  </w:endnote>
</w:endnotes>
</file>

<file path=word/fontTable.xml><?xml version="1.0" encoding="utf-8"?>
<w:fonts xmlns:w="http://schemas.openxmlformats.org/wordprocessingml/2006/main">
  <w:font w:name="仿宋">
    <w:panose1 w:val="02010609060101010101"/>
    <w:charset w:val="86" w:characterSet="ISO-8859-1"/>
    <w:family w:val="auto"/>
    <w:pitch w:val="default"/>
    <w:sig w:usb0="800002BF" w:usb1="38CF7CFA" w:usb2="00000016" w:usb3="00000000" w:csb0="00040001" w:csb1="00000000"/>
  </w:font>
  <w:font w:name="Tahoma">
    <w:panose1 w:val="020B0604030504040204"/>
    <w:charset w:val="00" w:characterSet="ISO-8859-1"/>
    <w:family w:val="auto"/>
    <w:pitch w:val="default"/>
    <w:sig w:usb0="E1002EFF" w:usb1="C000605B" w:usb2="00000029" w:usb3="00000000" w:csb0="200101FF" w:csb1="20280000"/>
  </w:font>
  <w:font w:name="微软雅黑">
    <w:panose1 w:val="020B0503020204020204"/>
    <w:charset w:val="86" w:characterSet="ISO-8859-1"/>
    <w:family w:val="auto"/>
    <w:pitch w:val="default"/>
    <w:sig w:usb0="80000287" w:usb1="2ACF3C50" w:usb2="00000016" w:usb3="00000000" w:csb0="0004001F" w:csb1="00000000"/>
  </w:font>
  <w:font w:name="仿宋_GB2312">
    <w:altName w:val="仿宋"/>
    <w:panose1 w:val="02010609030101010101"/>
    <w:charset w:val="86" w:characterSet="ISO-8859-1"/>
    <w:family w:val="modern"/>
    <w:pitch w:val="default"/>
    <w:sig w:usb0="00000000" w:usb1="00000000" w:usb2="00000000" w:usb3="00000000" w:csb0="00040000" w:csb1="00000000"/>
  </w:font>
  <w:font w:name="Courier New">
    <w:panose1 w:val="02070309020205020404"/>
    <w:charset w:val="01" w:characterSet="ISO-8859-1"/>
    <w:family w:val="modern"/>
    <w:pitch w:val="default"/>
    <w:sig w:usb0="E0002EFF" w:usb1="C0007843" w:usb2="00000009" w:usb3="00000000" w:csb0="400001FF" w:csb1="FFFF0000"/>
  </w:font>
  <w:font w:name="楷体">
    <w:panose1 w:val="02010609060101010101"/>
    <w:charset w:val="86" w:characterSet="ISO-8859-1"/>
    <w:family w:val="auto"/>
    <w:pitch w:val="default"/>
    <w:sig w:usb0="800002BF" w:usb1="38CF7CFA" w:usb2="00000016" w:usb3="00000000" w:csb0="00040001" w:csb1="00000000"/>
  </w:font>
  <w:font w:name="Times New Roman">
    <w:panose1 w:val="02020603050405020304"/>
    <w:charset w:val="80" w:characterSet="ISO-8859-1"/>
    <w:family w:val="auto"/>
    <w:pitch w:val="default"/>
    <w:sig w:usb0="E0002EFF" w:usb1="C000785B" w:usb2="00000009" w:usb3="00000000" w:csb0="400001FF" w:csb1="FFFF0000"/>
  </w:font>
  <w:font w:name="宋体">
    <w:panose1 w:val="02010600030101010101"/>
    <w:charset w:val="50" w:characterSet="ISO-8859-1"/>
    <w:family w:val="auto"/>
    <w:pitch w:val="default"/>
    <w:sig w:usb0="00000203" w:usb1="288F0000" w:usb2="0000000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Calibri">
    <w:panose1 w:val="020F0502020204030204"/>
    <w:charset w:val="00" w:characterSet="ISO-8859-1"/>
    <w:family w:val="swiss"/>
    <w:pitch w:val="default"/>
    <w:sig w:usb0="E4002EFF" w:usb1="C000247B" w:usb2="00000009" w:usb3="00000000" w:csb0="200001FF" w:csb1="00000000"/>
  </w:font>
  <w:font w:name="Arial">
    <w:panose1 w:val="020B0604020202020204"/>
    <w:charset w:val="01" w:characterSet="ISO-8859-1"/>
    <w:family w:val="swiss"/>
    <w:pitch w:val="default"/>
    <w:sig w:usb0="E0002EFF" w:usb1="C000785B" w:usb2="00000009" w:usb3="00000000" w:csb0="400001FF" w:csb1="FFFF0000"/>
  </w:font>
  <w:font w:name="楷体_GB2312">
    <w:altName w:val="楷体"/>
    <w:panose1 w:val="02010609030101010101"/>
    <w:charset w:val="86" w:characterSet="ISO-8859-1"/>
    <w:family w:val="modern"/>
    <w:pitch w:val="default"/>
    <w:sig w:usb0="00000000" w:usb1="00000000" w:usb2="00000000" w:usb3="00000000" w:csb0="00040000" w:csb1="00000000"/>
  </w:font>
  <w:font w:name="Wingdings">
    <w:panose1 w:val="05000000000000000000"/>
    <w:charset w:val="02" w:characterSet="ISO-8859-1"/>
    <w:family w:val="auto"/>
    <w:pitch w:val="default"/>
    <w:sig w:usb0="00000000" w:usb1="00000000" w:usb2="00000000" w:usb3="00000000" w:csb0="80000000" w:csb1="00000000"/>
  </w:font>
  <w:font w:name="黑体">
    <w:panose1 w:val="02010609060101010101"/>
    <w:charset w:val="86" w:characterSet="ISO-8859-1"/>
    <w:family w:val="auto"/>
    <w:pitch w:val="default"/>
    <w:sig w:usb0="800002BF" w:usb1="38CF7CFA" w:usb2="00000016" w:usb3="00000000" w:csb0="00040001" w:csb1="0000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0f"/>
      <w:rPr/>
    </w:pPr>
    <w:r>
      <w:rPr>
        <w:sz w:val="18"/>
      </w:rPr>
      <w:drawing>
        <wp:anchor distT="0" distB="0" distL="114300" distR="114300" simplePos="false" relativeHeight="25166028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92" name="文本框 3"/>
          <wp:cNvGraphicFramePr/>
          <a:graphic>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00000f"/>
                        <w:rPr/>
                      </w:pPr>
                      <w:r>
                        <w:rPr/>
                        <w:fldChar w:fldCharType="begin"/>
                      </w:r>
                      <w:r>
                        <w:rPr/>
                        <w:instrText xml:space="preserve"> PAGE  \* MERGEFORMAT </w:instrText>
                      </w:r>
                      <w:r>
                        <w:rPr/>
                        <w:fldChar w:fldCharType="separate"/>
                      </w:r>
                      <w:r>
                        <w:rPr/>
                        <w:t>1</w:t>
                      </w:r>
                      <w:r>
                        <w:rPr/>
                        <w:fldChar w:fldCharType="end"/>
                      </w:r>
                    </w:p>
                  </w:txbxContent>
                </wps:txbx>
                <wps:bodyPr rot="0" spcFirstLastPara="false" vertOverflow="overflow" horzOverflow="overflow" vert="horz" wrap="none" lIns="0" tIns="0" rIns="0" bIns="0" numCol="1" spcCol="0" rtlCol="false" fromWordArt="false" anchor="t" anchorCtr="false" forceAA="false" upright="false" compatLnSpc="true">
                  <a:spAutoFit/>
                </wps:bodyPr>
              </wps:wsp>
            </a:graphicData>
          </a:graphic>
        </wp:anchor>
      </w:drawing>
    </w:r>
  </w:p>
</w:ftr>
</file>

<file path=word/footnotes.xml><?xml version="1.0" encoding="utf-8"?>
<w:footnotes xmlns:w="http://schemas.openxmlformats.org/wordprocessingml/2006/main">
  <w:footnote w:type="continuationSeparator" w:id="1">
    <w:p>
      <w:pPr>
        <w:spacing w:line="240" w:lineRule="auto"/>
        <w:rPr/>
      </w:pPr>
      <w:r>
        <w:rPr/>
        <w:continuationSeparator/>
      </w:r>
    </w:p>
  </w:footnote>
  <w:footnote w:type="separator" w:id="0">
    <w:p>
      <w:pPr>
        <w:spacing w:line="240" w:lineRule="auto"/>
        <w:rPr/>
      </w:pPr>
      <w:r>
        <w:rPr/>
        <w:separator/>
      </w:r>
    </w:p>
  </w:footnote>
</w:footnotes>
</file>

<file path=word/settings.xml><?xml version="1.0" encoding="utf-8"?>
<w:settings xmlns:w="http://schemas.openxmlformats.org/wordprocessingml/2006/main">
  <w:zoom w:percent="100"/>
  <w:embedSystemFonts/>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doNotFlipMirrorIndents" w:uri="http://schemas.microsoft.com/office/word" w:val="1"/>
    <w:compatSetting w:name="overrideTableStyleFontSizeAndJustification" w:uri="http://schemas.microsoft.com/office/word" w:val="1"/>
    <w:compatSetting w:name="enableOpenTypeFeatures" w:uri="http://schemas.microsoft.com/office/word" w:val="1"/>
  </w:compat>
  <w:docVars>
    <w:docVar w:name="commondata" w:val="eyJoZGlkIjoiNTcyYjdlYzJmZmM5MjgxM2FiMTg0MDhiYjQ1ZTA2N2YifQ=="/>
    <w:docVar w:name="KSO_WPS_MARK_KEY" w:val="74114926-c3c3-48e1-ab3c-148467b7437e"/>
  </w:docVars>
  <w:rsids>
    <w:rsidRoot w:val="00000000"/>
    <w:rsid w:val="00000871"/>
    <w:rsid w:val="00276E33"/>
    <w:rsid w:val="003A6B66"/>
    <w:rsid w:val="007F6C6F"/>
    <w:rsid w:val="00AA3CEC"/>
    <w:rsid w:val="00BF0E19"/>
    <w:rsid w:val="00F00AF2"/>
    <w:rsid w:val="00F86A1F"/>
    <w:rsid w:val="00FF56BA"/>
    <w:rsid w:val="011854D6"/>
    <w:rsid w:val="01233A9E"/>
    <w:rsid w:val="01590227"/>
    <w:rsid w:val="017405AF"/>
    <w:rsid w:val="01A2719B"/>
    <w:rsid w:val="02785724"/>
    <w:rsid w:val="028125AD"/>
    <w:rsid w:val="028669F8"/>
    <w:rsid w:val="030E5A2F"/>
    <w:rsid w:val="03766107"/>
    <w:rsid w:val="03B31109"/>
    <w:rsid w:val="03EF5EB9"/>
    <w:rsid w:val="047B1719"/>
    <w:rsid w:val="049F51EA"/>
    <w:rsid w:val="053E00D1"/>
    <w:rsid w:val="058F1702"/>
    <w:rsid w:val="05A87C8C"/>
    <w:rsid w:val="05AD007F"/>
    <w:rsid w:val="05D666A6"/>
    <w:rsid w:val="05EB4D05"/>
    <w:rsid w:val="0622270A"/>
    <w:rsid w:val="066E1317"/>
    <w:rsid w:val="072D2F81"/>
    <w:rsid w:val="07612484"/>
    <w:rsid w:val="08017F69"/>
    <w:rsid w:val="089B216C"/>
    <w:rsid w:val="08A234FA"/>
    <w:rsid w:val="08AA23AF"/>
    <w:rsid w:val="08B31F1F"/>
    <w:rsid w:val="09104908"/>
    <w:rsid w:val="09293C1C"/>
    <w:rsid w:val="093920B1"/>
    <w:rsid w:val="093F0D49"/>
    <w:rsid w:val="099F4BAF"/>
    <w:rsid w:val="09E85885"/>
    <w:rsid w:val="0A5F5B47"/>
    <w:rsid w:val="0A882AFE"/>
    <w:rsid w:val="0ACA55BE"/>
    <w:rsid w:val="0B3643CE"/>
    <w:rsid w:val="0C1F6495"/>
    <w:rsid w:val="0CA710DF"/>
    <w:rsid w:val="0CE42333"/>
    <w:rsid w:val="0CFB142B"/>
    <w:rsid w:val="0DA815B3"/>
    <w:rsid w:val="0DFF01A7"/>
    <w:rsid w:val="0E0F5966"/>
    <w:rsid w:val="0E2A765C"/>
    <w:rsid w:val="0E325320"/>
    <w:rsid w:val="0E7771D7"/>
    <w:rsid w:val="0EF40828"/>
    <w:rsid w:val="0F38025F"/>
    <w:rsid w:val="0F9E1CEC"/>
    <w:rsid w:val="0FA55526"/>
    <w:rsid w:val="10262C63"/>
    <w:rsid w:val="113D0264"/>
    <w:rsid w:val="11D861DF"/>
    <w:rsid w:val="11DD2029"/>
    <w:rsid w:val="11ED4408"/>
    <w:rsid w:val="121A05A5"/>
    <w:rsid w:val="130D1EB8"/>
    <w:rsid w:val="132F795F"/>
    <w:rsid w:val="133728C5"/>
    <w:rsid w:val="13707696"/>
    <w:rsid w:val="137B4E47"/>
    <w:rsid w:val="13F319E8"/>
    <w:rsid w:val="13FB7F63"/>
    <w:rsid w:val="14116861"/>
    <w:rsid w:val="144933C4"/>
    <w:rsid w:val="14A32263"/>
    <w:rsid w:val="14AA20B4"/>
    <w:rsid w:val="14E05AD6"/>
    <w:rsid w:val="151E7BE7"/>
    <w:rsid w:val="155B515D"/>
    <w:rsid w:val="15747FCD"/>
    <w:rsid w:val="15D45137"/>
    <w:rsid w:val="163836F0"/>
    <w:rsid w:val="163D0D06"/>
    <w:rsid w:val="16534086"/>
    <w:rsid w:val="16574965"/>
    <w:rsid w:val="166B68BC"/>
    <w:rsid w:val="166C09FE"/>
    <w:rsid w:val="16897AA8"/>
    <w:rsid w:val="170535D2"/>
    <w:rsid w:val="17C04584"/>
    <w:rsid w:val="17D95B0F"/>
    <w:rsid w:val="18123EA2"/>
    <w:rsid w:val="18270379"/>
    <w:rsid w:val="18846779"/>
    <w:rsid w:val="1A156DAE"/>
    <w:rsid w:val="1A1846E1"/>
    <w:rsid w:val="1A424B3D"/>
    <w:rsid w:val="1A452F93"/>
    <w:rsid w:val="1A705206"/>
    <w:rsid w:val="1A8707A2"/>
    <w:rsid w:val="1A9315F3"/>
    <w:rsid w:val="1AC27A2C"/>
    <w:rsid w:val="1ACD08AB"/>
    <w:rsid w:val="1B1A33C4"/>
    <w:rsid w:val="1B6A5707"/>
    <w:rsid w:val="1B7A0CC2"/>
    <w:rsid w:val="1BBF5DF0"/>
    <w:rsid w:val="1BEA2D97"/>
    <w:rsid w:val="1BEB1F58"/>
    <w:rsid w:val="1C817B9F"/>
    <w:rsid w:val="1CE95744"/>
    <w:rsid w:val="1D531DAF"/>
    <w:rsid w:val="1E1E766F"/>
    <w:rsid w:val="1E9E4585"/>
    <w:rsid w:val="1EC41FC5"/>
    <w:rsid w:val="1EF205A4"/>
    <w:rsid w:val="1F026649"/>
    <w:rsid w:val="1F0C3210"/>
    <w:rsid w:val="1F4871EC"/>
    <w:rsid w:val="1FB5190D"/>
    <w:rsid w:val="201C7BDE"/>
    <w:rsid w:val="204719C1"/>
    <w:rsid w:val="206C2DC3"/>
    <w:rsid w:val="209459C7"/>
    <w:rsid w:val="213F0657"/>
    <w:rsid w:val="217512E3"/>
    <w:rsid w:val="226338A3"/>
    <w:rsid w:val="23A14683"/>
    <w:rsid w:val="23BE3486"/>
    <w:rsid w:val="23D56D8B"/>
    <w:rsid w:val="23DB7500"/>
    <w:rsid w:val="244905A6"/>
    <w:rsid w:val="24977834"/>
    <w:rsid w:val="24A26904"/>
    <w:rsid w:val="24BC729A"/>
    <w:rsid w:val="24EE4B38"/>
    <w:rsid w:val="24F06F8E"/>
    <w:rsid w:val="25080F6A"/>
    <w:rsid w:val="25381095"/>
    <w:rsid w:val="253B4663"/>
    <w:rsid w:val="25542B36"/>
    <w:rsid w:val="259605E0"/>
    <w:rsid w:val="25F84A15"/>
    <w:rsid w:val="26235823"/>
    <w:rsid w:val="26377520"/>
    <w:rsid w:val="269C55D5"/>
    <w:rsid w:val="269F1099"/>
    <w:rsid w:val="279278A0"/>
    <w:rsid w:val="280451E0"/>
    <w:rsid w:val="2838132E"/>
    <w:rsid w:val="283F16DD"/>
    <w:rsid w:val="284D7A15"/>
    <w:rsid w:val="2859082E"/>
    <w:rsid w:val="28C8445F"/>
    <w:rsid w:val="28DE0127"/>
    <w:rsid w:val="295220ED"/>
    <w:rsid w:val="29AD2DF9"/>
    <w:rsid w:val="29E4176D"/>
    <w:rsid w:val="2A0E0598"/>
    <w:rsid w:val="2A4C284B"/>
    <w:rsid w:val="2A9F5694"/>
    <w:rsid w:val="2B202325"/>
    <w:rsid w:val="2B6C37C8"/>
    <w:rsid w:val="2B844FB6"/>
    <w:rsid w:val="2BFD08C4"/>
    <w:rsid w:val="2C4C35F9"/>
    <w:rsid w:val="2C525485"/>
    <w:rsid w:val="2C680433"/>
    <w:rsid w:val="2CA60F5C"/>
    <w:rsid w:val="2CDF7FCA"/>
    <w:rsid w:val="2D664671"/>
    <w:rsid w:val="2D7A1670"/>
    <w:rsid w:val="2D990F72"/>
    <w:rsid w:val="2DC87FA5"/>
    <w:rsid w:val="2E320542"/>
    <w:rsid w:val="2F8E3583"/>
    <w:rsid w:val="2FFD2D9D"/>
    <w:rsid w:val="303932A5"/>
    <w:rsid w:val="30444D13"/>
    <w:rsid w:val="31644EEA"/>
    <w:rsid w:val="317732C2"/>
    <w:rsid w:val="3246740A"/>
    <w:rsid w:val="32827D75"/>
    <w:rsid w:val="328C4750"/>
    <w:rsid w:val="32B515DD"/>
    <w:rsid w:val="33071375"/>
    <w:rsid w:val="33185FE3"/>
    <w:rsid w:val="3337290D"/>
    <w:rsid w:val="3422536C"/>
    <w:rsid w:val="346F60D7"/>
    <w:rsid w:val="34931537"/>
    <w:rsid w:val="34AB04B7"/>
    <w:rsid w:val="35260DFF"/>
    <w:rsid w:val="35E06B6A"/>
    <w:rsid w:val="35F26FC0"/>
    <w:rsid w:val="369E5C39"/>
    <w:rsid w:val="36FD79CA"/>
    <w:rsid w:val="37737C8C"/>
    <w:rsid w:val="37C52BDE"/>
    <w:rsid w:val="37DE7398"/>
    <w:rsid w:val="383C09C6"/>
    <w:rsid w:val="384C5A92"/>
    <w:rsid w:val="38696D18"/>
    <w:rsid w:val="386E0C42"/>
    <w:rsid w:val="38D570C3"/>
    <w:rsid w:val="38ED4133"/>
    <w:rsid w:val="394C4C39"/>
    <w:rsid w:val="3960579A"/>
    <w:rsid w:val="397F0B6A"/>
    <w:rsid w:val="39C944DB"/>
    <w:rsid w:val="39E21E54"/>
    <w:rsid w:val="3A254889"/>
    <w:rsid w:val="3A993EAE"/>
    <w:rsid w:val="3ABD5E67"/>
    <w:rsid w:val="3B922EDF"/>
    <w:rsid w:val="3BA526F6"/>
    <w:rsid w:val="3BEC0297"/>
    <w:rsid w:val="3C027033"/>
    <w:rsid w:val="3C8446EA"/>
    <w:rsid w:val="3D0F66A9"/>
    <w:rsid w:val="3D8F1598"/>
    <w:rsid w:val="3DC01751"/>
    <w:rsid w:val="3DF80EEB"/>
    <w:rsid w:val="3F185CE9"/>
    <w:rsid w:val="3F3276DC"/>
    <w:rsid w:val="3F565EE8"/>
    <w:rsid w:val="3F8418F6"/>
    <w:rsid w:val="3FA94B93"/>
    <w:rsid w:val="3FE73128"/>
    <w:rsid w:val="400E49F6"/>
    <w:rsid w:val="40300E10"/>
    <w:rsid w:val="409A6AE6"/>
    <w:rsid w:val="40D75730"/>
    <w:rsid w:val="40F97472"/>
    <w:rsid w:val="41061B71"/>
    <w:rsid w:val="413D1BB0"/>
    <w:rsid w:val="41475031"/>
    <w:rsid w:val="415832F8"/>
    <w:rsid w:val="419E1093"/>
    <w:rsid w:val="41C2018E"/>
    <w:rsid w:val="41D852BC"/>
    <w:rsid w:val="41ED05C6"/>
    <w:rsid w:val="42312C1E"/>
    <w:rsid w:val="42894808"/>
    <w:rsid w:val="42A9218F"/>
    <w:rsid w:val="42AF56AF"/>
    <w:rsid w:val="4352404F"/>
    <w:rsid w:val="437454B8"/>
    <w:rsid w:val="43B62A59"/>
    <w:rsid w:val="43B753A5"/>
    <w:rsid w:val="43DD111E"/>
    <w:rsid w:val="449F0313"/>
    <w:rsid w:val="453749EF"/>
    <w:rsid w:val="4545387C"/>
    <w:rsid w:val="45B24076"/>
    <w:rsid w:val="45BB22F1"/>
    <w:rsid w:val="46072613"/>
    <w:rsid w:val="46210CC6"/>
    <w:rsid w:val="462C66C9"/>
    <w:rsid w:val="465F41FD"/>
    <w:rsid w:val="469240A5"/>
    <w:rsid w:val="46FB3202"/>
    <w:rsid w:val="474E2E70"/>
    <w:rsid w:val="47A5361A"/>
    <w:rsid w:val="47E946A7"/>
    <w:rsid w:val="47FE76D1"/>
    <w:rsid w:val="4805359A"/>
    <w:rsid w:val="48757D08"/>
    <w:rsid w:val="48833275"/>
    <w:rsid w:val="48D12A65"/>
    <w:rsid w:val="4965742B"/>
    <w:rsid w:val="49CE4465"/>
    <w:rsid w:val="4A196CF5"/>
    <w:rsid w:val="4A431740"/>
    <w:rsid w:val="4B667DDC"/>
    <w:rsid w:val="4BAA3732"/>
    <w:rsid w:val="4C5D5CF6"/>
    <w:rsid w:val="4CBE2E20"/>
    <w:rsid w:val="4CFE5C0C"/>
    <w:rsid w:val="4D325C6C"/>
    <w:rsid w:val="4D7A7B6F"/>
    <w:rsid w:val="4D8600A4"/>
    <w:rsid w:val="4D8C4B13"/>
    <w:rsid w:val="4D930C30"/>
    <w:rsid w:val="4DA47DE9"/>
    <w:rsid w:val="4E0F02B7"/>
    <w:rsid w:val="4EB1136E"/>
    <w:rsid w:val="4F1920A0"/>
    <w:rsid w:val="4F691C49"/>
    <w:rsid w:val="4F812059"/>
    <w:rsid w:val="4F983C1B"/>
    <w:rsid w:val="4FA709C3"/>
    <w:rsid w:val="4FAC3EAB"/>
    <w:rsid w:val="50007ACD"/>
    <w:rsid w:val="500B41B1"/>
    <w:rsid w:val="50240068"/>
    <w:rsid w:val="50252D29"/>
    <w:rsid w:val="503F0996"/>
    <w:rsid w:val="50515E4B"/>
    <w:rsid w:val="50EA6DB9"/>
    <w:rsid w:val="50FE76EC"/>
    <w:rsid w:val="51165913"/>
    <w:rsid w:val="5118277B"/>
    <w:rsid w:val="513A1AEF"/>
    <w:rsid w:val="514E559A"/>
    <w:rsid w:val="51791EEB"/>
    <w:rsid w:val="519C6BF2"/>
    <w:rsid w:val="51FC55B1"/>
    <w:rsid w:val="52342D13"/>
    <w:rsid w:val="523D0814"/>
    <w:rsid w:val="52642B9B"/>
    <w:rsid w:val="53D855EF"/>
    <w:rsid w:val="541C0185"/>
    <w:rsid w:val="543C3357"/>
    <w:rsid w:val="546D5D37"/>
    <w:rsid w:val="547A7D75"/>
    <w:rsid w:val="54C47921"/>
    <w:rsid w:val="54DE7D82"/>
    <w:rsid w:val="560650D6"/>
    <w:rsid w:val="560A5808"/>
    <w:rsid w:val="56443BC7"/>
    <w:rsid w:val="56C500AD"/>
    <w:rsid w:val="577477EE"/>
    <w:rsid w:val="57A2219C"/>
    <w:rsid w:val="57A91349"/>
    <w:rsid w:val="57CC7219"/>
    <w:rsid w:val="5A47527D"/>
    <w:rsid w:val="5A6E45B7"/>
    <w:rsid w:val="5AA1498D"/>
    <w:rsid w:val="5AE54EDC"/>
    <w:rsid w:val="5B6D486F"/>
    <w:rsid w:val="5B932866"/>
    <w:rsid w:val="5BCA7F13"/>
    <w:rsid w:val="5C1F54B9"/>
    <w:rsid w:val="5C6E089F"/>
    <w:rsid w:val="5CBB0025"/>
    <w:rsid w:val="5CEF46C8"/>
    <w:rsid w:val="5D0255A9"/>
    <w:rsid w:val="5D215911"/>
    <w:rsid w:val="5D982B15"/>
    <w:rsid w:val="5DD82F19"/>
    <w:rsid w:val="5E155921"/>
    <w:rsid w:val="5E4D0988"/>
    <w:rsid w:val="5E6F6B50"/>
    <w:rsid w:val="5E816FDD"/>
    <w:rsid w:val="5E987E55"/>
    <w:rsid w:val="5EBA4D17"/>
    <w:rsid w:val="5EDE1337"/>
    <w:rsid w:val="5F222469"/>
    <w:rsid w:val="5F357D99"/>
    <w:rsid w:val="5F6D46B6"/>
    <w:rsid w:val="5F93686E"/>
    <w:rsid w:val="5F994316"/>
    <w:rsid w:val="5FA30C8D"/>
    <w:rsid w:val="5FEF0574"/>
    <w:rsid w:val="5FFC716E"/>
    <w:rsid w:val="600960BD"/>
    <w:rsid w:val="600E201D"/>
    <w:rsid w:val="60591866"/>
    <w:rsid w:val="605F052B"/>
    <w:rsid w:val="61313E32"/>
    <w:rsid w:val="613A51F3"/>
    <w:rsid w:val="61655E91"/>
    <w:rsid w:val="618B5A4F"/>
    <w:rsid w:val="61DD02D7"/>
    <w:rsid w:val="61F60880"/>
    <w:rsid w:val="631A2B9C"/>
    <w:rsid w:val="632F68AE"/>
    <w:rsid w:val="635C3B47"/>
    <w:rsid w:val="639037F0"/>
    <w:rsid w:val="63A64DC2"/>
    <w:rsid w:val="63AF7503"/>
    <w:rsid w:val="64882719"/>
    <w:rsid w:val="64A01811"/>
    <w:rsid w:val="64E831B8"/>
    <w:rsid w:val="651E6BDA"/>
    <w:rsid w:val="65702D9F"/>
    <w:rsid w:val="65921AA2"/>
    <w:rsid w:val="65D75707"/>
    <w:rsid w:val="6618187B"/>
    <w:rsid w:val="661F0E5C"/>
    <w:rsid w:val="66456B14"/>
    <w:rsid w:val="66C11F13"/>
    <w:rsid w:val="67391614"/>
    <w:rsid w:val="67E704B4"/>
    <w:rsid w:val="68127258"/>
    <w:rsid w:val="686139AD"/>
    <w:rsid w:val="68A70650"/>
    <w:rsid w:val="696077C1"/>
    <w:rsid w:val="699F76FF"/>
    <w:rsid w:val="69CE6E20"/>
    <w:rsid w:val="6A132060"/>
    <w:rsid w:val="6B364C7D"/>
    <w:rsid w:val="6B3D4C00"/>
    <w:rsid w:val="6B9419A4"/>
    <w:rsid w:val="6BC77FCB"/>
    <w:rsid w:val="6BE41585"/>
    <w:rsid w:val="6C1256EA"/>
    <w:rsid w:val="6C1476AE"/>
    <w:rsid w:val="6C3A254B"/>
    <w:rsid w:val="6CAB169B"/>
    <w:rsid w:val="6CBE2DF9"/>
    <w:rsid w:val="6D050DAB"/>
    <w:rsid w:val="6D46375B"/>
    <w:rsid w:val="6D967C55"/>
    <w:rsid w:val="6DAA54AF"/>
    <w:rsid w:val="6DC413FE"/>
    <w:rsid w:val="6E076D69"/>
    <w:rsid w:val="6E62222D"/>
    <w:rsid w:val="6E7F14AD"/>
    <w:rsid w:val="6E89242D"/>
    <w:rsid w:val="6EE449F0"/>
    <w:rsid w:val="6F253543"/>
    <w:rsid w:val="6F926B42"/>
    <w:rsid w:val="6FC52A74"/>
    <w:rsid w:val="6FDE4B71"/>
    <w:rsid w:val="710769A7"/>
    <w:rsid w:val="71B66B18"/>
    <w:rsid w:val="72604CD6"/>
    <w:rsid w:val="72DF5BFA"/>
    <w:rsid w:val="72F62F44"/>
    <w:rsid w:val="7304539B"/>
    <w:rsid w:val="731B5B01"/>
    <w:rsid w:val="735544D4"/>
    <w:rsid w:val="735E3EDB"/>
    <w:rsid w:val="73B74C9B"/>
    <w:rsid w:val="73D239B1"/>
    <w:rsid w:val="73D2750D"/>
    <w:rsid w:val="73E84818"/>
    <w:rsid w:val="741A77EC"/>
    <w:rsid w:val="742D4BB0"/>
    <w:rsid w:val="744523D5"/>
    <w:rsid w:val="745B7503"/>
    <w:rsid w:val="74A907A6"/>
    <w:rsid w:val="74AE1682"/>
    <w:rsid w:val="74B17A6A"/>
    <w:rsid w:val="752C70F1"/>
    <w:rsid w:val="7548217D"/>
    <w:rsid w:val="75846F2D"/>
    <w:rsid w:val="75BC66C7"/>
    <w:rsid w:val="75ED4AD2"/>
    <w:rsid w:val="76034BED"/>
    <w:rsid w:val="76601FDC"/>
    <w:rsid w:val="76B4114C"/>
    <w:rsid w:val="774553A6"/>
    <w:rsid w:val="776F591B"/>
    <w:rsid w:val="77B24750"/>
    <w:rsid w:val="77C81353"/>
    <w:rsid w:val="77D01FB6"/>
    <w:rsid w:val="78484242"/>
    <w:rsid w:val="7872306D"/>
    <w:rsid w:val="78E55401"/>
    <w:rsid w:val="78F41CD4"/>
    <w:rsid w:val="79E20842"/>
    <w:rsid w:val="79F00974"/>
    <w:rsid w:val="79FC7092"/>
    <w:rsid w:val="7A2E133F"/>
    <w:rsid w:val="7A682979"/>
    <w:rsid w:val="7B66217C"/>
    <w:rsid w:val="7B762E74"/>
    <w:rsid w:val="7BDA1655"/>
    <w:rsid w:val="7BE81FC4"/>
    <w:rsid w:val="7BF344C5"/>
    <w:rsid w:val="7BFD5343"/>
    <w:rsid w:val="7C1D1542"/>
    <w:rsid w:val="7C6815AF"/>
    <w:rsid w:val="7CD460A4"/>
    <w:rsid w:val="7CDB5685"/>
    <w:rsid w:val="7D237AA8"/>
    <w:rsid w:val="7DD547CA"/>
    <w:rsid w:val="7DF05680"/>
    <w:rsid w:val="7E3B648D"/>
    <w:rsid w:val="7E67175F"/>
    <w:rsid w:val="7EE12CFA"/>
    <w:rsid w:val="7F0C1437"/>
    <w:rsid w:val="7F3472CE"/>
    <w:rsid w:val="7F5434CC"/>
    <w:rsid w:val="7F71399A"/>
    <w:rsid w:val="7F7E1C1E"/>
    <w:rsid w:val="7FB6418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false" w:defUIPriority="99" w:defSemiHidden="true" w:defUnhideWhenUsed="true" w:defQFormat="false" w:count="260">
    <w:lsdException w:name="E-mail Signature" w:uiPriority="0" w:semiHidden="false" w:unhideWhenUsed="false"/>
    <w:lsdException w:name="Table Grid 8" w:uiPriority="0" w:semiHidden="false" w:unhideWhenUsed="false"/>
    <w:lsdException w:name="Medium List 1 Accent 1" w:uiPriority="65" w:semiHidden="false" w:unhideWhenUsed="false"/>
    <w:lsdException w:name="HTML Variable" w:uiPriority="0" w:semiHidden="false" w:unhideWhenUsed="false"/>
    <w:lsdException w:name="Table 3D effects 2" w:uiPriority="0" w:semiHidden="false" w:unhideWhenUsed="false"/>
    <w:lsdException w:name="Table Grid 1" w:uiPriority="0" w:semiHidden="false" w:unhideWhenUsed="false"/>
    <w:lsdException w:name="Light Grid Accent 5" w:uiPriority="62" w:semiHidden="false" w:unhideWhenUsed="false"/>
    <w:lsdException w:name="annotation reference" w:uiPriority="0" w:semiHidden="false" w:unhideWhenUsed="false"/>
    <w:lsdException w:name="Medium Grid 1 Accent 1" w:uiPriority="67" w:semiHidden="false" w:unhideWhenUsed="false"/>
    <w:lsdException w:name="Medium Grid 3 Accent 3" w:uiPriority="69" w:semiHidden="false" w:unhideWhenUsed="false"/>
    <w:lsdException w:name="toa heading" w:uiPriority="0" w:semiHidden="false" w:unhideWhenUsed="false"/>
    <w:lsdException w:name="Signature" w:uiPriority="0" w:semiHidden="false" w:unhideWhenUsed="false"/>
    <w:lsdException w:name="Colorful Shading Accent 1" w:uiPriority="71" w:semiHidden="false" w:unhideWhenUsed="false"/>
    <w:lsdException w:name="index 5" w:uiPriority="0" w:semiHidden="false" w:unhideWhenUsed="false"/>
    <w:lsdException w:name="Medium Shading 2 Accent 2" w:uiPriority="64" w:semiHidden="false" w:unhideWhenUsed="false"/>
    <w:lsdException w:name="List Bullet 4" w:uiPriority="0" w:semiHidden="false" w:unhideWhenUsed="false"/>
    <w:lsdException w:name="List Continue 2" w:uiPriority="0" w:semiHidden="false" w:unhideWhenUsed="false"/>
    <w:lsdException w:name="table of authorities" w:uiPriority="0" w:semiHidden="false" w:unhideWhenUsed="false"/>
    <w:lsdException w:name="Medium Shading 1" w:uiPriority="63" w:semiHidden="false" w:unhideWhenUsed="false"/>
    <w:lsdException w:name="Light Grid Accent 2" w:uiPriority="62" w:semiHidden="false" w:unhideWhenUsed="false"/>
    <w:lsdException w:name="index 1" w:uiPriority="0" w:semiHidden="false" w:unhideWhenUsed="false"/>
    <w:lsdException w:name="Colorful Grid Accent 5" w:uiPriority="73" w:semiHidden="false" w:unhideWhenUsed="false"/>
    <w:lsdException w:name="Medium Shading 1 Accent 3" w:uiPriority="63" w:semiHidden="false" w:unhideWhenUsed="false"/>
    <w:lsdException w:name="Colorful Grid" w:uiPriority="73" w:semiHidden="false" w:unhideWhenUsed="false"/>
    <w:lsdException w:name="Light Shading Accent 3" w:uiPriority="60" w:semiHidden="false" w:unhideWhenUsed="false"/>
    <w:lsdException w:name="List Bullet 5" w:uiPriority="0" w:semiHidden="false" w:unhideWhenUsed="false"/>
    <w:lsdException w:name="Medium List 1 Accent 5" w:uiPriority="65" w:semiHidden="false" w:unhideWhenUsed="false"/>
    <w:lsdException w:name="List Number 5" w:uiPriority="0" w:semiHidden="false" w:unhideWhenUsed="false"/>
    <w:lsdException w:name="toc 2" w:uiPriority="39" w:semiHidden="false" w:unhideWhenUsed="false" w:qFormat="true"/>
    <w:lsdException w:name="Light List" w:uiPriority="61" w:semiHidden="false" w:unhideWhenUsed="false"/>
    <w:lsdException w:name="heading 5" w:uiPriority="0" w:qFormat="true"/>
    <w:lsdException w:name="toc 1" w:uiPriority="39" w:semiHidden="false" w:unhideWhenUsed="false" w:qFormat="true"/>
    <w:lsdException w:name="Dark List Accent 6" w:uiPriority="70" w:semiHidden="false" w:unhideWhenUsed="false"/>
    <w:lsdException w:name="Medium Grid 2 Accent 2" w:uiPriority="68" w:semiHidden="false" w:unhideWhenUsed="false"/>
    <w:lsdException w:name="Medium Grid 1 Accent 6" w:uiPriority="67" w:semiHidden="false" w:unhideWhenUsed="false"/>
    <w:lsdException w:name="Medium List 1" w:uiPriority="65" w:semiHidden="false" w:unhideWhenUsed="false"/>
    <w:lsdException w:name="Document Map" w:uiPriority="0" w:semiHidden="false" w:unhideWhenUsed="false"/>
    <w:lsdException w:name="Medium Grid 1 Accent 3" w:uiPriority="67" w:semiHidden="false" w:unhideWhenUsed="false"/>
    <w:lsdException w:name="Body Text Indent" w:uiPriority="99" w:semiHidden="false" w:unhideWhenUsed="false" w:qFormat="true"/>
    <w:lsdException w:name="Dark List Accent 4" w:uiPriority="70" w:semiHidden="false" w:unhideWhenUsed="false"/>
    <w:lsdException w:name="heading 6" w:uiPriority="0" w:qFormat="true"/>
    <w:lsdException w:name="Date" w:uiPriority="0" w:semiHidden="false" w:unhideWhenUsed="false"/>
    <w:lsdException w:name="Medium Grid 3" w:uiPriority="69" w:semiHidden="false" w:unhideWhenUsed="false"/>
    <w:lsdException w:name="Medium Shading 1 Accent 1" w:uiPriority="63" w:semiHidden="false" w:unhideWhenUsed="false"/>
    <w:lsdException w:name="Colorful Grid Accent 6" w:uiPriority="73" w:semiHidden="false" w:unhideWhenUsed="false"/>
    <w:lsdException w:name="Body Text" w:uiPriority="99" w:semiHidden="false" w:unhideWhenUsed="false" w:qFormat="true"/>
    <w:lsdException w:name="Body Text First Indent 2" w:uiPriority="99" w:semiHidden="false" w:unhideWhenUsed="false" w:qFormat="true"/>
    <w:lsdException w:name="Colorful List Accent 1" w:uiPriority="72" w:semiHidden="false" w:unhideWhenUsed="false"/>
    <w:lsdException w:name="Table Grid 7" w:uiPriority="0" w:semiHidden="false" w:unhideWhenUsed="false"/>
    <w:lsdException w:name="Table Grid 3" w:uiPriority="0" w:semiHidden="false" w:unhideWhenUsed="false"/>
    <w:lsdException w:name="Colorful List Accent 4" w:uiPriority="72" w:semiHidden="false" w:unhideWhenUsed="false"/>
    <w:lsdException w:name="heading 3" w:uiPriority="9" w:semiHidden="false" w:unhideWhenUsed="false" w:qFormat="true"/>
    <w:lsdException w:name="List 4" w:uiPriority="0" w:semiHidden="false" w:unhideWhenUsed="false"/>
    <w:lsdException w:name="heading 4" w:uiPriority="0" w:qFormat="true"/>
    <w:lsdException w:name="footer" w:uiPriority="99" w:semiHidden="false" w:unhideWhenUsed="false" w:qFormat="true"/>
    <w:lsdException w:name="heading 9" w:uiPriority="0" w:qFormat="true"/>
    <w:lsdException w:name="Medium Shading 1 Accent 6" w:uiPriority="63" w:semiHidden="false" w:unhideWhenUsed="false"/>
    <w:lsdException w:name="Body Text 2" w:uiPriority="99" w:semiHidden="false" w:unhideWhenUsed="false" w:qFormat="true"/>
    <w:lsdException w:name="annotation subject" w:uiPriority="0" w:semiHidden="false" w:unhideWhenUsed="false"/>
    <w:lsdException w:name="Medium Shading 1 Accent 5" w:uiPriority="63" w:semiHidden="false" w:unhideWhenUsed="false"/>
    <w:lsdException w:name="heading 2" w:uiPriority="9" w:semiHidden="false" w:unhideWhenUsed="false" w:qFormat="true"/>
    <w:lsdException w:name="Table List 2" w:uiPriority="0" w:semiHidden="false" w:unhideWhenUsed="false"/>
    <w:lsdException w:name="List Number" w:uiPriority="0" w:semiHidden="false" w:unhideWhenUsed="false"/>
    <w:lsdException w:name="HTML Preformatted" w:uiPriority="0" w:semiHidden="false" w:unhideWhenUsed="false"/>
    <w:lsdException w:name="Colorful Grid Accent 2" w:uiPriority="73" w:semiHidden="false" w:unhideWhenUsed="false"/>
    <w:lsdException w:name="toc 6" w:uiPriority="0" w:semiHidden="false" w:unhideWhenUsed="false"/>
    <w:lsdException w:name="Table Contemporary" w:uiPriority="0" w:semiHidden="false" w:unhideWhenUsed="false"/>
    <w:lsdException w:name="Medium Shading 2 Accent 3" w:uiPriority="64" w:semiHidden="false" w:unhideWhenUsed="false"/>
    <w:lsdException w:name="Medium Shading 2 Accent 4" w:uiPriority="64" w:semiHidden="false" w:unhideWhenUsed="false"/>
    <w:lsdException w:name="HTML Address" w:uiPriority="0" w:semiHidden="false" w:unhideWhenUsed="false"/>
    <w:lsdException w:name="HTML Sample" w:uiPriority="0" w:semiHidden="false" w:unhideWhenUsed="false"/>
    <w:lsdException w:name="Light Shading Accent 5" w:uiPriority="60" w:semiHidden="false" w:unhideWhenUsed="false"/>
    <w:lsdException w:name="envelope address" w:uiPriority="0" w:semiHidden="false" w:unhideWhenUsed="false"/>
    <w:lsdException w:name="List Number 2" w:uiPriority="0" w:semiHidden="false" w:unhideWhenUsed="false"/>
    <w:lsdException w:name="Emphasis" w:uiPriority="0" w:semiHidden="false" w:unhideWhenUsed="false" w:qFormat="true"/>
    <w:lsdException w:name="Medium List 2 Accent 4" w:uiPriority="66" w:semiHidden="false" w:unhideWhenUsed="false"/>
    <w:lsdException w:name="Table Grid 6" w:uiPriority="0" w:semiHidden="false" w:unhideWhenUsed="false"/>
    <w:lsdException w:name="index 3" w:uiPriority="0" w:semiHidden="false" w:unhideWhenUsed="false"/>
    <w:lsdException w:name="Balloon Text" w:uiPriority="0" w:semiHidden="false" w:unhideWhenUsed="false"/>
    <w:lsdException w:name="HTML Code" w:uiPriority="0" w:semiHidden="false" w:unhideWhenUsed="false"/>
    <w:lsdException w:name="List 2" w:uiPriority="0" w:semiHidden="false" w:unhideWhenUsed="false"/>
    <w:lsdException w:name="caption" w:uiPriority="0" w:qFormat="true"/>
    <w:lsdException w:name="Light Grid" w:uiPriority="62" w:semiHidden="false" w:unhideWhenUsed="false"/>
    <w:lsdException w:name="Table 3D effects 3" w:uiPriority="0" w:semiHidden="false" w:unhideWhenUsed="false"/>
    <w:lsdException w:name="Table Columns 4" w:uiPriority="0" w:semiHidden="false" w:unhideWhenUsed="false"/>
    <w:lsdException w:name="Dark List Accent 5" w:uiPriority="70" w:semiHidden="false" w:unhideWhenUsed="false"/>
    <w:lsdException w:name="Light List Accent 2" w:uiPriority="61" w:semiHidden="false" w:unhideWhenUsed="false"/>
    <w:lsdException w:name="Colorful Shading" w:uiPriority="71" w:semiHidden="false" w:unhideWhenUsed="false"/>
    <w:lsdException w:name="macro" w:uiPriority="0" w:semiHidden="false" w:unhideWhenUsed="false"/>
    <w:lsdException w:name="List Bullet" w:uiPriority="0" w:semiHidden="false" w:unhideWhenUsed="false"/>
    <w:lsdException w:name="Medium List 2 Accent 3" w:uiPriority="66" w:semiHidden="false" w:unhideWhenUsed="false"/>
    <w:lsdException w:name="line number" w:uiPriority="0" w:semiHidden="false" w:unhideWhenUsed="false"/>
    <w:lsdException w:name="Table Web 3" w:uiPriority="0" w:semiHidden="false" w:unhideWhenUsed="false"/>
    <w:lsdException w:name="HTML Acronym" w:uiPriority="0" w:semiHidden="false" w:unhideWhenUsed="false"/>
    <w:lsdException w:name="Table Subtle 1" w:uiPriority="0" w:semiHidden="false" w:unhideWhenUsed="false"/>
    <w:lsdException w:name="index 7" w:uiPriority="0" w:semiHidden="false" w:unhideWhenUsed="false"/>
    <w:lsdException w:name="Light Shading Accent 1" w:uiPriority="60" w:semiHidden="false" w:unhideWhenUsed="false"/>
    <w:lsdException w:name="Table Simple 3" w:uiPriority="0" w:semiHidden="false" w:unhideWhenUsed="false"/>
    <w:lsdException w:name="heading 8" w:uiPriority="0" w:qFormat="true"/>
    <w:lsdException w:name="Default Paragraph Font" w:uiPriority="1" w:semiHidden="false" w:unhideWhenUsed="false" w:qFormat="true"/>
    <w:lsdException w:name="Light List Accent 3" w:uiPriority="61" w:semiHidden="false" w:unhideWhenUsed="false"/>
    <w:lsdException w:name="toc 7" w:uiPriority="0" w:semiHidden="false" w:unhideWhenUsed="false"/>
    <w:lsdException w:name="index heading" w:uiPriority="0" w:semiHidden="false" w:unhideWhenUsed="false"/>
    <w:lsdException w:name="toc 8" w:uiPriority="0" w:semiHidden="false" w:unhideWhenUsed="false"/>
    <w:lsdException w:name="FollowedHyperlink" w:uiPriority="0" w:semiHidden="false" w:unhideWhenUsed="false"/>
    <w:lsdException w:name="index 9" w:uiPriority="0" w:semiHidden="false" w:unhideWhenUsed="false"/>
    <w:lsdException w:name="Table Simple 2" w:uiPriority="0" w:semiHidden="false" w:unhideWhenUsed="false"/>
    <w:lsdException w:name="Dark List Accent 3" w:uiPriority="70" w:semiHidden="false" w:unhideWhenUsed="false"/>
    <w:lsdException w:name="Plain Text" w:uiPriority="0" w:semiHidden="false" w:unhideWhenUsed="false"/>
    <w:lsdException w:name="Colorful Shading Accent 2" w:uiPriority="71" w:semiHidden="false" w:unhideWhenUsed="false"/>
    <w:lsdException w:name="envelope return" w:uiPriority="99" w:semiHidden="false" w:unhideWhenUsed="false" w:qFormat="true"/>
    <w:lsdException w:name="Table Grid 5" w:uiPriority="0" w:semiHidden="false" w:unhideWhenUsed="false"/>
    <w:lsdException w:name="Medium List 1 Accent 6" w:uiPriority="65" w:semiHidden="false" w:unhideWhenUsed="false"/>
    <w:lsdException w:name="footnote text" w:uiPriority="0" w:semiHidden="false" w:unhideWhenUsed="false"/>
    <w:lsdException w:name="endnote text" w:uiPriority="0" w:semiHidden="false" w:unhideWhenUsed="false"/>
    <w:lsdException w:name="Closing" w:uiPriority="0" w:semiHidden="false" w:unhideWhenUsed="false"/>
    <w:lsdException w:name="footnote reference" w:uiPriority="0" w:semiHidden="false" w:unhideWhenUsed="false"/>
    <w:lsdException w:name="Dark List Accent 2" w:uiPriority="70" w:semiHidden="false" w:unhideWhenUsed="false"/>
    <w:lsdException w:name="Colorful Shading Accent 3" w:uiPriority="71" w:semiHidden="false" w:unhideWhenUsed="false"/>
    <w:lsdException w:name="List 3" w:uiPriority="0" w:semiHidden="false" w:unhideWhenUsed="false"/>
    <w:lsdException w:name="Colorful Shading Accent 4" w:uiPriority="71" w:semiHidden="false" w:unhideWhenUsed="false"/>
    <w:lsdException w:name="Table Classic 4" w:uiPriority="0" w:semiHidden="false" w:unhideWhenUsed="false"/>
    <w:lsdException w:name="Table List 3" w:uiPriority="0" w:semiHidden="false" w:unhideWhenUsed="false"/>
    <w:lsdException w:name="Medium Shading 1 Accent 2" w:uiPriority="63" w:semiHidden="false" w:unhideWhenUsed="false"/>
    <w:lsdException w:name="Salutation" w:uiPriority="0" w:semiHidden="false" w:unhideWhenUsed="false"/>
    <w:lsdException w:name="index 8" w:uiPriority="0" w:semiHidden="false" w:unhideWhenUsed="false"/>
    <w:lsdException w:name="Light List Accent 6" w:uiPriority="61" w:semiHidden="false" w:unhideWhenUsed="false"/>
    <w:lsdException w:name="List" w:uiPriority="0" w:semiHidden="false" w:unhideWhenUsed="false"/>
    <w:lsdException w:name="Medium List 2 Accent 5" w:uiPriority="66" w:semiHidden="false" w:unhideWhenUsed="false"/>
    <w:lsdException w:name="annotation text" w:uiPriority="99" w:semiHidden="false" w:unhideWhenUsed="false" w:qFormat="true"/>
    <w:lsdException w:name="Table Columns 1" w:uiPriority="0" w:semiHidden="false" w:unhideWhenUsed="false"/>
    <w:lsdException w:name="List 5" w:uiPriority="0" w:semiHidden="false" w:unhideWhenUsed="false"/>
    <w:lsdException w:name="List Continue 4" w:uiPriority="0" w:semiHidden="false" w:unhideWhenUsed="false"/>
    <w:lsdException w:name="header" w:uiPriority="99" w:semiHidden="false" w:unhideWhenUsed="false" w:qFormat="true"/>
    <w:lsdException w:name="Colorful List Accent 6" w:uiPriority="72" w:semiHidden="false" w:unhideWhenUsed="false"/>
    <w:lsdException w:name="Table List 6" w:uiPriority="0" w:semiHidden="false" w:unhideWhenUsed="false"/>
    <w:lsdException w:name="Colorful List" w:uiPriority="72" w:semiHidden="false" w:unhideWhenUsed="false"/>
    <w:lsdException w:name="Subtitle" w:uiPriority="0" w:semiHidden="false" w:unhideWhenUsed="false" w:qFormat="true"/>
    <w:lsdException w:name="Medium Grid 2 Accent 1" w:uiPriority="68" w:semiHidden="false" w:unhideWhenUsed="false"/>
    <w:lsdException w:name="Table Web 2" w:uiPriority="0" w:semiHidden="false" w:unhideWhenUsed="false"/>
    <w:lsdException w:name="Table Classic 1" w:uiPriority="0" w:semiHidden="false" w:unhideWhenUsed="false"/>
    <w:lsdException w:name="Body Text 3" w:uiPriority="0" w:semiHidden="false" w:unhideWhenUsed="false"/>
    <w:lsdException w:name="toc 3" w:uiPriority="0" w:semiHidden="false" w:unhideWhenUsed="false"/>
    <w:lsdException w:name="Medium Shading 2 Accent 6" w:uiPriority="64" w:semiHidden="false" w:unhideWhenUsed="false"/>
    <w:lsdException w:name="Medium Grid 2" w:uiPriority="68" w:semiHidden="false" w:unhideWhenUsed="false"/>
    <w:lsdException w:name="Light Shading Accent 2" w:uiPriority="60" w:semiHidden="false" w:unhideWhenUsed="false"/>
    <w:lsdException w:name="Normal Table" w:uiPriority="99" w:semiHidden="false" w:unhideWhenUsed="false" w:qFormat="true"/>
    <w:lsdException w:name="Light List Accent 4" w:uiPriority="61" w:semiHidden="false" w:unhideWhenUsed="false"/>
    <w:lsdException w:name="Medium List 2 Accent 6" w:uiPriority="66" w:semiHidden="false" w:unhideWhenUsed="false"/>
    <w:lsdException w:name="Table Grid" w:uiPriority="39" w:semiHidden="false" w:unhideWhenUsed="false" w:qFormat="true"/>
    <w:lsdException w:name="Medium Grid 2 Accent 6" w:uiPriority="68" w:semiHidden="false" w:unhideWhenUsed="false"/>
    <w:lsdException w:name="List Continue" w:uiPriority="0" w:semiHidden="false" w:unhideWhenUsed="false"/>
    <w:lsdException w:name="heading 1" w:uiPriority="9" w:semiHidden="false" w:unhideWhenUsed="false" w:qFormat="true"/>
    <w:lsdException w:name="Table List 8" w:uiPriority="0" w:semiHidden="false" w:unhideWhenUsed="false"/>
    <w:lsdException w:name="Medium Shading 1 Accent 4" w:uiPriority="63" w:semiHidden="false" w:unhideWhenUsed="false"/>
    <w:lsdException w:name="Table Columns 2" w:uiPriority="0" w:semiHidden="false" w:unhideWhenUsed="false"/>
    <w:lsdException w:name="List Bullet 2" w:uiPriority="0" w:semiHidden="false" w:unhideWhenUsed="false"/>
    <w:lsdException w:name="toc 4" w:uiPriority="0" w:semiHidden="false" w:unhideWhenUsed="false"/>
    <w:lsdException w:name="HTML Typewriter" w:uiPriority="0" w:semiHidden="false" w:unhideWhenUsed="false"/>
    <w:lsdException w:name="Medium Grid 1" w:uiPriority="67" w:semiHidden="false" w:unhideWhenUsed="false"/>
    <w:lsdException w:name="Light List Accent 1" w:uiPriority="61" w:semiHidden="false" w:unhideWhenUsed="false"/>
    <w:lsdException w:name="toc 5" w:uiPriority="0" w:semiHidden="false" w:unhideWhenUsed="false"/>
    <w:lsdException w:name="Medium Grid 3 Accent 2" w:uiPriority="69" w:semiHidden="false" w:unhideWhenUsed="false"/>
    <w:lsdException w:name="Table Theme" w:uiPriority="0" w:semiHidden="false" w:unhideWhenUsed="false"/>
    <w:lsdException w:name="Body Text First Indent" w:uiPriority="0" w:semiHidden="false" w:unhideWhenUsed="false"/>
    <w:lsdException w:name="Normal (Web)" w:uiPriority="99" w:semiHidden="false" w:unhideWhenUsed="false" w:qFormat="true"/>
    <w:lsdException w:name="endnote reference" w:uiPriority="0" w:semiHidden="false" w:unhideWhenUsed="false"/>
    <w:lsdException w:name="HTML Definition" w:uiPriority="0" w:semiHidden="false" w:unhideWhenUsed="false"/>
    <w:lsdException w:name="Body Text Indent 3" w:uiPriority="0" w:semiHidden="false" w:unhideWhenUsed="false"/>
    <w:lsdException w:name="Medium List 1 Accent 3" w:uiPriority="65" w:semiHidden="false" w:unhideWhenUsed="false"/>
    <w:lsdException w:name="Medium Grid 1 Accent 5" w:uiPriority="67" w:semiHidden="false" w:unhideWhenUsed="false"/>
    <w:lsdException w:name="List Bullet 3" w:uiPriority="0" w:semiHidden="false" w:unhideWhenUsed="false"/>
    <w:lsdException w:name="Table Columns 5" w:uiPriority="0" w:semiHidden="false" w:unhideWhenUsed="false"/>
    <w:lsdException w:name="Medium Grid 1 Accent 4" w:uiPriority="67" w:semiHidden="false" w:unhideWhenUsed="false"/>
    <w:lsdException w:name="Hyperlink" w:uiPriority="99" w:semiHidden="false" w:unhideWhenUsed="false" w:qFormat="true"/>
    <w:lsdException w:name="Table List 1" w:uiPriority="0" w:semiHidden="false" w:unhideWhenUsed="false"/>
    <w:lsdException w:name="Body Text Indent 2" w:uiPriority="0" w:semiHidden="false" w:unhideWhenUsed="false"/>
    <w:lsdException w:name="Table Grid 4" w:uiPriority="0" w:semiHidden="false" w:unhideWhenUsed="false"/>
    <w:lsdException w:name="Colorful Grid Accent 3" w:uiPriority="73" w:semiHidden="false" w:unhideWhenUsed="false"/>
    <w:lsdException w:name="Medium Shading 2 Accent 5" w:uiPriority="64" w:semiHidden="false" w:unhideWhenUsed="false"/>
    <w:lsdException w:name="Table Columns 3" w:uiPriority="0" w:semiHidden="false" w:unhideWhenUsed="false"/>
    <w:lsdException w:name="Block Text" w:uiPriority="0" w:semiHidden="false" w:unhideWhenUsed="false"/>
    <w:lsdException w:name="Table Elegant" w:uiPriority="0" w:semiHidden="false" w:unhideWhenUsed="false"/>
    <w:lsdException w:name="Light Grid Accent 3" w:uiPriority="62" w:semiHidden="false" w:unhideWhenUsed="false"/>
    <w:lsdException w:name="page number" w:uiPriority="0" w:semiHidden="false" w:unhideWhenUsed="false"/>
    <w:lsdException w:name="toc 9" w:uiPriority="0" w:semiHidden="false" w:unhideWhenUsed="false"/>
    <w:lsdException w:name="Colorful Shading Accent 6" w:uiPriority="71" w:semiHidden="false" w:unhideWhenUsed="false"/>
    <w:lsdException w:name="List Paragraph" w:uiPriority="1" w:semiHidden="false" w:unhideWhenUsed="false" w:qFormat="true"/>
    <w:lsdException w:name="Table List 5" w:uiPriority="0" w:semiHidden="false" w:unhideWhenUsed="false"/>
    <w:lsdException w:name="index 2" w:uiPriority="0" w:semiHidden="false" w:unhideWhenUsed="false"/>
    <w:lsdException w:name="Colorful Grid Accent 4" w:uiPriority="73" w:semiHidden="false" w:unhideWhenUsed="false"/>
    <w:lsdException w:name="Light Shading Accent 6" w:uiPriority="60" w:semiHidden="false" w:unhideWhenUsed="false"/>
    <w:lsdException w:name="List Continue 5" w:uiPriority="0" w:semiHidden="false" w:unhideWhenUsed="false"/>
    <w:lsdException w:name="Light Shading" w:uiPriority="60" w:semiHidden="false" w:unhideWhenUsed="false"/>
    <w:lsdException w:name="Table Colorful 3" w:uiPriority="0" w:semiHidden="false" w:unhideWhenUsed="false"/>
    <w:lsdException w:name="Medium Shading 2 Accent 1" w:uiPriority="64" w:semiHidden="false" w:unhideWhenUsed="false"/>
    <w:lsdException w:name="Normal Indent" w:uiPriority="0" w:semiHidden="false" w:unhideWhenUsed="false"/>
    <w:lsdException w:name="Strong" w:uiPriority="22" w:semiHidden="false" w:unhideWhenUsed="false" w:qFormat="true"/>
    <w:lsdException w:name="HTML Keyboard" w:uiPriority="0" w:semiHidden="false" w:unhideWhenUsed="false"/>
    <w:lsdException w:name="index 6" w:uiPriority="0" w:semiHidden="false" w:unhideWhenUsed="false"/>
    <w:lsdException w:name="Colorful List Accent 5" w:uiPriority="72" w:semiHidden="false" w:unhideWhenUsed="false"/>
    <w:lsdException w:name="Medium Grid 3 Accent 4" w:uiPriority="69" w:semiHidden="false" w:unhideWhenUsed="false"/>
    <w:lsdException w:name="Dark List" w:uiPriority="70" w:semiHidden="false" w:unhideWhenUsed="false"/>
    <w:lsdException w:name="Table Simple 1" w:uiPriority="0" w:semiHidden="false" w:unhideWhenUsed="false"/>
    <w:lsdException w:name="Table Classic 2" w:uiPriority="0" w:semiHidden="false" w:unhideWhenUsed="false"/>
    <w:lsdException w:name="Medium Grid 3 Accent 5" w:uiPriority="69" w:semiHidden="false" w:unhideWhenUsed="false"/>
    <w:lsdException w:name="Colorful Grid Accent 1" w:uiPriority="73" w:semiHidden="false" w:unhideWhenUsed="false"/>
    <w:lsdException w:name="Table Colorful 1" w:uiPriority="0" w:semiHidden="false" w:unhideWhenUsed="false"/>
    <w:lsdException w:name="Light Shading Accent 4" w:uiPriority="60" w:semiHidden="false" w:unhideWhenUsed="false"/>
    <w:lsdException w:name="Medium Grid 2 Accent 5" w:uiPriority="68" w:semiHidden="false" w:unhideWhenUsed="false"/>
    <w:lsdException w:name="Medium Grid 2 Accent 4" w:uiPriority="68" w:semiHidden="false" w:unhideWhenUsed="false"/>
    <w:lsdException w:name="Table List 7" w:uiPriority="0" w:semiHidden="false" w:unhideWhenUsed="false"/>
    <w:lsdException w:name="Table Colorful 2" w:uiPriority="0" w:semiHidden="false" w:unhideWhenUsed="false"/>
    <w:lsdException w:name="Medium List 2" w:uiPriority="66" w:semiHidden="false" w:unhideWhenUsed="false"/>
    <w:lsdException w:name="Normal" w:uiPriority="0" w:semiHidden="false" w:unhideWhenUsed="false" w:qFormat="true"/>
    <w:lsdException w:name="Message Header" w:uiPriority="0" w:semiHidden="false" w:unhideWhenUsed="false"/>
    <w:lsdException w:name="Light Grid Accent 6" w:uiPriority="62" w:semiHidden="false" w:unhideWhenUsed="false"/>
    <w:lsdException w:name="Medium Grid 2 Accent 3" w:uiPriority="68" w:semiHidden="false" w:unhideWhenUsed="false"/>
    <w:lsdException w:name="Table Grid 2" w:uiPriority="0" w:semiHidden="false" w:unhideWhenUsed="false"/>
    <w:lsdException w:name="Table Professional" w:uiPriority="0" w:semiHidden="false" w:unhideWhenUsed="false"/>
    <w:lsdException w:name="List Number 3" w:uiPriority="0" w:semiHidden="false" w:unhideWhenUsed="false"/>
    <w:lsdException w:name="HTML Cite" w:uiPriority="0" w:semiHidden="false" w:unhideWhenUsed="false"/>
    <w:lsdException w:name="Medium Shading 2" w:uiPriority="64" w:semiHidden="false" w:unhideWhenUsed="false"/>
    <w:lsdException w:name="Dark List Accent 1" w:uiPriority="70" w:semiHidden="false" w:unhideWhenUsed="false"/>
    <w:lsdException w:name="List Number 4" w:uiPriority="0" w:semiHidden="false" w:unhideWhenUsed="false"/>
    <w:lsdException w:name="Colorful Shading Accent 5" w:uiPriority="71" w:semiHidden="false" w:unhideWhenUsed="false"/>
    <w:lsdException w:name="Medium List 2 Accent 2" w:uiPriority="66" w:semiHidden="false" w:unhideWhenUsed="false"/>
    <w:lsdException w:name="Medium Grid 3 Accent 1" w:uiPriority="69" w:semiHidden="false" w:unhideWhenUsed="false"/>
    <w:lsdException w:name="Light List Accent 5" w:uiPriority="61" w:semiHidden="false" w:unhideWhenUsed="false"/>
    <w:lsdException w:name="Table 3D effects 1" w:uiPriority="0" w:semiHidden="false" w:unhideWhenUsed="false"/>
    <w:lsdException w:name="Table Classic 3" w:uiPriority="0" w:semiHidden="false" w:unhideWhenUsed="false"/>
    <w:lsdException w:name="Medium List 2 Accent 1" w:uiPriority="66" w:semiHidden="false" w:unhideWhenUsed="false"/>
    <w:lsdException w:name="Table Subtle 2" w:uiPriority="0" w:semiHidden="false" w:unhideWhenUsed="false"/>
    <w:lsdException w:name="Light Grid Accent 4" w:uiPriority="62" w:semiHidden="false" w:unhideWhenUsed="false"/>
    <w:lsdException w:name="heading 7" w:uiPriority="0" w:qFormat="true"/>
    <w:lsdException w:name="Note Heading" w:uiPriority="0" w:semiHidden="false" w:unhideWhenUsed="false"/>
    <w:lsdException w:name="Medium List 1 Accent 4" w:uiPriority="65" w:semiHidden="false" w:unhideWhenUsed="false"/>
    <w:lsdException w:name="table of figures" w:uiPriority="0" w:semiHidden="false" w:unhideWhenUsed="false"/>
    <w:lsdException w:name="Medium List 1 Accent 2" w:uiPriority="65" w:semiHidden="false" w:unhideWhenUsed="false"/>
    <w:lsdException w:name="Medium Grid 3 Accent 6" w:uiPriority="69" w:semiHidden="false" w:unhideWhenUsed="false"/>
    <w:lsdException w:name="index 4" w:uiPriority="0" w:semiHidden="false" w:unhideWhenUsed="false"/>
    <w:lsdException w:name="List Continue 3" w:uiPriority="0" w:semiHidden="false" w:unhideWhenUsed="false"/>
    <w:lsdException w:name="Colorful List Accent 2" w:uiPriority="72" w:semiHidden="false" w:unhideWhenUsed="false"/>
    <w:lsdException w:name="Colorful List Accent 3" w:uiPriority="72" w:semiHidden="false" w:unhideWhenUsed="false"/>
    <w:lsdException w:name="Table Web 1" w:uiPriority="0" w:semiHidden="false" w:unhideWhenUsed="false"/>
    <w:lsdException w:name="Light Grid Accent 1" w:uiPriority="62" w:semiHidden="false" w:unhideWhenUsed="false"/>
    <w:lsdException w:name="Table List 4" w:uiPriority="0" w:semiHidden="false" w:unhideWhenUsed="false"/>
    <w:lsdException w:name="Medium Grid 1 Accent 2" w:uiPriority="67" w:semiHidden="false" w:unhideWhenUsed="false"/>
    <w:lsdException w:name="Title" w:uiPriority="0" w:semiHidden="false" w:unhideWhenUsed="false" w:qFormat="true"/>
  </w:latentStyles>
  <w:style w:type="paragraph" w:styleId="00001b" w:customStyle="true">
    <w:name w:val="硕士学位论文"/>
    <w:basedOn w:val="000005"/>
    <w:autoRedefine/>
    <w:uiPriority w:val="0"/>
    <w:qFormat/>
    <w:pPr>
      <w:widowControl w:val="false"/>
      <w:kinsoku/>
      <w:autoSpaceDE/>
      <w:autoSpaceDN/>
      <w:adjustRightInd/>
      <w:snapToGrid/>
      <w:spacing w:before="240" w:line="240" w:lineRule="auto"/>
      <w:jc w:val="center"/>
      <w:textAlignment w:val="auto"/>
    </w:pPr>
    <w:rPr>
      <w:rFonts w:ascii="Times New Roman" w:hAnsi="Times New Roman" w:eastAsia="宋体" w:cs="Times New Roman"/>
      <w:snapToGrid/>
      <w:kern w:val="2"/>
      <w:sz w:val="44"/>
      <w:szCs w:val="44"/>
      <w:lang w:eastAsia="zh-CN"/>
    </w:rPr>
  </w:style>
  <w:style w:type="paragraph" w:styleId="00000d">
    <w:name w:val="Body Text Indent"/>
    <w:basedOn w:val="000005"/>
    <w:next w:val="00000e"/>
    <w:autoRedefine/>
    <w:uiPriority w:val="99"/>
    <w:qFormat/>
    <w:pPr>
      <w:widowControl w:val="false"/>
      <w:kinsoku/>
      <w:autoSpaceDE/>
      <w:autoSpaceDN/>
      <w:adjustRightInd/>
      <w:snapToGrid/>
      <w:spacing w:after="120" w:line="240" w:lineRule="auto"/>
      <w:ind w:left="420" w:leftChars="200"/>
      <w:jc w:val="both"/>
      <w:textAlignment w:val="auto"/>
    </w:pPr>
    <w:rPr>
      <w:rFonts w:ascii="Calibri" w:hAnsi="Calibri" w:eastAsia="宋体" w:cs="Times New Roman"/>
      <w:snapToGrid/>
      <w:kern w:val="2"/>
      <w:sz w:val="28"/>
      <w:szCs w:val="28"/>
      <w:lang w:eastAsia="zh-CN"/>
    </w:rPr>
  </w:style>
  <w:style w:type="character" w:styleId="000021" w:customStyle="true">
    <w:name w:val="font21"/>
    <w:basedOn w:val="000009"/>
    <w:uiPriority w:val="0"/>
    <w:qFormat/>
    <w:rPr>
      <w:rFonts w:ascii="Arial" w:hAnsi="Arial" w:cs="Arial"/>
      <w:color w:val="000000"/>
      <w:sz w:val="16"/>
      <w:szCs w:val="16"/>
      <w:u w:val="none"/>
    </w:rPr>
  </w:style>
  <w:style w:type="paragraph" w:styleId="000007">
    <w:name w:val="heading 2"/>
    <w:basedOn w:val="000005"/>
    <w:next w:val="000005"/>
    <w:autoRedefine/>
    <w:uiPriority w:val="9"/>
    <w:qFormat/>
    <w:pPr>
      <w:keepNext/>
      <w:keepLines/>
      <w:spacing w:before="260" w:beforeAutospacing="false" w:after="260" w:afterAutospacing="false" w:line="413" w:lineRule="auto"/>
      <w:outlineLvl w:val="1"/>
    </w:pPr>
    <w:rPr>
      <w:rFonts w:ascii="Arial" w:hAnsi="Arial" w:eastAsia="黑体"/>
      <w:b/>
      <w:sz w:val="30"/>
    </w:rPr>
  </w:style>
  <w:style w:type="paragraph" w:styleId="00000b">
    <w:name w:val="annotation text"/>
    <w:basedOn w:val="000005"/>
    <w:autoRedefine/>
    <w:uiPriority w:val="99"/>
    <w:qFormat/>
    <w:pPr>
      <w:jc w:val="left"/>
    </w:pPr>
  </w:style>
  <w:style w:type="table" w:styleId="000016">
    <w:name w:val="Table Grid"/>
    <w:basedOn w:val="00000a"/>
    <w:autoRedefine/>
    <w:uiPriority w:val="3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000009" w:default="true">
    <w:name w:val="Default Paragraph Font"/>
    <w:autoRedefine/>
    <w:uiPriority w:val="1"/>
    <w:qFormat/>
  </w:style>
  <w:style w:type="paragraph" w:styleId="00002d" w:customStyle="true">
    <w:name w:val="Table Text"/>
    <w:basedOn w:val="000005"/>
    <w:autoRedefine/>
    <w:uiPriority w:val="0"/>
    <w:qFormat/>
    <w:rPr>
      <w:rFonts w:ascii="仿宋" w:hAnsi="仿宋" w:eastAsia="仿宋" w:cs="仿宋"/>
      <w:sz w:val="20"/>
      <w:szCs w:val="20"/>
      <w:lang w:val="en-US" w:eastAsia="en-US" w:bidi="ar-SA"/>
    </w:rPr>
  </w:style>
  <w:style w:type="paragraph" w:styleId="000015">
    <w:name w:val="Body Text First Indent 2"/>
    <w:basedOn w:val="00000d"/>
    <w:autoRedefine/>
    <w:uiPriority w:val="99"/>
    <w:qFormat/>
    <w:pPr>
      <w:spacing w:line="360" w:lineRule="auto"/>
      <w:ind w:firstLine="420"/>
    </w:pPr>
    <w:rPr>
      <w:szCs w:val="22"/>
    </w:rPr>
  </w:style>
  <w:style w:type="character" w:styleId="000026" w:customStyle="true">
    <w:name w:val="font132"/>
    <w:basedOn w:val="000009"/>
    <w:uiPriority w:val="0"/>
    <w:qFormat/>
    <w:rPr>
      <w:rFonts w:hint="default" w:ascii="Times New Roman" w:hAnsi="Times New Roman" w:cs="Times New Roman"/>
      <w:color w:val="000000"/>
      <w:sz w:val="14"/>
      <w:szCs w:val="14"/>
      <w:u w:val="none"/>
    </w:rPr>
  </w:style>
  <w:style w:type="paragraph" w:styleId="000008">
    <w:name w:val="heading 3"/>
    <w:basedOn w:val="000005"/>
    <w:next w:val="000005"/>
    <w:autoRedefine/>
    <w:uiPriority w:val="9"/>
    <w:qFormat/>
    <w:pPr>
      <w:keepNext/>
      <w:keepLines/>
      <w:spacing w:before="260" w:beforeAutospacing="false" w:after="260" w:afterAutospacing="false" w:line="413" w:lineRule="auto"/>
      <w:outlineLvl w:val="2"/>
    </w:pPr>
    <w:rPr>
      <w:rFonts w:ascii="Calibri" w:hAnsi="Calibri" w:eastAsia="黑体"/>
      <w:b/>
      <w:sz w:val="28"/>
    </w:rPr>
  </w:style>
  <w:style w:type="paragraph" w:styleId="000006">
    <w:name w:val="heading 1"/>
    <w:basedOn w:val="000005"/>
    <w:next w:val="000005"/>
    <w:autoRedefine/>
    <w:uiPriority w:val="9"/>
    <w:qFormat/>
    <w:pPr>
      <w:keepNext/>
      <w:keepLines/>
      <w:spacing w:before="340" w:beforeAutospacing="false" w:after="330" w:afterAutospacing="false" w:line="576" w:lineRule="auto"/>
      <w:outlineLvl w:val="0"/>
    </w:pPr>
    <w:rPr>
      <w:rFonts w:ascii="Calibri" w:hAnsi="Calibri" w:eastAsia="黑体"/>
      <w:b/>
      <w:kern w:val="44"/>
      <w:sz w:val="36"/>
    </w:rPr>
  </w:style>
  <w:style w:type="character" w:styleId="000027" w:customStyle="true">
    <w:name w:val="font121"/>
    <w:basedOn w:val="000009"/>
    <w:uiPriority w:val="0"/>
    <w:qFormat/>
    <w:rPr>
      <w:rFonts w:hint="eastAsia" w:ascii="宋体" w:hAnsi="宋体" w:eastAsia="宋体" w:cs="宋体"/>
      <w:color w:val="000000"/>
      <w:sz w:val="14"/>
      <w:szCs w:val="14"/>
      <w:u w:val="none"/>
    </w:rPr>
  </w:style>
  <w:style w:type="paragraph" w:styleId="000024" w:customStyle="true">
    <w:name w:val="正文11"/>
    <w:uiPriority w:val="0"/>
    <w:qFormat/>
    <w:pPr>
      <w:widowControl w:val="false"/>
      <w:spacing w:line="360" w:lineRule="auto"/>
      <w:ind w:firstLine="200" w:firstLineChars="200"/>
      <w:jc w:val="both"/>
    </w:pPr>
    <w:rPr>
      <w:rFonts w:ascii="Times New Roman" w:hAnsi="Times New Roman" w:eastAsia="宋体" w:cs="Times New Roman"/>
      <w:kern w:val="2"/>
      <w:sz w:val="28"/>
      <w:szCs w:val="32"/>
      <w:lang w:val="en-US" w:eastAsia="zh-CN" w:bidi="ar-SA"/>
    </w:rPr>
  </w:style>
  <w:style w:type="character" w:styleId="000032" w:customStyle="true">
    <w:name w:val="font141"/>
    <w:basedOn w:val="000009"/>
    <w:uiPriority w:val="0"/>
    <w:qFormat/>
    <w:rPr>
      <w:rFonts w:hint="default" w:ascii="Times New Roman" w:hAnsi="Times New Roman" w:cs="Times New Roman"/>
      <w:color w:val="000000"/>
      <w:sz w:val="14"/>
      <w:szCs w:val="14"/>
      <w:u w:val="none"/>
    </w:rPr>
  </w:style>
  <w:style w:type="paragraph" w:styleId="00001e" w:customStyle="true">
    <w:name w:val="研究生姓名"/>
    <w:basedOn w:val="000005"/>
    <w:autoRedefine/>
    <w:uiPriority w:val="0"/>
    <w:qFormat/>
    <w:pPr>
      <w:widowControl w:val="false"/>
      <w:kinsoku/>
      <w:autoSpaceDE/>
      <w:autoSpaceDN/>
      <w:adjustRightInd/>
      <w:snapToGrid/>
      <w:spacing w:line="240" w:lineRule="auto"/>
      <w:ind w:firstLine="700" w:firstLineChars="700"/>
      <w:jc w:val="both"/>
      <w:textAlignment w:val="auto"/>
    </w:pPr>
    <w:rPr>
      <w:rFonts w:ascii="Times New Roman" w:hAnsi="Times New Roman" w:eastAsia="宋体" w:cs="Times New Roman"/>
      <w:snapToGrid/>
      <w:kern w:val="2"/>
      <w:sz w:val="28"/>
      <w:szCs w:val="28"/>
      <w:lang w:eastAsia="zh-CN"/>
    </w:rPr>
  </w:style>
  <w:style w:type="character" w:styleId="000020" w:customStyle="true">
    <w:name w:val="font112"/>
    <w:basedOn w:val="000009"/>
    <w:uiPriority w:val="0"/>
    <w:qFormat/>
    <w:rPr>
      <w:rFonts w:hint="eastAsia" w:ascii="宋体" w:hAnsi="宋体" w:eastAsia="宋体" w:cs="宋体"/>
      <w:color w:val="000000"/>
      <w:sz w:val="14"/>
      <w:szCs w:val="14"/>
      <w:u w:val="none"/>
    </w:rPr>
  </w:style>
  <w:style w:type="character" w:styleId="000022" w:customStyle="true">
    <w:name w:val="font01"/>
    <w:basedOn w:val="000009"/>
    <w:autoRedefine/>
    <w:uiPriority w:val="0"/>
    <w:qFormat/>
    <w:rPr>
      <w:rFonts w:hint="eastAsia" w:ascii="宋体" w:hAnsi="宋体" w:eastAsia="宋体" w:cs="宋体"/>
      <w:color w:val="FF0000"/>
      <w:sz w:val="21"/>
      <w:szCs w:val="21"/>
      <w:u w:val="none"/>
    </w:rPr>
  </w:style>
  <w:style w:type="paragraph" w:styleId="000012">
    <w:name w:val="toc 2"/>
    <w:basedOn w:val="000005"/>
    <w:next w:val="000005"/>
    <w:autoRedefine/>
    <w:uiPriority w:val="39"/>
    <w:qFormat/>
    <w:pPr>
      <w:ind w:left="420" w:leftChars="200"/>
    </w:pPr>
  </w:style>
  <w:style w:type="character" w:styleId="000034" w:customStyle="true">
    <w:name w:val="font31"/>
    <w:basedOn w:val="000009"/>
    <w:autoRedefine/>
    <w:uiPriority w:val="0"/>
    <w:qFormat/>
    <w:rPr>
      <w:rFonts w:hint="eastAsia" w:ascii="宋体" w:hAnsi="宋体" w:eastAsia="宋体" w:cs="宋体"/>
      <w:color w:val="000000"/>
      <w:sz w:val="18"/>
      <w:szCs w:val="18"/>
      <w:u w:val="none"/>
    </w:rPr>
  </w:style>
  <w:style w:type="paragraph" w:styleId="000014">
    <w:name w:val="Normal (Web)"/>
    <w:basedOn w:val="000005"/>
    <w:autoRedefine/>
    <w:uiPriority w:val="99"/>
    <w:qFormat/>
    <w:pPr>
      <w:spacing w:before="0" w:beforeAutospacing="true" w:after="0" w:afterAutospacing="true"/>
      <w:ind w:left="0" w:right="0"/>
      <w:jc w:val="left"/>
    </w:pPr>
    <w:rPr>
      <w:kern w:val="0"/>
      <w:sz w:val="24"/>
      <w:lang w:val="en-US" w:eastAsia="zh-CN"/>
    </w:rPr>
  </w:style>
  <w:style w:type="paragraph" w:styleId="00001d" w:customStyle="true">
    <w:name w:val="WPSOffice手动目录 1"/>
    <w:autoRedefine/>
    <w:uiPriority w:val="0"/>
    <w:qFormat/>
    <w:pPr>
      <w:ind w:leftChars="0"/>
    </w:pPr>
    <w:rPr>
      <w:rFonts w:ascii="Times New Roman" w:hAnsi="Times New Roman" w:eastAsia="宋体" w:cs="Times New Roman"/>
      <w:sz w:val="20"/>
      <w:szCs w:val="20"/>
    </w:rPr>
  </w:style>
  <w:style w:type="character" w:styleId="000030" w:customStyle="true">
    <w:name w:val="font61"/>
    <w:basedOn w:val="000009"/>
    <w:autoRedefine/>
    <w:uiPriority w:val="0"/>
    <w:qFormat/>
    <w:rPr>
      <w:rFonts w:ascii="Arial" w:hAnsi="Arial" w:cs="Arial"/>
      <w:color w:val="000000"/>
      <w:sz w:val="16"/>
      <w:szCs w:val="16"/>
      <w:u w:val="none"/>
    </w:rPr>
  </w:style>
  <w:style w:type="character" w:styleId="000018">
    <w:name w:val="Hyperlink"/>
    <w:basedOn w:val="000009"/>
    <w:autoRedefine/>
    <w:uiPriority w:val="99"/>
    <w:qFormat/>
    <w:rPr>
      <w:rFonts w:ascii="Times New Roman" w:hAnsi="Times New Roman" w:eastAsia="宋体" w:cs="Times New Roman"/>
      <w:color w:val="0000FF"/>
      <w:u w:val="single"/>
    </w:rPr>
  </w:style>
  <w:style w:type="paragraph" w:styleId="00001a" w:customStyle="true">
    <w:name w:val="WPSOffice手动目录 3"/>
    <w:uiPriority w:val="0"/>
    <w:qFormat/>
    <w:pPr>
      <w:ind w:leftChars="400"/>
    </w:pPr>
    <w:rPr>
      <w:rFonts w:ascii="Times New Roman" w:hAnsi="Times New Roman" w:eastAsia="宋体" w:cs="Times New Roman"/>
      <w:sz w:val="20"/>
      <w:szCs w:val="20"/>
    </w:rPr>
  </w:style>
  <w:style w:type="paragraph" w:styleId="00000c">
    <w:name w:val="Body Text"/>
    <w:basedOn w:val="000005"/>
    <w:autoRedefine/>
    <w:uiPriority w:val="99"/>
    <w:qFormat/>
    <w:rPr>
      <w:rFonts w:ascii="Arial" w:hAnsi="Arial" w:eastAsia="Arial" w:cs="Arial"/>
      <w:sz w:val="21"/>
      <w:szCs w:val="21"/>
      <w:lang w:val="en-US" w:eastAsia="en-US" w:bidi="ar-SA"/>
    </w:rPr>
  </w:style>
  <w:style w:type="character" w:styleId="00001c" w:customStyle="true">
    <w:name w:val="font51"/>
    <w:basedOn w:val="000009"/>
    <w:autoRedefine/>
    <w:uiPriority w:val="0"/>
    <w:qFormat/>
    <w:rPr>
      <w:rFonts w:hint="default" w:ascii="Times New Roman" w:hAnsi="Times New Roman" w:cs="Times New Roman"/>
      <w:color w:val="000000"/>
      <w:sz w:val="16"/>
      <w:szCs w:val="16"/>
      <w:u w:val="none"/>
    </w:rPr>
  </w:style>
  <w:style w:type="paragraph" w:styleId="00000f">
    <w:name w:val="footer"/>
    <w:basedOn w:val="000005"/>
    <w:autoRedefine/>
    <w:uiPriority w:val="99"/>
    <w:qFormat/>
    <w:pPr>
      <w:tabs>
        <w:tab w:val="center" w:pos="4153"/>
        <w:tab w:val="right" w:pos="8306"/>
      </w:tabs>
      <w:snapToGrid w:val="false"/>
      <w:jc w:val="left"/>
    </w:pPr>
    <w:rPr>
      <w:sz w:val="18"/>
    </w:rPr>
  </w:style>
  <w:style w:type="character" w:styleId="000017">
    <w:name w:val="Strong"/>
    <w:basedOn w:val="000009"/>
    <w:autoRedefine/>
    <w:uiPriority w:val="22"/>
    <w:qFormat/>
    <w:rPr>
      <w:b/>
    </w:rPr>
  </w:style>
  <w:style w:type="character" w:styleId="000023" w:customStyle="true">
    <w:name w:val="font151"/>
    <w:basedOn w:val="000009"/>
    <w:autoRedefine/>
    <w:uiPriority w:val="0"/>
    <w:qFormat/>
    <w:rPr>
      <w:rFonts w:hint="default" w:ascii="Times New Roman" w:hAnsi="Times New Roman" w:cs="Times New Roman"/>
      <w:color w:val="000000"/>
      <w:sz w:val="14"/>
      <w:szCs w:val="14"/>
      <w:u w:val="none"/>
    </w:rPr>
  </w:style>
  <w:style w:type="paragraph" w:styleId="000028" w:customStyle="true">
    <w:name w:val="WPSOffice手动目录 2"/>
    <w:uiPriority w:val="0"/>
    <w:qFormat/>
    <w:pPr>
      <w:ind w:leftChars="200"/>
    </w:pPr>
    <w:rPr>
      <w:rFonts w:ascii="Times New Roman" w:hAnsi="Times New Roman" w:eastAsia="宋体" w:cs="Times New Roman"/>
      <w:sz w:val="20"/>
      <w:szCs w:val="20"/>
    </w:rPr>
  </w:style>
  <w:style w:type="character" w:styleId="000029" w:customStyle="true">
    <w:name w:val="font11"/>
    <w:basedOn w:val="000009"/>
    <w:autoRedefine/>
    <w:uiPriority w:val="0"/>
    <w:qFormat/>
    <w:rPr>
      <w:rFonts w:hint="eastAsia" w:ascii="宋体" w:hAnsi="宋体" w:eastAsia="宋体" w:cs="宋体"/>
      <w:color w:val="000000"/>
      <w:sz w:val="16"/>
      <w:szCs w:val="16"/>
      <w:u w:val="none"/>
    </w:rPr>
  </w:style>
  <w:style w:type="paragraph" w:styleId="00001f" w:customStyle="true">
    <w:name w:val="封面日期"/>
    <w:basedOn w:val="000005"/>
    <w:autoRedefine/>
    <w:uiPriority w:val="0"/>
    <w:qFormat/>
    <w:pPr>
      <w:widowControl w:val="false"/>
      <w:kinsoku/>
      <w:autoSpaceDE/>
      <w:autoSpaceDN/>
      <w:adjustRightInd/>
      <w:snapToGrid/>
      <w:spacing w:line="240" w:lineRule="auto"/>
      <w:jc w:val="center"/>
      <w:textAlignment w:val="auto"/>
    </w:pPr>
    <w:rPr>
      <w:rFonts w:ascii="黑体" w:hAnsi="Times New Roman" w:eastAsia="黑体" w:cs="Times New Roman"/>
      <w:snapToGrid/>
      <w:kern w:val="2"/>
      <w:sz w:val="32"/>
      <w:szCs w:val="32"/>
      <w:lang w:eastAsia="zh-CN"/>
    </w:rPr>
  </w:style>
  <w:style w:type="table" w:styleId="00000a" w:default="true">
    <w:name w:val="Normal Table"/>
    <w:autoRedefine/>
    <w:uiPriority w:val="99"/>
    <w:qFormat/>
    <w:tblPr>
      <w:tblCellMar>
        <w:top w:w="0" w:type="dxa"/>
        <w:left w:w="108" w:type="dxa"/>
        <w:bottom w:w="0" w:type="dxa"/>
        <w:right w:w="108" w:type="dxa"/>
      </w:tblCellMar>
    </w:tblPr>
  </w:style>
  <w:style w:type="paragraph" w:styleId="000011">
    <w:name w:val="toc 1"/>
    <w:basedOn w:val="000005"/>
    <w:next w:val="000005"/>
    <w:autoRedefine/>
    <w:uiPriority w:val="39"/>
    <w:qFormat/>
  </w:style>
  <w:style w:type="paragraph" w:styleId="000013">
    <w:name w:val="Body Text 2"/>
    <w:basedOn w:val="000005"/>
    <w:autoRedefine/>
    <w:uiPriority w:val="99"/>
    <w:qFormat/>
    <w:rPr>
      <w:color w:val="0000FF"/>
    </w:rPr>
  </w:style>
  <w:style w:type="paragraph" w:styleId="000010">
    <w:name w:val="header"/>
    <w:basedOn w:val="000005"/>
    <w:autoRedefine/>
    <w:uiPriority w:val="99"/>
    <w:qFormat/>
    <w:pPr>
      <w:pBdr>
        <w:top w:val="none" w:color="auto" w:sz="0" w:space="1"/>
        <w:left w:val="none" w:color="auto" w:sz="0" w:space="4"/>
        <w:bottom w:val="none" w:color="auto" w:sz="0" w:space="1"/>
        <w:right w:val="none" w:color="auto" w:sz="0" w:space="4"/>
      </w:pBdr>
      <w:tabs>
        <w:tab w:val="center" w:pos="4153"/>
        <w:tab w:val="right" w:pos="8306"/>
      </w:tabs>
      <w:snapToGrid w:val="false"/>
      <w:spacing w:line="240" w:lineRule="auto"/>
      <w:jc w:val="both"/>
      <w:outlineLvl w:val="9"/>
    </w:pPr>
    <w:rPr>
      <w:sz w:val="18"/>
    </w:rPr>
  </w:style>
  <w:style w:type="paragraph" w:styleId="000033" w:customStyle="true">
    <w:name w:val="Table Paragraph1"/>
    <w:autoRedefine/>
    <w:uiPriority w:val="1"/>
    <w:qFormat/>
    <w:pPr>
      <w:kinsoku w:val="false"/>
      <w:autoSpaceDE w:val="false"/>
      <w:autoSpaceDN w:val="false"/>
      <w:adjustRightInd w:val="false"/>
      <w:snapToGrid w:val="false"/>
      <w:spacing w:line="240" w:lineRule="auto"/>
      <w:jc w:val="center"/>
      <w:textAlignment w:val="baseline"/>
    </w:pPr>
    <w:rPr>
      <w:rFonts w:ascii="Times New Roman" w:hAnsi="Times New Roman" w:eastAsia="Times New Roman" w:cs="Times New Roman"/>
      <w:snapToGrid w:val="false"/>
      <w:color w:val="000000"/>
      <w:kern w:val="0"/>
      <w:sz w:val="21"/>
      <w:szCs w:val="21"/>
      <w:lang w:val="zh-CN" w:eastAsia="zh-CN" w:bidi="zh-CN"/>
    </w:rPr>
  </w:style>
  <w:style w:type="paragraph" w:styleId="00000e">
    <w:name w:val="envelope return"/>
    <w:basedOn w:val="000005"/>
    <w:autoRedefine/>
    <w:uiPriority w:val="99"/>
    <w:qFormat/>
    <w:pPr>
      <w:widowControl w:val="false"/>
      <w:kinsoku/>
      <w:autoSpaceDE/>
      <w:autoSpaceDN/>
      <w:adjustRightInd w:val="false"/>
      <w:snapToGrid w:val="false"/>
      <w:spacing w:line="240" w:lineRule="auto"/>
      <w:ind w:firstLine="0" w:firstLineChars="0"/>
      <w:jc w:val="both"/>
      <w:textAlignment w:val="auto"/>
    </w:pPr>
    <w:rPr>
      <w:rFonts w:ascii="Arial" w:hAnsi="Arial" w:eastAsia="宋体" w:cs="宋体"/>
      <w:snapToGrid/>
      <w:kern w:val="2"/>
      <w:szCs w:val="20"/>
      <w:lang w:eastAsia="zh-CN"/>
    </w:rPr>
  </w:style>
  <w:style w:type="paragraph" w:styleId="000036" w:customStyle="true">
    <w:name w:val="论文标题"/>
    <w:basedOn w:val="000005"/>
    <w:autoRedefine/>
    <w:uiPriority w:val="0"/>
    <w:qFormat/>
    <w:pPr>
      <w:widowControl w:val="false"/>
      <w:kinsoku/>
      <w:autoSpaceDE/>
      <w:autoSpaceDN/>
      <w:adjustRightInd/>
      <w:snapToGrid/>
      <w:spacing w:line="240" w:lineRule="auto"/>
      <w:jc w:val="center"/>
      <w:textAlignment w:val="auto"/>
    </w:pPr>
    <w:rPr>
      <w:rFonts w:ascii="Times New Roman" w:hAnsi="Times New Roman" w:eastAsia="楷体_GB2312" w:cs="Times New Roman"/>
      <w:b/>
      <w:snapToGrid/>
      <w:kern w:val="36"/>
      <w:sz w:val="52"/>
      <w:szCs w:val="52"/>
      <w:lang w:eastAsia="zh-CN"/>
    </w:rPr>
  </w:style>
  <w:style w:type="paragraph" w:styleId="00002b" w:customStyle="true">
    <w:name w:val="分类号"/>
    <w:basedOn w:val="000005"/>
    <w:autoRedefine/>
    <w:uiPriority w:val="0"/>
    <w:qFormat/>
    <w:pPr>
      <w:widowControl w:val="false"/>
      <w:kinsoku/>
      <w:autoSpaceDE/>
      <w:autoSpaceDN/>
      <w:adjustRightInd/>
      <w:snapToGrid/>
      <w:spacing w:line="240" w:lineRule="auto"/>
      <w:jc w:val="both"/>
      <w:textAlignment w:val="auto"/>
    </w:pPr>
    <w:rPr>
      <w:rFonts w:ascii="仿宋_GB2312" w:hAnsi="Times New Roman" w:eastAsia="仿宋_GB2312" w:cs="Times New Roman"/>
      <w:snapToGrid/>
      <w:kern w:val="2"/>
      <w:sz w:val="28"/>
      <w:szCs w:val="28"/>
      <w:lang w:eastAsia="zh-CN"/>
    </w:rPr>
  </w:style>
  <w:style w:type="character" w:styleId="00002a" w:customStyle="true">
    <w:name w:val="font101"/>
    <w:basedOn w:val="000009"/>
    <w:uiPriority w:val="0"/>
    <w:qFormat/>
    <w:rPr>
      <w:rFonts w:hint="default" w:ascii="Times New Roman" w:hAnsi="Times New Roman" w:cs="Times New Roman"/>
      <w:color w:val="000000"/>
      <w:sz w:val="14"/>
      <w:szCs w:val="14"/>
      <w:u w:val="none"/>
    </w:rPr>
  </w:style>
  <w:style w:type="character" w:styleId="000031" w:customStyle="true">
    <w:name w:val="font122"/>
    <w:basedOn w:val="000009"/>
    <w:autoRedefine/>
    <w:uiPriority w:val="0"/>
    <w:qFormat/>
    <w:rPr>
      <w:rFonts w:hint="eastAsia" w:ascii="宋体" w:hAnsi="宋体" w:eastAsia="宋体" w:cs="宋体"/>
      <w:color w:val="000000"/>
      <w:sz w:val="14"/>
      <w:szCs w:val="14"/>
      <w:u w:val="none"/>
    </w:rPr>
  </w:style>
  <w:style w:type="character" w:styleId="00002e" w:customStyle="true">
    <w:name w:val="font91"/>
    <w:basedOn w:val="000009"/>
    <w:uiPriority w:val="0"/>
    <w:qFormat/>
    <w:rPr>
      <w:rFonts w:hint="default" w:ascii="Times New Roman" w:hAnsi="Times New Roman" w:cs="Times New Roman"/>
      <w:color w:val="000000"/>
      <w:sz w:val="14"/>
      <w:szCs w:val="14"/>
      <w:u w:val="none"/>
    </w:rPr>
  </w:style>
  <w:style w:type="paragraph" w:styleId="000005" w:default="true">
    <w:name w:val="Normal"/>
    <w:uiPriority w:val="0"/>
    <w:qFormat/>
    <w:pPr>
      <w:kinsoku w:val="false"/>
      <w:autoSpaceDE w:val="false"/>
      <w:autoSpaceDN w:val="false"/>
      <w:adjustRightInd w:val="false"/>
      <w:snapToGrid w:val="false"/>
      <w:spacing w:line="240" w:lineRule="auto"/>
      <w:jc w:val="left"/>
      <w:textAlignment w:val="baseline"/>
    </w:pPr>
    <w:rPr>
      <w:rFonts w:ascii="Arial" w:hAnsi="Arial" w:eastAsia="Arial" w:cs="Arial"/>
      <w:snapToGrid w:val="false"/>
      <w:color w:val="000000"/>
      <w:kern w:val="0"/>
      <w:sz w:val="21"/>
      <w:szCs w:val="21"/>
      <w:lang w:val="en-US" w:eastAsia="en-US" w:bidi="ar-SA"/>
    </w:rPr>
  </w:style>
  <w:style w:type="paragraph" w:styleId="00002c">
    <w:name w:val="List Paragraph"/>
    <w:basedOn w:val="000005"/>
    <w:autoRedefine/>
    <w:uiPriority w:val="1"/>
    <w:qFormat/>
    <w:pPr>
      <w:ind w:left="220" w:firstLine="559"/>
    </w:pPr>
    <w:rPr>
      <w:rFonts w:ascii="仿宋" w:hAnsi="仿宋" w:eastAsia="仿宋" w:cs="仿宋"/>
      <w:lang w:val="zh-CN" w:eastAsia="zh-CN" w:bidi="zh-CN"/>
    </w:rPr>
  </w:style>
  <w:style w:type="character" w:styleId="000025" w:customStyle="true">
    <w:name w:val="font131"/>
    <w:basedOn w:val="000009"/>
    <w:uiPriority w:val="0"/>
    <w:qFormat/>
    <w:rPr>
      <w:rFonts w:hint="default" w:ascii="Times New Roman" w:hAnsi="Times New Roman" w:cs="Times New Roman"/>
      <w:color w:val="000000"/>
      <w:sz w:val="14"/>
      <w:szCs w:val="14"/>
      <w:u w:val="none"/>
    </w:rPr>
  </w:style>
  <w:style w:type="paragraph" w:styleId="000035" w:customStyle="true">
    <w:name w:val="Table Paragraph"/>
    <w:basedOn w:val="000005"/>
    <w:uiPriority w:val="1"/>
    <w:qFormat/>
    <w:pPr>
      <w:jc w:val="center"/>
    </w:pPr>
    <w:rPr>
      <w:rFonts w:ascii="Times New Roman" w:hAnsi="Times New Roman" w:eastAsia="Times New Roman" w:cs="Times New Roman"/>
      <w:lang w:val="zh-CN" w:eastAsia="zh-CN" w:bidi="zh-CN"/>
    </w:rPr>
  </w:style>
  <w:style w:type="character" w:styleId="000019" w:customStyle="true">
    <w:name w:val="font41"/>
    <w:basedOn w:val="000009"/>
    <w:autoRedefine/>
    <w:uiPriority w:val="0"/>
    <w:qFormat/>
    <w:rPr>
      <w:rFonts w:hint="eastAsia" w:ascii="宋体" w:hAnsi="宋体" w:eastAsia="宋体" w:cs="宋体"/>
      <w:color w:val="000000"/>
      <w:sz w:val="16"/>
      <w:szCs w:val="16"/>
      <w:u w:val="none"/>
    </w:rPr>
  </w:style>
  <w:style w:type="table" w:styleId="00002f" w:customStyle="true">
    <w:name w:val="Table Normal"/>
    <w:autoRedefine/>
    <w:uiPriority w:val="0"/>
    <w:qFormat/>
    <w:tblPr>
      <w:tblCellMar>
        <w:top w:w="0" w:type="dxa"/>
        <w:left w:w="0" w:type="dxa"/>
        <w:bottom w:w="0" w:type="dxa"/>
        <w:right w:w="0" w:type="dxa"/>
      </w:tblCellMar>
    </w:tblPr>
  </w:style>
</w:styles>
</file>

<file path=word/_rels/document.xml.rels><?xml version="1.0" encoding="UTF-8" standalone="yes"?><Relationships xmlns="http://schemas.openxmlformats.org/package/2006/relationships"><Relationship Id="rId9" Type="http://schemas.openxmlformats.org/officeDocument/2006/relationships/image" Target="media/image3.jpg" /><Relationship Id="rId8" Type="http://schemas.openxmlformats.org/officeDocument/2006/relationships/image" Target="media/image2.png" /><Relationship Id="rId4" Type="http://schemas.openxmlformats.org/officeDocument/2006/relationships/fontTable" Target="fontTable.xml" /><Relationship Id="rId34" Type="http://schemas.openxmlformats.org/officeDocument/2006/relationships/image" Target="media/image28.png" /><Relationship Id="rId32" Type="http://schemas.openxmlformats.org/officeDocument/2006/relationships/image" Target="media/image26.png" /><Relationship Id="rId28" Type="http://schemas.openxmlformats.org/officeDocument/2006/relationships/image" Target="media/image22.png" /><Relationship Id="rId27" Type="http://schemas.openxmlformats.org/officeDocument/2006/relationships/image" Target="media/image21.png" /><Relationship Id="rId26" Type="http://schemas.openxmlformats.org/officeDocument/2006/relationships/image" Target="media/image20.png" /><Relationship Id="rId25" Type="http://schemas.openxmlformats.org/officeDocument/2006/relationships/image" Target="media/image19.png" /><Relationship Id="rId24" Type="http://schemas.openxmlformats.org/officeDocument/2006/relationships/image" Target="media/image18.png" /><Relationship Id="rId23" Type="http://schemas.openxmlformats.org/officeDocument/2006/relationships/image" Target="media/image17.png" /><Relationship Id="rId13" Type="http://schemas.openxmlformats.org/officeDocument/2006/relationships/image" Target="media/image7.png" /><Relationship Id="rId0" Type="http://schemas.openxmlformats.org/officeDocument/2006/relationships/styles" Target="styles.xml" /><Relationship Id="rId11" Type="http://schemas.openxmlformats.org/officeDocument/2006/relationships/image" Target="media/image5.png" /><Relationship Id="rId6" Type="http://schemas.openxmlformats.org/officeDocument/2006/relationships/footer" Target="footer1.xml" /><Relationship Id="rId10" Type="http://schemas.openxmlformats.org/officeDocument/2006/relationships/image" Target="media/image4.jpg" /><Relationship Id="rId12" Type="http://schemas.openxmlformats.org/officeDocument/2006/relationships/image" Target="media/image6.png" /><Relationship Id="rId31" Type="http://schemas.openxmlformats.org/officeDocument/2006/relationships/image" Target="media/image25.jpg" /><Relationship Id="rId22" Type="http://schemas.openxmlformats.org/officeDocument/2006/relationships/image" Target="media/image16.png" /><Relationship Id="rId1" Type="http://schemas.openxmlformats.org/officeDocument/2006/relationships/settings" Target="settings.xml" /><Relationship Id="rId21" Type="http://schemas.openxmlformats.org/officeDocument/2006/relationships/image" Target="media/image15.png" /><Relationship Id="rId14" Type="http://schemas.openxmlformats.org/officeDocument/2006/relationships/image" Target="media/image8.png" /><Relationship Id="rId5" Type="http://schemas.openxmlformats.org/officeDocument/2006/relationships/theme" Target="theme/theme1.xml" /><Relationship Id="rId33" Type="http://schemas.openxmlformats.org/officeDocument/2006/relationships/image" Target="media/image27.png" /><Relationship Id="rId3" Type="http://schemas.openxmlformats.org/officeDocument/2006/relationships/endnotes" Target="endnotes.xml" /><Relationship Id="rId16" Type="http://schemas.openxmlformats.org/officeDocument/2006/relationships/image" Target="media/image10.png" /><Relationship Id="rId29" Type="http://schemas.openxmlformats.org/officeDocument/2006/relationships/image" Target="media/image23.jpg" /><Relationship Id="rId19" Type="http://schemas.openxmlformats.org/officeDocument/2006/relationships/image" Target="media/image13.png" /><Relationship Id="rId15" Type="http://schemas.openxmlformats.org/officeDocument/2006/relationships/image" Target="media/image9.png" /><Relationship Id="rId17" Type="http://schemas.openxmlformats.org/officeDocument/2006/relationships/image" Target="media/image11.jpg" /><Relationship Id="rId7" Type="http://schemas.openxmlformats.org/officeDocument/2006/relationships/image" Target="media/image1.png" /><Relationship Id="rId30" Type="http://schemas.openxmlformats.org/officeDocument/2006/relationships/image" Target="media/image24.png" /><Relationship Id="rId18" Type="http://schemas.openxmlformats.org/officeDocument/2006/relationships/image" Target="media/image12.jpg" /><Relationship Id="rId2" Type="http://schemas.openxmlformats.org/officeDocument/2006/relationships/footnotes" Target="footnotes.xml" /><Relationship Id="rId20" Type="http://schemas.openxmlformats.org/officeDocument/2006/relationships/image" Target="media/image1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2025-10-27T14:38:37Z</dcterms:created>
  <dcterms:modified xsi:type="dcterms:W3CDTF">2025-10-27T14:38:37Z</dcterms:modified>
</cp:coreProperties>
</file>