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Override PartName="/word/document.xml" ContentType="application/vnd.openxmlformats-officedocument.wordprocessingml.document.main+xml"/>
  <Override PartName="/docProps/app.xml" ContentType="application/vnd.openxmlformats-officedocument.extended-properti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4="http://schemas.microsoft.com/office/word/2010/wordml"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14">
  <w:body>
    <w:p>
      <w:pPr>
        <w:keepNext w:val="false"/>
        <w:keepLines w:val="false"/>
        <w:pageBreakBefore w:val="false"/>
        <w:widowControl w:val="false"/>
        <w:kinsoku/>
        <w:wordWrap/>
        <w:overflowPunct/>
        <w:topLinePunct w:val="false"/>
        <w:autoSpaceDE/>
        <w:autoSpaceDN/>
        <w:bidi w:val="false"/>
        <w:adjustRightInd/>
        <w:snapToGrid/>
        <w:spacing w:line="440" w:lineRule="exact"/>
        <w:jc w:val="center"/>
        <w:textAlignment w:val="auto"/>
        <w:outlineLvl w:val="9"/>
        <w:rPr>
          <w:rFonts w:ascii="仿宋" w:hAnsi="仿宋" w:eastAsia="仿宋" w:cs="仿宋"/>
          <w:b/>
          <w:bCs/>
          <w:sz w:val="44"/>
          <w:szCs w:val="44"/>
          <w:lang w:val="en-GB"/>
        </w:rPr>
      </w:pPr>
      <w:r>
        <w:rPr>
          <w:rFonts w:hint="eastAsia" w:ascii="仿宋" w:hAnsi="仿宋" w:eastAsia="仿宋" w:cs="仿宋"/>
          <w:b/>
          <w:bCs/>
          <w:sz w:val="44"/>
          <w:szCs w:val="44"/>
          <w:lang w:val="en-GB"/>
        </w:rPr>
        <w:t>中原银行公司类客户调查报告（通用类）</w:t>
      </w:r>
    </w:p>
    <w:p>
      <w:pPr>
        <w:pStyle w:val="00002e"/>
        <w:spacing w:line="440" w:lineRule="exact"/>
        <w:ind w:right="210" w:firstLine="4284" w:firstLineChars="2040"/>
        <w:rPr>
          <w:rFonts w:ascii="仿宋" w:hAnsi="仿宋" w:eastAsia="仿宋" w:cs="Arial"/>
          <w:szCs w:val="21"/>
        </w:rPr>
      </w:pPr>
    </w:p>
    <w:tbl>
      <w:tblPr>
        <w:tblStyle w:val="000015"/>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560"/>
        <w:gridCol w:w="2317"/>
        <w:gridCol w:w="1204"/>
        <w:gridCol w:w="1853"/>
        <w:gridCol w:w="1524"/>
      </w:tblGrid>
      <w:tr>
        <w:trPr>
          <w:trHeight w:val="599" w:hRule="atLeast"/>
          <w:jc w:val="center"/>
        </w:trPr>
        <w:tc>
          <w:tcPr>
            <w:tcW w:w="1560" w:type="dxa"/>
            <w:vMerge w:val="restart"/>
            <w:tcBorders>
              <w:right w:val="single" w:color="auto" w:sz="4" w:space="0"/>
            </w:tcBorders>
            <w:noWrap/>
            <w:vAlign w:val="center"/>
          </w:tcPr>
          <w:p>
            <w:pPr>
              <w:jc w:val="center"/>
              <w:rPr>
                <w:rFonts w:ascii="仿宋" w:hAnsi="仿宋" w:eastAsia="仿宋" w:cs="宋体"/>
                <w:b/>
                <w:color w:val="000000"/>
                <w:kern w:val="0"/>
                <w:szCs w:val="21"/>
              </w:rPr>
            </w:pPr>
            <w:r>
              <w:rPr>
                <w:rFonts w:hint="eastAsia" w:ascii="仿宋" w:hAnsi="仿宋" w:eastAsia="仿宋" w:cs="宋体"/>
                <w:b/>
                <w:color w:val="000000"/>
                <w:kern w:val="0"/>
                <w:szCs w:val="21"/>
              </w:rPr>
              <w:t>基本情况</w:t>
            </w:r>
          </w:p>
        </w:tc>
        <w:tc>
          <w:tcPr>
            <w:tcW w:w="2317" w:type="dxa"/>
            <w:tcBorders>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客户名称</w:t>
            </w:r>
          </w:p>
        </w:tc>
        <w:tc>
          <w:tcPr>
            <w:tcW w:w="1204" w:type="dxa"/>
            <w:tcBorders>
              <w:left w:val="nil"/>
              <w:bottom w:val="single" w:color="auto" w:sz="4" w:space="0"/>
              <w:right w:val="single" w:color="auto" w:sz="4" w:space="0"/>
            </w:tcBorders>
            <w:noWrap/>
            <w:vAlign w:val="center"/>
          </w:tcPr>
          <w:p>
            <w:pPr>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bidi="ar"/>
              </w:rPr>
              <w:t>河南中原智慧冷链物流园管理运营有限公司</w:t>
            </w:r>
          </w:p>
        </w:tc>
        <w:tc>
          <w:tcPr>
            <w:tcW w:w="1853" w:type="dxa"/>
            <w:tcBorders>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申报单位</w:t>
            </w:r>
          </w:p>
        </w:tc>
        <w:tc>
          <w:tcPr>
            <w:tcW w:w="1524" w:type="dxa"/>
            <w:tcBorders>
              <w:left w:val="nil"/>
              <w:bottom w:val="single" w:color="auto" w:sz="4" w:space="0"/>
            </w:tcBorders>
            <w:noWrap/>
            <w:vAlign w:val="center"/>
          </w:tcPr>
          <w:p>
            <w:pPr>
              <w:jc w:val="left"/>
              <w:rPr>
                <w:rFonts w:hint="eastAsia"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Cs w:val="21"/>
                <w:lang w:val="en-US" w:eastAsia="zh-CN"/>
              </w:rPr>
              <w:t>获嘉县支行</w:t>
            </w:r>
          </w:p>
        </w:tc>
      </w:tr>
      <w:tr>
        <w:trPr>
          <w:trHeight w:val="506" w:hRule="atLeast"/>
          <w:jc w:val="center"/>
        </w:trPr>
        <w:tc>
          <w:tcPr>
            <w:tcW w:w="1560" w:type="dxa"/>
            <w:vMerge w:val="continue"/>
            <w:tcBorders>
              <w:right w:val="single" w:color="auto" w:sz="4" w:space="0"/>
            </w:tcBorders>
            <w:vAlign w:val="center"/>
          </w:tcPr>
          <w:p>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申报金额与币种</w:t>
            </w:r>
          </w:p>
        </w:tc>
        <w:tc>
          <w:tcPr>
            <w:tcW w:w="1204" w:type="dxa"/>
            <w:tcBorders>
              <w:top w:val="nil"/>
              <w:left w:val="nil"/>
              <w:bottom w:val="single" w:color="auto" w:sz="4" w:space="0"/>
              <w:right w:val="single" w:color="auto" w:sz="4" w:space="0"/>
            </w:tcBorders>
            <w:noWrap/>
            <w:vAlign w:val="center"/>
          </w:tcPr>
          <w:p>
            <w:pPr>
              <w:jc w:val="center"/>
              <w:rPr>
                <w:rFonts w:hint="default" w:ascii="仿宋" w:hAnsi="仿宋" w:eastAsia="仿宋" w:cs="宋体"/>
                <w:color w:val="000000"/>
                <w:kern w:val="0"/>
                <w:szCs w:val="21"/>
                <w:lang w:val="en-US" w:eastAsia="zh-CN"/>
              </w:rPr>
            </w:pPr>
            <w:r>
              <w:rPr>
                <w:rFonts w:hint="eastAsia" w:ascii="仿宋" w:hAnsi="仿宋" w:eastAsia="仿宋" w:cs="Arial"/>
                <w:color w:val="auto"/>
                <w:szCs w:val="21"/>
                <w:highlight w:val="none"/>
                <w:lang w:val="en-US" w:eastAsia="zh-CN"/>
              </w:rPr>
              <w:t>7000</w:t>
            </w:r>
            <w:r>
              <w:rPr>
                <w:rFonts w:hint="eastAsia" w:ascii="仿宋" w:hAnsi="仿宋" w:eastAsia="仿宋" w:cs="宋体"/>
                <w:color w:val="000000"/>
                <w:kern w:val="0"/>
                <w:szCs w:val="21"/>
                <w:lang w:val="en-US" w:eastAsia="zh-CN"/>
              </w:rPr>
              <w:t>万元</w:t>
            </w:r>
          </w:p>
        </w:tc>
        <w:tc>
          <w:tcPr>
            <w:tcW w:w="1853" w:type="dxa"/>
            <w:tcBorders>
              <w:top w:val="nil"/>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申报期限</w:t>
            </w:r>
          </w:p>
        </w:tc>
        <w:tc>
          <w:tcPr>
            <w:tcW w:w="1524" w:type="dxa"/>
            <w:tcBorders>
              <w:top w:val="nil"/>
              <w:left w:val="nil"/>
              <w:bottom w:val="single" w:color="auto" w:sz="4" w:space="0"/>
            </w:tcBorders>
            <w:noWrap/>
            <w:vAlign w:val="center"/>
          </w:tcPr>
          <w:p>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 w:val="21"/>
                <w:szCs w:val="21"/>
                <w:lang w:val="en-US" w:eastAsia="zh-CN"/>
              </w:rPr>
              <w:t>以各公司贷款期限为准</w:t>
            </w:r>
          </w:p>
        </w:tc>
      </w:tr>
      <w:tr>
        <w:trPr>
          <w:trHeight w:val="324" w:hRule="atLeast"/>
          <w:jc w:val="center"/>
        </w:trPr>
        <w:tc>
          <w:tcPr>
            <w:tcW w:w="1560" w:type="dxa"/>
            <w:vMerge w:val="continue"/>
            <w:tcBorders>
              <w:bottom w:val="single" w:color="000000" w:sz="4" w:space="0"/>
              <w:right w:val="single" w:color="auto" w:sz="4" w:space="0"/>
            </w:tcBorders>
            <w:vAlign w:val="center"/>
          </w:tcPr>
          <w:p>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申报日期</w:t>
            </w:r>
          </w:p>
        </w:tc>
        <w:tc>
          <w:tcPr>
            <w:tcW w:w="4581" w:type="dxa"/>
            <w:gridSpan w:val="3"/>
            <w:tcBorders>
              <w:top w:val="nil"/>
              <w:left w:val="nil"/>
              <w:bottom w:val="single" w:color="auto" w:sz="4" w:space="0"/>
            </w:tcBorders>
            <w:noWrap/>
            <w:vAlign w:val="center"/>
          </w:tcPr>
          <w:p>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2025年6月10</w:t>
            </w:r>
          </w:p>
        </w:tc>
      </w:tr>
      <w:tr>
        <w:trPr>
          <w:trHeight w:val="841" w:hRule="atLeast"/>
          <w:jc w:val="center"/>
        </w:trPr>
        <w:tc>
          <w:tcPr>
            <w:tcW w:w="1560" w:type="dxa"/>
            <w:tcBorders>
              <w:top w:val="single" w:color="auto" w:sz="4" w:space="0"/>
              <w:bottom w:val="single" w:color="auto" w:sz="4" w:space="0"/>
              <w:right w:val="single" w:color="auto" w:sz="4" w:space="0"/>
            </w:tcBorders>
            <w:vAlign w:val="center"/>
          </w:tcPr>
          <w:p>
            <w:pPr>
              <w:jc w:val="center"/>
              <w:rPr>
                <w:rFonts w:ascii="仿宋" w:hAnsi="仿宋" w:eastAsia="仿宋" w:cs="宋体"/>
                <w:b/>
                <w:color w:val="000000"/>
                <w:kern w:val="0"/>
                <w:szCs w:val="21"/>
              </w:rPr>
            </w:pPr>
            <w:r>
              <w:rPr>
                <w:rFonts w:hint="eastAsia" w:ascii="仿宋" w:hAnsi="仿宋" w:eastAsia="仿宋"/>
                <w:b/>
                <w:bCs/>
                <w:szCs w:val="21"/>
              </w:rPr>
              <w:t>申报概况</w:t>
            </w:r>
          </w:p>
        </w:tc>
        <w:tc>
          <w:tcPr>
            <w:tcW w:w="6898" w:type="dxa"/>
            <w:gridSpan w:val="4"/>
            <w:tcBorders>
              <w:top w:val="nil"/>
              <w:left w:val="nil"/>
              <w:bottom w:val="single" w:color="auto" w:sz="4" w:space="0"/>
            </w:tcBorders>
          </w:tcPr>
          <w:p>
            <w:pPr>
              <w:snapToGrid/>
              <w:spacing w:after="120" w:line="240" w:lineRule="auto"/>
              <w:ind w:firstLine="420" w:firstLineChars="200"/>
              <w:jc w:val="both"/>
              <w:rPr>
                <w:color w:val="000000"/>
              </w:rPr>
            </w:pPr>
            <w:r>
              <w:rPr>
                <w:rFonts w:ascii="仿宋" w:hAnsi="仿宋" w:eastAsia="仿宋" w:cs="仿宋"/>
                <w:i w:val="false"/>
                <w:strike w:val="false"/>
                <w:color w:val="000000"/>
                <w:sz w:val="21"/>
                <w:u w:val="none"/>
                <w:shd w:val="clear" w:color="auto" w:fill="FFFFFF"/>
              </w:rPr>
              <w:t>1、申请给予</w:t>
            </w:r>
            <w:r>
              <w:rPr>
                <w:rFonts w:ascii="仿宋" w:hAnsi="仿宋" w:eastAsia="仿宋" w:cs="仿宋"/>
                <w:i w:val="false"/>
                <w:strike w:val="false"/>
                <w:color w:val="000000"/>
                <w:sz w:val="21"/>
                <w:u w:val="none"/>
              </w:rPr>
              <w:t>河南中原智慧冷链物流园管理运营有限公司</w:t>
            </w:r>
            <w:r>
              <w:rPr>
                <w:rFonts w:ascii="仿宋" w:hAnsi="仿宋" w:eastAsia="仿宋" w:cs="仿宋"/>
                <w:i w:val="false"/>
                <w:strike w:val="false"/>
                <w:color w:val="000000"/>
                <w:sz w:val="21"/>
                <w:u w:val="none"/>
                <w:shd w:val="clear" w:color="auto" w:fill="FFFFFF"/>
              </w:rPr>
              <w:t>授信总额7000万元，其中敞口额度7000万元，额度切分如下：①基本建设项目贷款7000万元，期限12年，资金用于“河南大成包装材料有限公司源网荷储一体化项目”建设；②担保方式：项目公司应收账款质押并追加河南同盟国资集团有限公司提供连带责任保证担保及本项目全部资产抵押担保。</w:t>
            </w:r>
          </w:p>
          <w:p>
            <w:pPr>
              <w:pBdr>
                <w:bottom w:val="none" w:color="auto" w:sz="0" w:space="0"/>
              </w:pBdr>
              <w:snapToGrid/>
              <w:spacing w:before="0" w:after="0" w:line="240" w:lineRule="auto"/>
              <w:ind w:left="0" w:right="0"/>
              <w:jc w:val="both"/>
              <w:rPr>
                <w:rFonts w:hint="default" w:eastAsia="仿宋"/>
                <w:lang w:val="en-US" w:eastAsia="zh-CN"/>
              </w:rPr>
            </w:pPr>
            <w:r>
              <w:rPr>
                <w:rFonts w:ascii="Calibri" w:hAnsi="Calibri" w:cs="Calibri"/>
                <w:i w:val="false"/>
                <w:strike w:val="false"/>
                <w:color w:val="000000"/>
                <w:sz w:val="21"/>
                <w:u w:val="none"/>
              </w:rPr>
              <w:t>2</w:t>
            </w:r>
            <w:r>
              <w:rPr>
                <w:rFonts w:ascii="仿宋" w:hAnsi="仿宋" w:eastAsia="仿宋" w:cs="仿宋"/>
                <w:i w:val="false"/>
                <w:strike w:val="false"/>
                <w:color w:val="000000"/>
                <w:sz w:val="21"/>
                <w:u w:val="none"/>
              </w:rPr>
              <w:t>、</w:t>
            </w:r>
            <w:r>
              <w:rPr>
                <w:rFonts w:ascii="仿宋" w:hAnsi="仿宋" w:eastAsia="仿宋" w:cs="仿宋"/>
                <w:i w:val="false"/>
                <w:strike w:val="false"/>
                <w:color w:val="000000"/>
                <w:sz w:val="21"/>
                <w:u w:val="none"/>
                <w:shd w:val="clear" w:color="auto" w:fill="FFFFFF"/>
              </w:rPr>
              <w:t>还款计划：按季还息，建设期第前0.5年不还本只付息，从后0.5年开始第按季分期还本付息，运营期0.5年合计归还贷款本金不低于200万元、第二年合计归还贷款本金不低于500万元、第三年合计归还本金不低于500万元、第四年合计归还本金不低于550万元、第五年每年归还本金不低于550万元、第六年合计归还本金不低于600万元、第七年合计归还本金不低于600万元、第八年合计归还本金不低于650万元、第九年合计归还本金不低于650万元、第十年合计归还本金不低于700万元、第十一年合计归还本金不低于700万元、第十二年合计归还本金不低于800万元。若未全额提款参照上述还款比例重新制定还款计划，可提前还款。</w:t>
            </w:r>
            <w:r>
              <w:rPr>
                <w:rFonts w:hint="eastAsia" w:ascii="仿宋" w:hAnsi="仿宋" w:eastAsia="仿宋" w:cs="仿宋"/>
                <w:color w:val="000000"/>
                <w:szCs w:val="21"/>
                <w:shd w:val="clear" w:color="auto" w:fill="FFFFFF"/>
                <w:lang w:val="en-US" w:eastAsia="zh-CN"/>
              </w:rPr>
              <w:t xml:space="preserve"> </w:t>
            </w:r>
          </w:p>
        </w:tc>
      </w:tr>
      <w:tr>
        <w:trPr>
          <w:trHeight w:val="927" w:hRule="atLeast"/>
          <w:jc w:val="center"/>
        </w:trPr>
        <w:tc>
          <w:tcPr>
            <w:tcW w:w="1560" w:type="dxa"/>
            <w:tcBorders>
              <w:top w:val="single" w:color="auto" w:sz="4" w:space="0"/>
              <w:bottom w:val="single" w:color="auto" w:sz="4" w:space="0"/>
              <w:right w:val="single" w:color="auto" w:sz="4" w:space="0"/>
            </w:tcBorders>
            <w:vAlign w:val="center"/>
          </w:tcPr>
          <w:p>
            <w:pPr>
              <w:jc w:val="center"/>
              <w:rPr>
                <w:rFonts w:ascii="仿宋" w:hAnsi="仿宋" w:eastAsia="仿宋"/>
                <w:b/>
                <w:szCs w:val="21"/>
              </w:rPr>
            </w:pPr>
            <w:r>
              <w:rPr>
                <w:rFonts w:hint="eastAsia" w:ascii="仿宋" w:hAnsi="仿宋" w:eastAsia="仿宋"/>
                <w:b/>
                <w:szCs w:val="21"/>
              </w:rPr>
              <w:t>客户基本概况</w:t>
            </w:r>
          </w:p>
        </w:tc>
        <w:tc>
          <w:tcPr>
            <w:tcW w:w="6898" w:type="dxa"/>
            <w:gridSpan w:val="4"/>
            <w:tcBorders>
              <w:top w:val="nil"/>
              <w:left w:val="nil"/>
              <w:bottom w:val="single" w:color="auto" w:sz="4" w:space="0"/>
            </w:tcBorders>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shd w:val="clear" w:color="auto" w:fill="FFFFFF"/>
              </w:rPr>
              <w:t>本次申请授信客户名称为河南中原智慧冷链物流园管理运营有限公司，成立于2021年12月2日，法定代表人为马金全，主要经营范围为园区管理、商业综合体管理服务等，该申请人是获嘉县产业集聚区运营发展服务有限公司全资子公司。</w:t>
            </w:r>
          </w:p>
        </w:tc>
      </w:tr>
      <w:tr>
        <w:trPr>
          <w:trHeight w:val="801" w:hRule="atLeast"/>
          <w:jc w:val="center"/>
        </w:trPr>
        <w:tc>
          <w:tcPr>
            <w:tcW w:w="1560" w:type="dxa"/>
            <w:vMerge w:val="restart"/>
            <w:tcBorders>
              <w:top w:val="single" w:color="auto" w:sz="4" w:space="0"/>
              <w:right w:val="single" w:color="auto" w:sz="4" w:space="0"/>
            </w:tcBorders>
            <w:vAlign w:val="center"/>
          </w:tcPr>
          <w:p>
            <w:pPr>
              <w:jc w:val="center"/>
              <w:rPr>
                <w:rFonts w:ascii="仿宋" w:hAnsi="仿宋" w:eastAsia="仿宋" w:cs="宋体"/>
                <w:b/>
                <w:color w:val="000000"/>
                <w:kern w:val="0"/>
                <w:szCs w:val="21"/>
              </w:rPr>
            </w:pPr>
            <w:r>
              <w:rPr>
                <w:rFonts w:hint="eastAsia" w:ascii="仿宋" w:hAnsi="仿宋" w:eastAsia="仿宋" w:cs="宋体"/>
                <w:b/>
                <w:color w:val="000000"/>
                <w:kern w:val="0"/>
                <w:szCs w:val="21"/>
              </w:rPr>
              <w:t>授信申报理由</w:t>
            </w:r>
          </w:p>
        </w:tc>
        <w:tc>
          <w:tcPr>
            <w:tcW w:w="2317" w:type="dxa"/>
            <w:tcBorders>
              <w:top w:val="nil"/>
              <w:left w:val="nil"/>
              <w:bottom w:val="single" w:color="auto" w:sz="4" w:space="0"/>
              <w:right w:val="single" w:color="auto" w:sz="4" w:space="0"/>
            </w:tcBorders>
            <w:vAlign w:val="center"/>
          </w:tcPr>
          <w:p>
            <w:pPr>
              <w:jc w:val="center"/>
              <w:rPr>
                <w:rFonts w:ascii="仿宋" w:hAnsi="仿宋" w:eastAsia="仿宋" w:cs="宋体"/>
                <w:color w:val="000000"/>
                <w:kern w:val="0"/>
                <w:szCs w:val="21"/>
              </w:rPr>
            </w:pPr>
            <w:r>
              <w:rPr>
                <w:rFonts w:hint="eastAsia" w:ascii="仿宋" w:hAnsi="仿宋" w:eastAsia="仿宋" w:cs="宋体"/>
                <w:color w:val="000000"/>
                <w:kern w:val="0"/>
                <w:szCs w:val="21"/>
              </w:rPr>
              <w:t>申报理由</w:t>
            </w:r>
          </w:p>
        </w:tc>
        <w:tc>
          <w:tcPr>
            <w:tcW w:w="4581" w:type="dxa"/>
            <w:gridSpan w:val="3"/>
            <w:tcBorders>
              <w:top w:val="single" w:color="auto" w:sz="4" w:space="0"/>
              <w:left w:val="nil"/>
              <w:bottom w:val="single" w:color="auto" w:sz="4" w:space="0"/>
            </w:tcBorders>
            <w:noWrap/>
            <w:vAlign w:val="center"/>
          </w:tcPr>
          <w:p>
            <w:pPr>
              <w:keepNext w:val="false"/>
              <w:keepLines w:val="false"/>
              <w:pageBreakBefore w:val="false"/>
              <w:widowControl w:val="false"/>
              <w:kinsoku/>
              <w:wordWrap/>
              <w:overflowPunct/>
              <w:topLinePunct w:val="false"/>
              <w:autoSpaceDE/>
              <w:autoSpaceDN/>
              <w:bidi w:val="false"/>
              <w:adjustRightInd/>
              <w:jc w:val="center"/>
              <w:rPr>
                <w:rFonts w:ascii="仿宋" w:hAnsi="仿宋" w:eastAsia="仿宋" w:cs="宋体"/>
                <w:color w:val="000000"/>
                <w:kern w:val="0"/>
                <w:szCs w:val="21"/>
              </w:rPr>
            </w:pPr>
            <w:r>
              <w:rPr>
                <w:rFonts w:ascii="仿宋" w:hAnsi="仿宋" w:eastAsia="仿宋" w:cs="仿宋"/>
                <w:i w:val="false"/>
                <w:strike w:val="false"/>
                <w:color w:val="000000"/>
                <w:spacing w:val="0"/>
                <w:sz w:val="21"/>
                <w:u w:val="none"/>
              </w:rPr>
              <w:t>申请人作为获嘉县产业集聚区运营发展服务有限公司全资子公司，实力雄厚，经营稳定。此次申请7000万元授信用于 “河南大成包装材料有限公司源网荷储一体化项目”建设，该项目契合绿色能源发展趋势，项目预期收益良好，还款能力有保障，特申请授信支持。该项目的申报可增加我行与获嘉县投资集团的合作黏性。</w:t>
            </w:r>
          </w:p>
        </w:tc>
      </w:tr>
      <w:tr>
        <w:trPr>
          <w:trHeight w:val="1665" w:hRule="atLeast"/>
          <w:jc w:val="center"/>
        </w:trPr>
        <w:tc>
          <w:tcPr>
            <w:tcW w:w="1560" w:type="dxa"/>
            <w:vMerge w:val="continue"/>
            <w:tcBorders>
              <w:right w:val="single" w:color="auto" w:sz="4" w:space="0"/>
            </w:tcBorders>
            <w:vAlign w:val="center"/>
          </w:tcPr>
          <w:p>
            <w:pPr>
              <w:jc w:val="center"/>
              <w:rPr>
                <w:rFonts w:ascii="仿宋" w:hAnsi="仿宋" w:eastAsia="仿宋" w:cs="宋体"/>
                <w:color w:val="000000"/>
                <w:kern w:val="0"/>
                <w:szCs w:val="21"/>
              </w:rPr>
            </w:pPr>
          </w:p>
        </w:tc>
        <w:tc>
          <w:tcPr>
            <w:tcW w:w="2317" w:type="dxa"/>
            <w:tcBorders>
              <w:top w:val="nil"/>
              <w:left w:val="nil"/>
              <w:right w:val="single" w:color="auto" w:sz="4" w:space="0"/>
            </w:tcBorders>
            <w:vAlign w:val="center"/>
          </w:tcPr>
          <w:p>
            <w:pPr>
              <w:snapToGrid w:val="false"/>
              <w:jc w:val="center"/>
              <w:rPr>
                <w:rFonts w:ascii="仿宋" w:hAnsi="仿宋" w:eastAsia="仿宋" w:cs="宋体"/>
                <w:color w:val="000000"/>
                <w:kern w:val="0"/>
                <w:szCs w:val="21"/>
              </w:rPr>
            </w:pPr>
            <w:r>
              <w:rPr>
                <w:rFonts w:hint="eastAsia" w:ascii="仿宋" w:hAnsi="仿宋" w:eastAsia="仿宋" w:cs="宋体"/>
                <w:color w:val="000000"/>
                <w:kern w:val="0"/>
                <w:szCs w:val="21"/>
              </w:rPr>
              <w:t>风险与收益的综合分析</w:t>
            </w:r>
          </w:p>
        </w:tc>
        <w:tc>
          <w:tcPr>
            <w:tcW w:w="4581" w:type="dxa"/>
            <w:gridSpan w:val="3"/>
            <w:tcBorders>
              <w:top w:val="single" w:color="auto" w:sz="4" w:space="0"/>
              <w:left w:val="nil"/>
            </w:tcBorders>
            <w:noWrap/>
            <w:vAlign w:val="center"/>
          </w:tcPr>
          <w:p>
            <w:pPr>
              <w:snapToGrid w:val="false"/>
              <w:spacing w:before="0" w:after="0" w:line="240" w:lineRule="auto"/>
              <w:ind w:left="0" w:right="0"/>
              <w:jc w:val="both"/>
              <w:rPr/>
            </w:pPr>
            <w:r>
              <w:rPr>
                <w:rFonts w:ascii="仿宋" w:hAnsi="仿宋" w:eastAsia="仿宋" w:cs="仿宋"/>
                <w:i w:val="false"/>
                <w:strike w:val="false"/>
                <w:color w:val="000000"/>
                <w:spacing w:val="0"/>
                <w:sz w:val="21"/>
                <w:u w:val="none"/>
              </w:rPr>
              <w:t>风险：申请人的风险受项目运营情况而定，同时申请人股东由平台公司背景，受环境和政策风险影响。</w:t>
            </w:r>
          </w:p>
          <w:p>
            <w:pPr>
              <w:pStyle w:val="000029"/>
              <w:ind w:left="0" w:leftChars="0" w:firstLine="0" w:firstLineChars="0"/>
              <w:rPr/>
            </w:pPr>
            <w:r>
              <w:rPr>
                <w:rFonts w:ascii="仿宋" w:hAnsi="仿宋" w:eastAsia="仿宋" w:cs="仿宋"/>
                <w:i w:val="false"/>
                <w:strike w:val="false"/>
                <w:color w:val="000000"/>
                <w:spacing w:val="0"/>
                <w:sz w:val="21"/>
                <w:u w:val="none"/>
              </w:rPr>
              <w:t>收益：源网荷储一体化项目符合能源转型趋势，政策支持力度大，投产后可通过节能增效、电力交易等实现稳定收益，长期回报潜力显著。综合来看，风险可控且收益匹配授信投入。</w:t>
            </w:r>
          </w:p>
        </w:tc>
      </w:tr>
    </w:tbl>
    <w:p>
      <w:pPr>
        <w:pStyle w:val="00002e"/>
        <w:spacing w:line="440" w:lineRule="exact"/>
        <w:ind w:right="210" w:firstLine="0" w:firstLineChars="0"/>
        <w:rPr>
          <w:rFonts w:ascii="仿宋" w:hAnsi="仿宋" w:eastAsia="仿宋"/>
          <w:bCs/>
          <w:szCs w:val="21"/>
        </w:rPr>
      </w:pPr>
      <w:r>
        <w:rPr>
          <w:rFonts w:hint="eastAsia" w:ascii="仿宋" w:hAnsi="仿宋" w:eastAsia="仿宋" w:cs="Arial"/>
          <w:szCs w:val="21"/>
        </w:rPr>
        <w:t xml:space="preserve"> </w:t>
      </w:r>
      <w:r>
        <w:rPr>
          <w:rFonts w:hint="eastAsia" w:ascii="仿宋" w:hAnsi="仿宋" w:eastAsia="仿宋"/>
          <w:bCs/>
          <w:szCs w:val="21"/>
        </w:rPr>
        <w:t xml:space="preserve"> </w:t>
      </w:r>
      <w:r>
        <w:rPr>
          <w:rFonts w:hint="eastAsia" w:ascii="仿宋" w:hAnsi="仿宋" w:eastAsia="仿宋"/>
          <w:szCs w:val="21"/>
        </w:rPr>
        <w:t>===========================================================================</w:t>
      </w:r>
    </w:p>
    <w:p>
      <w:pPr>
        <w:pStyle w:val="00002e"/>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440" w:lineRule="exact"/>
        <w:ind w:right="0" w:firstLine="420"/>
        <w:textAlignment w:val="auto"/>
        <w:rPr>
          <w:rFonts w:hint="eastAsia" w:ascii="仿宋" w:hAnsi="仿宋" w:eastAsia="仿宋" w:cs="Arial"/>
          <w:sz w:val="24"/>
          <w:szCs w:val="24"/>
        </w:rPr>
      </w:pPr>
      <w:r>
        <w:rPr>
          <w:rFonts w:hint="eastAsia" w:ascii="仿宋" w:hAnsi="仿宋" w:eastAsia="仿宋" w:cs="Arial"/>
          <w:sz w:val="24"/>
          <w:szCs w:val="24"/>
        </w:rPr>
        <w:t>我作为本授信的调查人员，已按我行制度规定和业务规范要求对申请人、担保人等进行了实地调查，对授信的有关情况作了全面调查和了解，对其提供的身份证明、授信主体资格、财务状况等资料的合法性、全面性、真实性和有效性进行了认真核实，对涉及的主要情况和业务风险已经全面阐述，所作评估遵循了客观、公正的原则，并在调查的基础上完成本报告的撰写，我们对调查报告所陈述事实和数据的真实性承担责任，同时，我声明该授信客户（申请人）不是我的关系人。</w:t>
      </w:r>
    </w:p>
    <w:p>
      <w:pPr>
        <w:pStyle w:val="00002e"/>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440" w:lineRule="exact"/>
        <w:ind w:right="0" w:firstLine="3336" w:firstLineChars="1390"/>
        <w:textAlignment w:val="auto"/>
        <w:rPr>
          <w:rFonts w:ascii="仿宋" w:hAnsi="仿宋" w:eastAsia="仿宋" w:cs="Arial"/>
          <w:sz w:val="24"/>
          <w:szCs w:val="24"/>
          <w:u w:val="single"/>
        </w:rPr>
      </w:pPr>
      <w:r>
        <w:rPr>
          <w:rFonts w:hint="eastAsia" w:ascii="仿宋" w:hAnsi="仿宋" w:eastAsia="仿宋" w:cs="Arial"/>
          <w:sz w:val="24"/>
          <w:szCs w:val="24"/>
        </w:rPr>
        <w:t>主办客户经理（签字）：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联系电话：</w:t>
      </w:r>
      <w:r>
        <w:rPr>
          <w:rFonts w:hint="eastAsia" w:ascii="仿宋" w:hAnsi="仿宋" w:eastAsia="仿宋" w:cs="Arial"/>
          <w:sz w:val="24"/>
          <w:szCs w:val="24"/>
          <w:u w:val="single"/>
        </w:rPr>
        <w:t xml:space="preserve">         </w:t>
      </w:r>
    </w:p>
    <w:p>
      <w:pPr>
        <w:pStyle w:val="00002e"/>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440" w:lineRule="exact"/>
        <w:ind w:right="0" w:firstLine="3336" w:firstLineChars="1390"/>
        <w:textAlignment w:val="auto"/>
        <w:rPr>
          <w:rFonts w:ascii="仿宋" w:hAnsi="仿宋" w:eastAsia="仿宋" w:cs="Arial"/>
          <w:sz w:val="24"/>
          <w:szCs w:val="24"/>
        </w:rPr>
      </w:pPr>
      <w:r>
        <w:rPr>
          <w:rFonts w:hint="eastAsia" w:ascii="仿宋" w:hAnsi="仿宋" w:eastAsia="仿宋" w:cs="Arial"/>
          <w:sz w:val="24"/>
          <w:szCs w:val="24"/>
        </w:rPr>
        <w:t>协办客户经理（签字）：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联系电话：</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right="0" w:firstLine="420"/>
        <w:textAlignment w:val="auto"/>
        <w:rPr>
          <w:rFonts w:hint="eastAsia" w:ascii="仿宋" w:hAnsi="仿宋" w:eastAsia="仿宋" w:cs="Arial"/>
          <w:sz w:val="24"/>
          <w:szCs w:val="24"/>
        </w:rPr>
      </w:pPr>
      <w:r>
        <w:rPr>
          <w:rFonts w:hint="eastAsia" w:ascii="仿宋" w:hAnsi="仿宋" w:eastAsia="仿宋" w:cs="Arial"/>
          <w:sz w:val="24"/>
          <w:szCs w:val="24"/>
        </w:rPr>
        <w:t>我作为本授信的经营机构主要负责人/本客户经营主责任人，已按我行制度规定和业务规范要求对客户经理所作的授信项目调查报告，以及调查报告中所涉及资料的合法性、全面性、真实性和有效性进行了认真复核，知悉授信项目涉及的主要情况和业务风险，同时，我声明该授信客户（申请人）不是我的关系人。</w:t>
      </w:r>
    </w:p>
    <w:p>
      <w:pPr>
        <w:pStyle w:val="00002e"/>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440" w:lineRule="exact"/>
        <w:ind w:right="210" w:firstLine="6088" w:firstLineChars="2537"/>
        <w:textAlignment w:val="auto"/>
        <w:rPr>
          <w:rFonts w:ascii="仿宋" w:hAnsi="仿宋" w:eastAsia="仿宋" w:cs="Arial"/>
          <w:sz w:val="24"/>
          <w:szCs w:val="24"/>
          <w:u w:val="single"/>
        </w:rPr>
      </w:pPr>
      <w:r>
        <w:rPr>
          <w:rFonts w:hint="eastAsia" w:ascii="仿宋" w:hAnsi="仿宋" w:eastAsia="仿宋" w:cs="Arial"/>
          <w:sz w:val="24"/>
          <w:szCs w:val="24"/>
        </w:rPr>
        <w:t>经营责任人（签字）：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w:t>
      </w:r>
    </w:p>
    <w:p>
      <w:pPr>
        <w:pStyle w:val="00002e"/>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440" w:lineRule="exact"/>
        <w:ind w:right="210" w:firstLine="5848" w:firstLineChars="2437"/>
        <w:textAlignment w:val="auto"/>
        <w:rPr>
          <w:rFonts w:ascii="仿宋" w:hAnsi="仿宋" w:eastAsia="仿宋" w:cs="Arial"/>
          <w:sz w:val="24"/>
          <w:szCs w:val="24"/>
        </w:rPr>
      </w:pPr>
      <w:r>
        <w:rPr>
          <w:rFonts w:hint="eastAsia" w:ascii="仿宋" w:hAnsi="仿宋" w:eastAsia="仿宋" w:cs="Arial"/>
          <w:sz w:val="24"/>
          <w:szCs w:val="24"/>
        </w:rPr>
        <w:t>经营主责任人（签字）：</w:t>
      </w:r>
      <w:r>
        <w:rPr>
          <w:rFonts w:hint="eastAsia" w:ascii="仿宋" w:hAnsi="仿宋" w:eastAsia="仿宋" w:cs="Arial"/>
          <w:sz w:val="24"/>
          <w:szCs w:val="24"/>
          <w:u w:val="single"/>
        </w:rPr>
        <w:t xml:space="preserve">          </w:t>
      </w:r>
      <w:r>
        <w:rPr>
          <w:rFonts w:hint="eastAsia" w:ascii="仿宋" w:hAnsi="仿宋" w:eastAsia="仿宋" w:cs="Arial"/>
          <w:sz w:val="24"/>
          <w:szCs w:val="24"/>
        </w:rPr>
        <w:t xml:space="preserve">   </w:t>
      </w:r>
    </w:p>
    <w:p>
      <w:pPr>
        <w:tabs>
          <w:tab w:val="left" w:pos="0"/>
          <w:tab w:val="left" w:pos="142"/>
        </w:tabs>
        <w:spacing w:line="440" w:lineRule="exact"/>
        <w:ind w:left="420"/>
        <w:rPr>
          <w:rFonts w:ascii="仿宋" w:hAnsi="仿宋" w:eastAsia="仿宋" w:cs="仿宋"/>
          <w:b/>
          <w:sz w:val="44"/>
          <w:szCs w:val="44"/>
          <w:lang w:val="en-GB"/>
        </w:rPr>
      </w:pPr>
    </w:p>
    <w:p>
      <w:pPr>
        <w:pStyle w:val="00002e"/>
        <w:spacing w:line="440" w:lineRule="exact"/>
        <w:ind w:right="210" w:firstLine="0" w:firstLineChars="0"/>
        <w:rPr>
          <w:rFonts w:ascii="仿宋" w:hAnsi="仿宋" w:eastAsia="仿宋" w:cs="Arial"/>
          <w:szCs w:val="21"/>
        </w:rPr>
      </w:pPr>
      <w:r>
        <w:rPr>
          <w:rFonts w:hint="eastAsia" w:ascii="仿宋" w:hAnsi="仿宋" w:eastAsia="仿宋" w:cs="Arial"/>
          <w:szCs w:val="21"/>
        </w:rPr>
        <w:t xml:space="preserve"> </w:t>
      </w:r>
    </w:p>
    <w:p>
      <w:pPr>
        <w:pStyle w:val="000029"/>
        <w:ind w:firstLine="210"/>
        <w:rPr>
          <w:lang w:val="en-GB"/>
        </w:rPr>
      </w:pPr>
    </w:p>
    <w:p>
      <w:pPr>
        <w:rPr>
          <w:lang w:val="en-GB"/>
        </w:rPr>
      </w:pPr>
    </w:p>
    <w:p>
      <w:pPr>
        <w:pStyle w:val="000029"/>
        <w:rPr>
          <w:lang w:val="en-GB"/>
        </w:rPr>
      </w:pPr>
    </w:p>
    <w:p>
      <w:pPr>
        <w:rPr>
          <w:lang w:val="en-GB"/>
        </w:rPr>
      </w:pPr>
    </w:p>
    <w:p>
      <w:pPr>
        <w:pStyle w:val="000029"/>
        <w:rPr>
          <w:lang w:val="en-GB"/>
        </w:rPr>
      </w:pPr>
    </w:p>
    <w:p>
      <w:pPr>
        <w:rPr>
          <w:lang w:val="en-GB"/>
        </w:rPr>
      </w:pPr>
    </w:p>
    <w:p>
      <w:pPr>
        <w:pStyle w:val="000029"/>
        <w:rPr>
          <w:lang w:val="en-GB"/>
        </w:rPr>
      </w:pPr>
    </w:p>
    <w:p>
      <w:pPr>
        <w:rPr>
          <w:lang w:val="en-GB"/>
        </w:rPr>
      </w:pPr>
    </w:p>
    <w:p>
      <w:pPr>
        <w:pStyle w:val="000029"/>
        <w:rPr>
          <w:lang w:val="en-GB"/>
        </w:rPr>
      </w:pPr>
    </w:p>
    <w:p>
      <w:pPr>
        <w:rPr>
          <w:lang w:val="en-GB"/>
        </w:rPr>
      </w:pPr>
    </w:p>
    <w:p>
      <w:pPr>
        <w:pStyle w:val="000029"/>
        <w:rPr>
          <w:lang w:val="en-GB"/>
        </w:rPr>
      </w:pPr>
    </w:p>
    <w:p>
      <w:pPr>
        <w:rPr>
          <w:lang w:val="en-GB"/>
        </w:rPr>
      </w:pPr>
    </w:p>
    <w:p>
      <w:pPr>
        <w:pStyle w:val="000029"/>
        <w:rPr>
          <w:lang w:val="en-GB"/>
        </w:rPr>
      </w:pPr>
    </w:p>
    <w:p>
      <w:pPr>
        <w:rPr>
          <w:lang w:val="en-GB"/>
        </w:rPr>
      </w:pPr>
    </w:p>
    <w:p>
      <w:pPr>
        <w:pStyle w:val="000029"/>
        <w:rPr>
          <w:lang w:val="en-GB"/>
        </w:rPr>
      </w:pPr>
    </w:p>
    <w:p>
      <w:pPr>
        <w:pStyle w:val="000002"/>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Cs w:val="false"/>
        </w:rPr>
      </w:pPr>
      <w:r>
        <w:rPr>
          <w:rFonts w:ascii="仿宋" w:hAnsi="仿宋" w:eastAsia="仿宋" w:cs="仿宋"/>
          <w:b/>
          <w:bCs w:val="false"/>
          <w:kern w:val="2"/>
          <w:sz w:val="32"/>
          <w:szCs w:val="32"/>
          <w:lang w:val="en-US" w:eastAsia="zh-CN" w:bidi="ar-SA"/>
        </w:rPr>
        <w:t>一、</w:t>
      </w:r>
      <w:r>
        <w:rPr>
          <w:rFonts w:hint="eastAsia" w:ascii="仿宋" w:hAnsi="仿宋" w:eastAsia="仿宋" w:cs="仿宋"/>
          <w:bCs w:val="false"/>
        </w:rPr>
        <w:t>申报方案</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（一）申报事项</w:t>
      </w:r>
    </w:p>
    <w:tbl>
      <w:tblPr>
        <w:tblStyle w:val="00001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08"/>
        <w:gridCol w:w="6897"/>
      </w:tblGrid>
      <w:tr>
        <w:trPr>
          <w:trHeight w:val="567" w:hRule="atLeast"/>
        </w:trPr>
        <w:tc>
          <w:tcPr>
            <w:tcW w:w="945" w:type="dxa"/>
            <w:vMerge w:val="restart"/>
            <w:shd w:val="clear" w:color="auto" w:fill="auto"/>
            <w:vAlign w:val="center"/>
          </w:tcPr>
          <w:p>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申报业务类型</w:t>
            </w:r>
          </w:p>
        </w:tc>
        <w:tc>
          <w:tcPr>
            <w:tcW w:w="1308" w:type="dxa"/>
            <w:vMerge w:val="restart"/>
            <w:shd w:val="clear" w:color="auto" w:fill="auto"/>
            <w:vAlign w:val="center"/>
          </w:tcPr>
          <w:p>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申报类型</w:t>
            </w:r>
          </w:p>
        </w:tc>
        <w:tc>
          <w:tcPr>
            <w:tcW w:w="6897" w:type="dxa"/>
            <w:shd w:val="clear" w:color="auto" w:fill="auto"/>
            <w:vAlign w:val="center"/>
          </w:tcPr>
          <w:p>
            <w:pPr>
              <w:jc w:val="left"/>
              <w:rPr>
                <w:rFonts w:ascii="仿宋" w:hAnsi="仿宋" w:eastAsia="仿宋" w:cs="仿宋"/>
                <w:color w:val="000000"/>
                <w:kern w:val="0"/>
                <w:szCs w:val="21"/>
              </w:rPr>
            </w:pP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新授信客户</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   </w:t>
            </w: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存量客户新增</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□存量客户续作 </w:t>
            </w:r>
          </w:p>
        </w:tc>
      </w:tr>
      <w:tr>
        <w:trPr>
          <w:trHeight w:val="567" w:hRule="atLeast"/>
        </w:trPr>
        <w:tc>
          <w:tcPr>
            <w:tcW w:w="945" w:type="dxa"/>
            <w:vMerge w:val="continue"/>
            <w:shd w:val="clear" w:color="auto" w:fill="auto"/>
            <w:vAlign w:val="center"/>
          </w:tcPr>
          <w:p>
            <w:pPr>
              <w:jc w:val="center"/>
              <w:rPr>
                <w:rFonts w:ascii="仿宋" w:hAnsi="仿宋" w:eastAsia="仿宋" w:cs="仿宋"/>
                <w:color w:val="000000"/>
                <w:kern w:val="0"/>
                <w:szCs w:val="21"/>
                <w:lang w:val="en-GB"/>
              </w:rPr>
            </w:pPr>
          </w:p>
        </w:tc>
        <w:tc>
          <w:tcPr>
            <w:tcW w:w="1308" w:type="dxa"/>
            <w:vMerge w:val="continue"/>
            <w:shd w:val="clear" w:color="auto" w:fill="auto"/>
            <w:vAlign w:val="center"/>
          </w:tcPr>
          <w:p>
            <w:pPr>
              <w:jc w:val="center"/>
              <w:rPr>
                <w:rFonts w:ascii="仿宋" w:hAnsi="仿宋" w:eastAsia="仿宋" w:cs="仿宋"/>
                <w:color w:val="000000"/>
                <w:kern w:val="0"/>
                <w:szCs w:val="21"/>
                <w:lang w:val="en-GB"/>
              </w:rPr>
            </w:pPr>
          </w:p>
        </w:tc>
        <w:tc>
          <w:tcPr>
            <w:tcW w:w="6897" w:type="dxa"/>
            <w:shd w:val="clear" w:color="auto" w:fill="auto"/>
            <w:vAlign w:val="center"/>
          </w:tcPr>
          <w:p>
            <w:pPr>
              <w:jc w:val="left"/>
              <w:rPr>
                <w:rFonts w:ascii="仿宋" w:hAnsi="仿宋" w:eastAsia="仿宋" w:cs="仿宋"/>
                <w:color w:val="000000"/>
                <w:kern w:val="0"/>
                <w:szCs w:val="21"/>
              </w:rPr>
            </w:pPr>
            <w:r>
              <w:rPr>
                <w:rFonts w:hint="eastAsia" w:ascii="仿宋" w:hAnsi="仿宋" w:eastAsia="仿宋" w:cs="仿宋"/>
                <w:color w:val="000000"/>
                <w:kern w:val="0"/>
                <w:szCs w:val="21"/>
                <w:lang w:val="en-GB"/>
              </w:rPr>
              <w:t>展期</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□借新还旧</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其他资产重组</w:t>
            </w:r>
          </w:p>
        </w:tc>
      </w:tr>
      <w:tr>
        <w:trPr>
          <w:trHeight w:val="567" w:hRule="atLeast"/>
        </w:trPr>
        <w:tc>
          <w:tcPr>
            <w:tcW w:w="945" w:type="dxa"/>
            <w:vMerge w:val="continue"/>
            <w:shd w:val="clear" w:color="auto" w:fill="auto"/>
            <w:vAlign w:val="center"/>
          </w:tcPr>
          <w:p>
            <w:pPr>
              <w:jc w:val="center"/>
              <w:rPr>
                <w:rFonts w:ascii="仿宋" w:hAnsi="仿宋" w:eastAsia="仿宋" w:cs="仿宋"/>
                <w:color w:val="000000"/>
                <w:kern w:val="0"/>
                <w:szCs w:val="21"/>
                <w:lang w:val="en-GB"/>
              </w:rPr>
            </w:pPr>
          </w:p>
        </w:tc>
        <w:tc>
          <w:tcPr>
            <w:tcW w:w="1308" w:type="dxa"/>
            <w:shd w:val="clear" w:color="auto" w:fill="auto"/>
            <w:vAlign w:val="center"/>
          </w:tcPr>
          <w:p>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再次申报</w:t>
            </w:r>
          </w:p>
        </w:tc>
        <w:tc>
          <w:tcPr>
            <w:tcW w:w="6897" w:type="dxa"/>
            <w:shd w:val="clear" w:color="auto" w:fill="auto"/>
            <w:vAlign w:val="center"/>
          </w:tcPr>
          <w:p>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 xml:space="preserve">□复议     </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□续议</w:t>
            </w:r>
            <w:r>
              <w:rPr>
                <w:rFonts w:hint="eastAsia" w:ascii="仿宋" w:hAnsi="仿宋" w:eastAsia="仿宋" w:cs="仿宋"/>
                <w:color w:val="000000"/>
                <w:kern w:val="0"/>
                <w:szCs w:val="21"/>
              </w:rPr>
              <w:t xml:space="preserve">            </w:t>
            </w:r>
          </w:p>
        </w:tc>
      </w:tr>
      <w:tr>
        <w:trPr>
          <w:trHeight w:val="567" w:hRule="atLeast"/>
        </w:trPr>
        <w:tc>
          <w:tcPr>
            <w:tcW w:w="2253" w:type="dxa"/>
            <w:gridSpan w:val="2"/>
            <w:shd w:val="clear" w:color="auto" w:fill="auto"/>
            <w:noWrap/>
            <w:vAlign w:val="center"/>
          </w:tcPr>
          <w:p>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其他重要申报事项</w:t>
            </w:r>
          </w:p>
        </w:tc>
        <w:tc>
          <w:tcPr>
            <w:tcW w:w="6897" w:type="dxa"/>
            <w:shd w:val="clear" w:color="auto" w:fill="auto"/>
            <w:noWrap/>
            <w:vAlign w:val="center"/>
          </w:tcPr>
          <w:p>
            <w:pPr>
              <w:jc w:val="left"/>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无</w:t>
            </w: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（二）信用额度方案对比情况（单位：万元）</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1、方案变化情况</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528"/>
        <w:gridCol w:w="3830"/>
        <w:gridCol w:w="1999"/>
      </w:tblGrid>
      <w:tr>
        <w:trPr>
          <w:trHeight w:val="394"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p>
        </w:tc>
        <w:tc>
          <w:tcPr>
            <w:tcW w:w="1528" w:type="dxa"/>
            <w:shd w:val="clear" w:color="auto" w:fill="auto"/>
            <w:noWrap/>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存量方案</w:t>
            </w:r>
          </w:p>
        </w:tc>
        <w:tc>
          <w:tcPr>
            <w:tcW w:w="3830" w:type="dxa"/>
            <w:shd w:val="clear" w:color="auto" w:fill="auto"/>
            <w:noWrap/>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本次上报方案</w:t>
            </w:r>
          </w:p>
        </w:tc>
        <w:tc>
          <w:tcPr>
            <w:tcW w:w="1999" w:type="dxa"/>
            <w:shd w:val="clear" w:color="auto" w:fill="auto"/>
            <w:noWrap/>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具体变化情况</w:t>
            </w:r>
          </w:p>
        </w:tc>
      </w:tr>
      <w:tr>
        <w:trPr>
          <w:trHeight w:val="394"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授信总量</w:t>
            </w:r>
          </w:p>
        </w:tc>
        <w:tc>
          <w:tcPr>
            <w:tcW w:w="1528" w:type="dxa"/>
            <w:shd w:val="clear" w:color="auto" w:fill="auto"/>
            <w:noWrap/>
            <w:vAlign w:val="center"/>
          </w:tcPr>
          <w:p>
            <w:pPr>
              <w:pStyle w:val="00002e"/>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7000</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394"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敞口授信额度</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7000</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394"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低风险授信额度</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0</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414"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期限</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12年</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426"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用途</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敞口7000万元专项用于河南大成包装材料有限公司源网荷储一体化项目建设。</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470"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固定资产贷款</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trPr>
          <w:trHeight w:val="398" w:hRule="atLeast"/>
          <w:jc w:val="center"/>
        </w:trPr>
        <w:tc>
          <w:tcPr>
            <w:tcW w:w="1751"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担保方式</w:t>
            </w:r>
          </w:p>
        </w:tc>
        <w:tc>
          <w:tcPr>
            <w:tcW w:w="1528"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pPr>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保证</w:t>
            </w:r>
          </w:p>
        </w:tc>
        <w:tc>
          <w:tcPr>
            <w:tcW w:w="1999" w:type="dxa"/>
            <w:shd w:val="clear" w:color="auto" w:fill="auto"/>
            <w:noWrap/>
            <w:vAlign w:val="center"/>
          </w:tcPr>
          <w:p>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 xml:space="preserve"> 2、方案变化原因</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新客户</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（三）续议/复议落实情况（续议/复议/续议或否决后按新申报发起的业务填写）</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1、本次申报方案较前次续议/复议方案的主要变化内容：</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无</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2、原续议批复提出的问题落实情况/复议批复提出的理由和对应的申诉意见：</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bookmarkStart w:id="1" w:name="_Toc352659429"/>
      <w:bookmarkStart w:id="2" w:name="_Toc209362788"/>
      <w:r>
        <w:rPr>
          <w:rFonts w:hint="eastAsia" w:ascii="仿宋" w:hAnsi="仿宋" w:eastAsia="仿宋" w:cs="仿宋"/>
          <w:b w:val="false"/>
          <w:bCs w:val="false"/>
          <w:kern w:val="2"/>
          <w:sz w:val="24"/>
          <w:szCs w:val="24"/>
          <w:lang w:val="en-US" w:eastAsia="zh-CN" w:bidi="ar-SA"/>
        </w:rPr>
        <w:t>无</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（四）信用额度详细方案</w:t>
      </w:r>
      <w:bookmarkEnd w:id="1"/>
      <w:bookmarkEnd w:id="2"/>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1、敞口额度分项表   单位：万元</w:t>
      </w:r>
    </w:p>
    <w:tbl>
      <w:tblPr>
        <w:tblStyle w:val="000015"/>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12"/>
        <w:gridCol w:w="1304"/>
        <w:gridCol w:w="1304"/>
        <w:gridCol w:w="1304"/>
        <w:gridCol w:w="1304"/>
      </w:tblGrid>
      <w:tr>
        <w:trPr>
          <w:trHeight w:val="315" w:hRule="atLeast"/>
        </w:trPr>
        <w:tc>
          <w:tcPr>
            <w:tcW w:w="3488" w:type="dxa"/>
            <w:gridSpan w:val="2"/>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填报事项</w:t>
            </w:r>
          </w:p>
        </w:tc>
        <w:tc>
          <w:tcPr>
            <w:tcW w:w="1304" w:type="dxa"/>
            <w:vMerge w:val="restart"/>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存量授信</w:t>
            </w:r>
          </w:p>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目前信用</w:t>
            </w:r>
          </w:p>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余额</w:t>
            </w:r>
          </w:p>
        </w:tc>
        <w:tc>
          <w:tcPr>
            <w:tcW w:w="1304" w:type="dxa"/>
            <w:vMerge w:val="restart"/>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本次申报</w:t>
            </w:r>
          </w:p>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pPr>
              <w:pStyle w:val="00002e"/>
              <w:spacing w:line="240" w:lineRule="auto"/>
              <w:ind w:firstLine="0" w:firstLineChars="0"/>
              <w:jc w:val="center"/>
              <w:rPr>
                <w:rFonts w:ascii="仿宋" w:hAnsi="仿宋" w:eastAsia="仿宋" w:cs="Arial"/>
                <w:szCs w:val="21"/>
              </w:rPr>
            </w:pPr>
            <w:r>
              <w:rPr>
                <w:rFonts w:hint="eastAsia" w:ascii="仿宋" w:hAnsi="仿宋" w:eastAsia="仿宋" w:cs="Arial"/>
                <w:szCs w:val="21"/>
              </w:rPr>
              <w:t>具体用途</w:t>
            </w:r>
          </w:p>
        </w:tc>
      </w:tr>
      <w:tr>
        <w:trPr>
          <w:trHeight w:val="735" w:hRule="atLeast"/>
        </w:trPr>
        <w:tc>
          <w:tcPr>
            <w:tcW w:w="1276"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额度类型</w:t>
            </w:r>
          </w:p>
        </w:tc>
        <w:tc>
          <w:tcPr>
            <w:tcW w:w="2212"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304" w:type="dxa"/>
            <w:vMerge w:val="continue"/>
            <w:vAlign w:val="center"/>
          </w:tcPr>
          <w:p>
            <w:pPr>
              <w:pStyle w:val="00002e"/>
              <w:spacing w:line="440" w:lineRule="exact"/>
              <w:ind w:firstLine="0" w:firstLineChars="0"/>
              <w:jc w:val="center"/>
              <w:rPr>
                <w:rFonts w:ascii="仿宋" w:hAnsi="仿宋" w:eastAsia="仿宋" w:cs="Arial"/>
                <w:szCs w:val="21"/>
              </w:rPr>
            </w:pPr>
          </w:p>
        </w:tc>
        <w:tc>
          <w:tcPr>
            <w:tcW w:w="1304" w:type="dxa"/>
            <w:vMerge w:val="continue"/>
            <w:vAlign w:val="center"/>
          </w:tcPr>
          <w:p>
            <w:pPr>
              <w:pStyle w:val="00002e"/>
              <w:spacing w:line="440" w:lineRule="exact"/>
              <w:ind w:firstLine="0" w:firstLineChars="0"/>
              <w:jc w:val="center"/>
              <w:rPr>
                <w:rFonts w:ascii="仿宋" w:hAnsi="仿宋" w:eastAsia="仿宋" w:cs="Arial"/>
                <w:szCs w:val="21"/>
              </w:rPr>
            </w:pPr>
          </w:p>
        </w:tc>
        <w:tc>
          <w:tcPr>
            <w:tcW w:w="1304" w:type="dxa"/>
            <w:vMerge w:val="continue"/>
            <w:vAlign w:val="center"/>
          </w:tcPr>
          <w:p>
            <w:pPr>
              <w:pStyle w:val="00002e"/>
              <w:spacing w:line="440" w:lineRule="exact"/>
              <w:ind w:firstLine="0" w:firstLineChars="0"/>
              <w:jc w:val="center"/>
              <w:rPr>
                <w:rFonts w:ascii="仿宋" w:hAnsi="仿宋" w:eastAsia="仿宋" w:cs="Arial"/>
                <w:szCs w:val="21"/>
              </w:rPr>
            </w:pPr>
          </w:p>
        </w:tc>
        <w:tc>
          <w:tcPr>
            <w:tcW w:w="1304" w:type="dxa"/>
            <w:vMerge w:val="continue"/>
            <w:vAlign w:val="center"/>
          </w:tcPr>
          <w:p>
            <w:pPr>
              <w:pStyle w:val="00002e"/>
              <w:spacing w:line="440" w:lineRule="exact"/>
              <w:ind w:firstLine="0" w:firstLineChars="0"/>
              <w:jc w:val="center"/>
              <w:rPr>
                <w:rFonts w:ascii="仿宋" w:hAnsi="仿宋" w:eastAsia="仿宋" w:cs="Arial"/>
                <w:szCs w:val="21"/>
              </w:rPr>
            </w:pPr>
          </w:p>
        </w:tc>
      </w:tr>
      <w:tr>
        <w:trPr>
          <w:trHeight w:val="315" w:hRule="atLeast"/>
        </w:trPr>
        <w:tc>
          <w:tcPr>
            <w:tcW w:w="1276"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项目类</w:t>
            </w:r>
          </w:p>
        </w:tc>
        <w:tc>
          <w:tcPr>
            <w:tcW w:w="2212" w:type="dxa"/>
            <w:shd w:val="clear" w:color="auto" w:fill="auto"/>
            <w:vAlign w:val="center"/>
          </w:tcPr>
          <w:p>
            <w:pPr>
              <w:pStyle w:val="00002e"/>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固定资产贷款</w:t>
            </w:r>
          </w:p>
        </w:tc>
        <w:tc>
          <w:tcPr>
            <w:tcW w:w="1304" w:type="dxa"/>
            <w:shd w:val="clear" w:color="auto" w:fill="auto"/>
            <w:noWrap/>
            <w:vAlign w:val="center"/>
          </w:tcPr>
          <w:p>
            <w:pPr>
              <w:pStyle w:val="00002e"/>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0</w:t>
            </w:r>
          </w:p>
        </w:tc>
        <w:tc>
          <w:tcPr>
            <w:tcW w:w="1304" w:type="dxa"/>
            <w:shd w:val="clear" w:color="auto" w:fill="auto"/>
            <w:vAlign w:val="center"/>
          </w:tcPr>
          <w:p>
            <w:pPr>
              <w:pStyle w:val="00002e"/>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2e"/>
              <w:spacing w:line="440" w:lineRule="exact"/>
              <w:ind w:firstLine="0" w:firstLineChars="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用于河南大成包装材料有限公司源网荷储一体化项目建设</w:t>
            </w:r>
          </w:p>
        </w:tc>
      </w:tr>
      <w:tr>
        <w:trPr>
          <w:trHeight w:val="315" w:hRule="atLeast"/>
        </w:trPr>
        <w:tc>
          <w:tcPr>
            <w:tcW w:w="3488" w:type="dxa"/>
            <w:gridSpan w:val="2"/>
            <w:shd w:val="clear" w:color="auto" w:fill="auto"/>
            <w:vAlign w:val="center"/>
          </w:tcPr>
          <w:p>
            <w:pPr>
              <w:pStyle w:val="00002e"/>
              <w:spacing w:line="440" w:lineRule="exact"/>
              <w:ind w:firstLine="1260" w:firstLineChars="600"/>
              <w:jc w:val="center"/>
              <w:rPr>
                <w:rFonts w:ascii="仿宋" w:hAnsi="仿宋" w:eastAsia="仿宋" w:cs="Arial"/>
                <w:szCs w:val="21"/>
              </w:rPr>
            </w:pPr>
            <w:r>
              <w:rPr>
                <w:rFonts w:hint="eastAsia" w:ascii="仿宋" w:hAnsi="仿宋" w:eastAsia="仿宋" w:cs="Arial"/>
                <w:szCs w:val="21"/>
              </w:rPr>
              <w:t>合计</w:t>
            </w:r>
          </w:p>
        </w:tc>
        <w:tc>
          <w:tcPr>
            <w:tcW w:w="1304" w:type="dxa"/>
            <w:shd w:val="clear" w:color="auto" w:fill="auto"/>
            <w:noWrap/>
            <w:vAlign w:val="center"/>
          </w:tcPr>
          <w:p>
            <w:pPr>
              <w:pStyle w:val="00002e"/>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0</w:t>
            </w:r>
          </w:p>
        </w:tc>
        <w:tc>
          <w:tcPr>
            <w:tcW w:w="1304"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rPr>
              <w:t>7000</w:t>
            </w:r>
          </w:p>
        </w:tc>
        <w:tc>
          <w:tcPr>
            <w:tcW w:w="1304" w:type="dxa"/>
            <w:shd w:val="clear" w:color="auto" w:fill="auto"/>
            <w:vAlign w:val="center"/>
          </w:tcPr>
          <w:p>
            <w:pPr>
              <w:pStyle w:val="00002e"/>
              <w:spacing w:line="440" w:lineRule="exact"/>
              <w:ind w:firstLine="0" w:firstLineChars="0"/>
              <w:jc w:val="center"/>
              <w:rPr>
                <w:rFonts w:ascii="仿宋" w:hAnsi="仿宋" w:eastAsia="仿宋" w:cs="Arial"/>
                <w:szCs w:val="21"/>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2、用信前提条件</w:t>
      </w:r>
    </w:p>
    <w:tbl>
      <w:tblPr>
        <w:tblStyle w:val="0000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6053"/>
      </w:tblGrid>
      <w:tr>
        <w:trPr>
          <w:trHeight w:val="483" w:hRule="atLeast"/>
        </w:trPr>
        <w:tc>
          <w:tcPr>
            <w:tcW w:w="2660"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授信产品</w:t>
            </w:r>
          </w:p>
        </w:tc>
        <w:tc>
          <w:tcPr>
            <w:tcW w:w="6053"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用信前提条件</w:t>
            </w:r>
          </w:p>
        </w:tc>
      </w:tr>
      <w:tr>
        <w:trPr>
          <w:trHeight w:val="483" w:hRule="atLeast"/>
        </w:trPr>
        <w:tc>
          <w:tcPr>
            <w:tcW w:w="2660" w:type="dxa"/>
            <w:shd w:val="clear" w:color="auto" w:fill="auto"/>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color w:val="auto"/>
                <w:szCs w:val="21"/>
                <w:highlight w:val="none"/>
                <w:lang w:val="en-US" w:eastAsia="zh-CN"/>
              </w:rPr>
              <w:t>固定资产贷款</w:t>
            </w:r>
          </w:p>
        </w:tc>
        <w:tc>
          <w:tcPr>
            <w:tcW w:w="6053" w:type="dxa"/>
            <w:shd w:val="clear" w:color="auto" w:fill="auto"/>
            <w:vAlign w:val="center"/>
          </w:tcPr>
          <w:p>
            <w:pPr>
              <w:pStyle w:val="00002e"/>
              <w:numPr>
                <w:ilvl w:val="0"/>
                <w:numId w:val="0"/>
              </w:numPr>
              <w:spacing w:line="440" w:lineRule="exact"/>
              <w:ind w:left="0" w:leftChars="0" w:firstLine="0" w:firstLineChars="0"/>
              <w:rPr>
                <w:rFonts w:ascii="仿宋" w:hAnsi="仿宋" w:eastAsia="仿宋" w:cs="Arial"/>
                <w:szCs w:val="21"/>
              </w:rPr>
            </w:pPr>
            <w:r>
              <w:rPr>
                <w:rFonts w:hint="eastAsia" w:ascii="仿宋" w:hAnsi="仿宋" w:eastAsia="仿宋" w:cs="Arial"/>
                <w:color w:val="auto"/>
                <w:szCs w:val="21"/>
                <w:highlight w:val="none"/>
                <w:lang w:val="en-US" w:eastAsia="zh-CN"/>
              </w:rPr>
              <w:t>授信启用前申请人、保证人须提供有权机构出具的、与授信内容一致的相关材料，依法合规办妥担保手续，确保保证担保及抵押担保和我行债权合法有效。</w:t>
            </w: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（五）担保措施</w:t>
      </w:r>
    </w:p>
    <w:tbl>
      <w:tblPr>
        <w:tblStyle w:val="000015"/>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6"/>
        <w:gridCol w:w="4957"/>
        <w:gridCol w:w="3375"/>
      </w:tblGrid>
      <w:tr>
        <w:trPr>
          <w:cantSplit/>
          <w:trHeight w:val="360"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1</w:t>
            </w:r>
          </w:p>
        </w:tc>
        <w:tc>
          <w:tcPr>
            <w:tcW w:w="4957" w:type="dxa"/>
            <w:tcBorders>
              <w:top w:val="single" w:color="auto" w:sz="2" w:space="0"/>
              <w:left w:val="single" w:color="auto" w:sz="2" w:space="0"/>
              <w:bottom w:val="single" w:color="auto" w:sz="2" w:space="0"/>
              <w:right w:val="single" w:color="auto" w:sz="2" w:space="0"/>
            </w:tcBorders>
            <w:vAlign w:val="center"/>
          </w:tcPr>
          <w:p>
            <w:pPr>
              <w:spacing w:line="360" w:lineRule="exact"/>
              <w:jc w:val="center"/>
              <w:rPr>
                <w:rFonts w:ascii="仿宋" w:hAnsi="仿宋" w:eastAsia="仿宋" w:cs="仿宋"/>
                <w:bCs/>
                <w:szCs w:val="21"/>
              </w:rPr>
            </w:pPr>
            <w:r>
              <w:rPr>
                <w:rFonts w:hint="eastAsia" w:ascii="仿宋" w:hAnsi="仿宋" w:eastAsia="仿宋" w:cs="仿宋"/>
                <w:bCs/>
                <w:szCs w:val="21"/>
              </w:rPr>
              <w:t>信用</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w:t>
            </w:r>
          </w:p>
        </w:tc>
      </w:tr>
      <w:tr>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2</w:t>
            </w:r>
          </w:p>
        </w:tc>
        <w:tc>
          <w:tcPr>
            <w:tcW w:w="4957"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保证（此处应列明具体的保证人。）</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pPr>
              <w:pBdr>
                <w:bottom w:val="none" w:color="auto" w:sz="0" w:space="0"/>
              </w:pBdr>
              <w:snapToGrid/>
              <w:spacing w:before="0" w:after="0" w:line="240" w:lineRule="auto"/>
              <w:ind w:left="0" w:right="0"/>
              <w:jc w:val="center"/>
              <w:rPr>
                <w:color w:val="000000"/>
              </w:rPr>
            </w:pPr>
          </w:p>
        </w:tc>
      </w:tr>
      <w:tr>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3</w:t>
            </w:r>
          </w:p>
        </w:tc>
        <w:tc>
          <w:tcPr>
            <w:tcW w:w="4957"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抵押（此处应明确具体的抵押资产及抵押率。）</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trPr>
          <w:cantSplit/>
          <w:trHeight w:val="905"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4</w:t>
            </w:r>
          </w:p>
        </w:tc>
        <w:tc>
          <w:tcPr>
            <w:tcW w:w="4957"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质押（此处应列明具体的质押物或质押权及质押率。）</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5</w:t>
            </w:r>
          </w:p>
        </w:tc>
        <w:tc>
          <w:tcPr>
            <w:tcW w:w="4957" w:type="dxa"/>
            <w:tcBorders>
              <w:top w:val="single" w:color="auto" w:sz="2" w:space="0"/>
              <w:left w:val="single" w:color="auto" w:sz="2" w:space="0"/>
              <w:bottom w:val="single" w:color="auto" w:sz="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缴存保证金（明确缴存保证金比例。）</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trPr>
          <w:cantSplit/>
          <w:trHeight w:val="388" w:hRule="atLeast"/>
        </w:trPr>
        <w:tc>
          <w:tcPr>
            <w:tcW w:w="306" w:type="dxa"/>
            <w:tcBorders>
              <w:top w:val="single" w:color="auto" w:sz="2" w:space="0"/>
              <w:left w:val="single" w:color="auto" w:sz="12" w:space="0"/>
              <w:bottom w:val="single" w:color="auto" w:sz="12" w:space="0"/>
              <w:right w:val="single" w:color="auto" w:sz="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rPr>
              <w:t>6</w:t>
            </w:r>
          </w:p>
        </w:tc>
        <w:tc>
          <w:tcPr>
            <w:tcW w:w="4957" w:type="dxa"/>
            <w:tcBorders>
              <w:top w:val="single" w:color="auto" w:sz="2" w:space="0"/>
              <w:left w:val="single" w:color="auto" w:sz="2" w:space="0"/>
              <w:bottom w:val="single" w:color="auto" w:sz="12" w:space="0"/>
              <w:right w:val="single" w:color="auto" w:sz="2" w:space="0"/>
            </w:tcBorders>
            <w:vAlign w:val="center"/>
          </w:tcPr>
          <w:p>
            <w:pPr>
              <w:jc w:val="left"/>
              <w:rPr>
                <w:rFonts w:ascii="仿宋" w:hAnsi="仿宋" w:eastAsia="仿宋" w:cs="Times New Roman"/>
                <w:szCs w:val="21"/>
              </w:rPr>
            </w:pPr>
            <w:r>
              <w:rPr>
                <w:rFonts w:hint="eastAsia" w:ascii="仿宋" w:hAnsi="仿宋" w:eastAsia="仿宋" w:cs="Times New Roman"/>
                <w:szCs w:val="21"/>
              </w:rPr>
              <w:t>其他风险缓释措施</w:t>
            </w:r>
          </w:p>
        </w:tc>
        <w:tc>
          <w:tcPr>
            <w:tcW w:w="3375" w:type="dxa"/>
            <w:tcBorders>
              <w:top w:val="single" w:color="auto" w:sz="2" w:space="0"/>
              <w:left w:val="single" w:color="auto" w:sz="2" w:space="0"/>
              <w:bottom w:val="single" w:color="auto" w:sz="12" w:space="0"/>
              <w:right w:val="single" w:color="auto" w:sz="12" w:space="0"/>
            </w:tcBorders>
            <w:noWrap/>
            <w:tcMar>
              <w:top w:w="15" w:type="dxa"/>
              <w:left w:w="15" w:type="dxa"/>
              <w:bottom w:w="0" w:type="dxa"/>
              <w:right w:w="15" w:type="dxa"/>
            </w:tcMar>
            <w:vAlign w:val="center"/>
          </w:tcPr>
          <w:p>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（六）风险限额分析</w:t>
      </w:r>
    </w:p>
    <w:p>
      <w:pPr>
        <w:pStyle w:val="00002e"/>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false"/>
          <w:bCs w:val="false"/>
          <w:color w:val="FF0000"/>
          <w:kern w:val="2"/>
          <w:sz w:val="24"/>
          <w:szCs w:val="24"/>
          <w:lang w:val="en-GB" w:eastAsia="zh-CN" w:bidi="ar-SA"/>
        </w:rPr>
      </w:pPr>
      <w:r>
        <w:rPr>
          <w:rFonts w:hint="default" w:ascii="仿宋" w:hAnsi="仿宋" w:eastAsia="仿宋" w:cs="仿宋"/>
          <w:b w:val="false"/>
          <w:bCs w:val="false"/>
          <w:color w:val="FF0000"/>
          <w:kern w:val="2"/>
          <w:sz w:val="24"/>
          <w:szCs w:val="24"/>
          <w:lang w:val="en-GB" w:eastAsia="zh-CN" w:bidi="ar-SA"/>
        </w:rPr>
        <w:t>河南中原智慧冷链物流园管理运营有限公司评级    ,评级限额为      万元</w:t>
      </w:r>
      <w:r>
        <w:rPr>
          <w:rFonts w:hint="eastAsia" w:ascii="仿宋" w:hAnsi="仿宋" w:eastAsia="仿宋" w:cs="仿宋"/>
          <w:b w:val="false"/>
          <w:bCs w:val="false"/>
          <w:color w:val="FF0000"/>
          <w:kern w:val="2"/>
          <w:sz w:val="24"/>
          <w:szCs w:val="24"/>
          <w:lang w:val="en-US" w:eastAsia="zh-CN" w:bidi="ar-SA"/>
        </w:rPr>
        <w:t>；</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（七）申请融资用途及还款来源、还款能力分析</w:t>
      </w:r>
    </w:p>
    <w:p>
      <w:pPr>
        <w:pStyle w:val="00002e"/>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1</w:t>
      </w:r>
      <w:r>
        <w:rPr>
          <w:rFonts w:hint="eastAsia" w:ascii="仿宋" w:hAnsi="仿宋" w:eastAsia="仿宋" w:cs="仿宋"/>
          <w:b w:val="false"/>
          <w:bCs w:val="false"/>
          <w:kern w:val="2"/>
          <w:sz w:val="24"/>
          <w:szCs w:val="24"/>
          <w:lang w:val="en-US" w:eastAsia="zh-CN" w:bidi="ar-SA"/>
        </w:rPr>
        <w:t>、</w:t>
      </w:r>
      <w:r>
        <w:rPr>
          <w:rFonts w:hint="eastAsia" w:ascii="仿宋" w:hAnsi="仿宋" w:eastAsia="仿宋" w:cs="仿宋"/>
          <w:b w:val="false"/>
          <w:bCs w:val="false"/>
          <w:kern w:val="2"/>
          <w:sz w:val="24"/>
          <w:szCs w:val="24"/>
          <w:lang w:val="en-GB" w:eastAsia="zh-CN" w:bidi="ar-SA"/>
        </w:rPr>
        <w:t>申请融资用途分析</w:t>
      </w:r>
    </w:p>
    <w:p>
      <w:pPr>
        <w:pStyle w:val="00002e"/>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申请人在我行申请的为固定资产项目贷款，敞口授信额度7000万元，期限12年，业务品种为固定资产贷款，专项用于河南大成包装材料有限公司源网荷储一体化项目建设。</w:t>
      </w:r>
    </w:p>
    <w:p>
      <w:pPr>
        <w:pStyle w:val="00002e"/>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default" w:ascii="仿宋" w:hAnsi="仿宋" w:eastAsia="仿宋" w:cs="仿宋"/>
          <w:b w:val="false"/>
          <w:bCs w:val="false"/>
          <w:kern w:val="2"/>
          <w:sz w:val="24"/>
          <w:szCs w:val="24"/>
          <w:lang w:val="en-GB" w:eastAsia="zh-CN" w:bidi="ar-SA"/>
        </w:rPr>
        <w:t>2</w:t>
      </w:r>
      <w:r>
        <w:rPr>
          <w:rFonts w:hint="eastAsia" w:ascii="仿宋" w:hAnsi="仿宋" w:eastAsia="仿宋" w:cs="仿宋"/>
          <w:b w:val="false"/>
          <w:bCs w:val="false"/>
          <w:kern w:val="2"/>
          <w:sz w:val="24"/>
          <w:szCs w:val="24"/>
          <w:lang w:val="en-GB" w:eastAsia="zh-CN" w:bidi="ar-SA"/>
        </w:rPr>
        <w:t>、还款来源分析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本项目资金专项用于河南大成包装材料有限公司源网荷储一体化项目建设，在我行申请贷款主体为河南中原智慧冷链物流园管理运营有限公司，也是该项目的运营主体。本项目以项目电收入，作为第一还款来源，并以河南同盟国资集团有限公司提供连带责任保证担保，并追加该项目全部资产作为抵押作为第二还款来源。</w:t>
      </w:r>
    </w:p>
    <w:p>
      <w:pPr>
        <w:pStyle w:val="00002e"/>
        <w:keepNext w:val="false"/>
        <w:keepLines w:val="false"/>
        <w:pageBreakBefore w:val="false"/>
        <w:widowControl w:val="false"/>
        <w:numPr>
          <w:ilvl w:val="0"/>
          <w:numId w:val="0"/>
        </w:numPr>
        <w:kinsoku/>
        <w:wordWrap/>
        <w:overflowPunct/>
        <w:topLinePunct/>
        <w:autoSpaceDE w:val="false"/>
        <w:autoSpaceDN/>
        <w:bidi w:val="false"/>
        <w:adjustRightInd/>
        <w:snapToGrid/>
        <w:spacing w:before="157" w:beforeLines="50" w:after="157" w:afterLines="50" w:line="440" w:lineRule="exact"/>
        <w:ind w:left="0" w:leftChars="0" w:firstLine="480" w:firstLineChars="200"/>
        <w:jc w:val="left"/>
        <w:textAlignment w:val="auto"/>
        <w:outlineLvl w:val="9"/>
        <w:rPr>
          <w:rFonts w:hint="default"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3</w:t>
      </w:r>
      <w:r>
        <w:rPr>
          <w:rFonts w:hint="eastAsia" w:ascii="仿宋" w:hAnsi="仿宋" w:eastAsia="仿宋" w:cs="仿宋"/>
          <w:b w:val="false"/>
          <w:bCs w:val="false"/>
          <w:kern w:val="2"/>
          <w:sz w:val="24"/>
          <w:szCs w:val="24"/>
          <w:lang w:val="en-US" w:eastAsia="zh-CN" w:bidi="ar-SA"/>
        </w:rPr>
        <w:t>、款人还款能力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借款人为河南中原智慧冷链物流园管理运营有限公司，是为本次项目的运营公司，该公司目前暂无实际经营。</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本笔贷款额度7000万元，期限12年，项目还款期设定分期还款，估算还款期还本付息金额为9061万元，运营期总收入为14353.45万元，项目内部收益率（税后）7.98%超出4.2%，利息备付率5.12，偿债备付率1.16，超过1视为有较强偿债能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以下为还款计划：</w:t>
      </w:r>
    </w:p>
    <w:tbl>
      <w:tblPr>
        <w:tblStyle w:val="00002b"/>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990"/>
        <w:gridCol w:w="810"/>
        <w:gridCol w:w="810"/>
        <w:gridCol w:w="900"/>
        <w:gridCol w:w="900"/>
        <w:gridCol w:w="900"/>
        <w:gridCol w:w="900"/>
        <w:gridCol w:w="900"/>
        <w:gridCol w:w="900"/>
      </w:tblGrid>
      <w:tr>
        <w:trPr>
          <w:jc w:val="center"/>
        </w:trPr>
        <w:tc>
          <w:tcPr>
            <w:tcW w:w="112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年限</w:t>
            </w:r>
          </w:p>
        </w:tc>
        <w:tc>
          <w:tcPr>
            <w:tcW w:w="9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建设期</w:t>
            </w:r>
          </w:p>
        </w:tc>
        <w:tc>
          <w:tcPr>
            <w:tcW w:w="8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0.5</w:t>
            </w:r>
          </w:p>
        </w:tc>
        <w:tc>
          <w:tcPr>
            <w:tcW w:w="8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2</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3</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4</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5</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6</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7</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8</w:t>
            </w: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还本</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200.00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500.00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500.00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550.00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550.00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600.00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600.00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650.00</w:t>
            </w: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付息</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78.75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155.25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294.75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272.25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248.63</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223.88</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198.00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171.00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142.88</w:t>
            </w: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合计</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78.75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355.25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794.75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772.25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798.63</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773.88</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798.00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771.00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792.88</w:t>
            </w: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年限</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9</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10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11</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12</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还本</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650.00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700.00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800.00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付息</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113.63</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83.25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51.75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27.00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r>
      <w:tr>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18"/>
                <w:u w:val="none"/>
              </w:rPr>
              <w:t>合计</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763.63</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783.25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751.75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r>
              <w:rPr>
                <w:rFonts w:ascii="宋体" w:hAnsi="宋体" w:eastAsia="宋体" w:cs="宋体"/>
                <w:i w:val="false"/>
                <w:strike w:val="false"/>
                <w:color w:val="000000"/>
                <w:spacing w:val="0"/>
                <w:sz w:val="16"/>
                <w:u w:val="none"/>
                <w:vertAlign w:val="baseline"/>
              </w:rPr>
              <w:t>827.00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jc w:val="center"/>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（八）存量授信后重大变化</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无</w:t>
      </w:r>
    </w:p>
    <w:p>
      <w:pPr>
        <w:rPr>
          <w:rFonts w:hint="eastAsia"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br w:type="page"/>
      </w:r>
    </w:p>
    <w:p>
      <w:pPr>
        <w:pStyle w:val="000002"/>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t>二、政策制度遵循性分析</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（一）关键授信要素政策遵循性</w:t>
      </w:r>
    </w:p>
    <w:tbl>
      <w:tblPr>
        <w:tblStyle w:val="0000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2151"/>
        <w:gridCol w:w="1727"/>
        <w:gridCol w:w="2553"/>
        <w:gridCol w:w="2453"/>
      </w:tblGrid>
      <w:tr>
        <w:trPr>
          <w:trHeight w:val="349" w:hRule="atLeast"/>
          <w:jc w:val="center"/>
        </w:trPr>
        <w:tc>
          <w:tcPr>
            <w:tcW w:w="1073" w:type="dxa"/>
            <w:vMerge w:val="restart"/>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额度占用情况（额度整体方案）</w:t>
            </w:r>
          </w:p>
        </w:tc>
        <w:tc>
          <w:tcPr>
            <w:tcW w:w="2151"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额度占用方名称</w:t>
            </w:r>
          </w:p>
        </w:tc>
        <w:tc>
          <w:tcPr>
            <w:tcW w:w="1727" w:type="dxa"/>
            <w:vAlign w:val="center"/>
          </w:tcPr>
          <w:p>
            <w:pPr>
              <w:snapToGrid/>
              <w:spacing w:before="0" w:after="0" w:line="240" w:lineRule="auto"/>
              <w:ind w:left="0" w:right="0"/>
              <w:jc w:val="center"/>
              <w:rPr/>
            </w:pPr>
            <w:r>
              <w:rPr>
                <w:rFonts w:ascii="仿宋" w:hAnsi="仿宋" w:eastAsia="仿宋" w:cs="仿宋"/>
                <w:i w:val="false"/>
                <w:strike w:val="false"/>
                <w:color w:val="000000"/>
                <w:sz w:val="21"/>
                <w:u w:val="none"/>
              </w:rPr>
              <w:t>河南中原智慧冷链物流园管理运营有限公司</w:t>
            </w:r>
          </w:p>
          <w:p>
            <w:pPr>
              <w:adjustRightInd w:val="false"/>
              <w:snapToGrid w:val="false"/>
              <w:spacing w:line="240" w:lineRule="atLeast"/>
              <w:jc w:val="center"/>
              <w:rPr>
                <w:rFonts w:ascii="仿宋" w:hAnsi="仿宋" w:eastAsia="仿宋" w:cs="Times New Roman"/>
                <w:szCs w:val="21"/>
              </w:rPr>
            </w:pPr>
          </w:p>
        </w:tc>
        <w:tc>
          <w:tcPr>
            <w:tcW w:w="2553"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额度到期日</w:t>
            </w:r>
          </w:p>
        </w:tc>
        <w:tc>
          <w:tcPr>
            <w:tcW w:w="2453" w:type="dxa"/>
            <w:vAlign w:val="center"/>
          </w:tcPr>
          <w:p>
            <w:pPr>
              <w:snapToGrid/>
              <w:spacing w:before="0" w:after="0" w:line="240" w:lineRule="auto"/>
              <w:ind w:left="0" w:right="0"/>
              <w:jc w:val="both"/>
              <w:rPr/>
            </w:pPr>
            <w:r>
              <w:rPr>
                <w:rFonts w:ascii="仿宋" w:hAnsi="仿宋" w:eastAsia="仿宋" w:cs="仿宋"/>
                <w:i w:val="false"/>
                <w:strike w:val="false"/>
                <w:color w:val="000000"/>
                <w:sz w:val="21"/>
                <w:u w:val="none"/>
              </w:rPr>
              <w:t>2035年</w:t>
            </w:r>
          </w:p>
          <w:p>
            <w:pPr>
              <w:adjustRightInd w:val="false"/>
              <w:snapToGrid w:val="false"/>
              <w:spacing w:line="240" w:lineRule="atLeast"/>
              <w:jc w:val="center"/>
              <w:rPr>
                <w:rFonts w:ascii="仿宋" w:hAnsi="仿宋" w:eastAsia="仿宋" w:cs="Times New Roman"/>
                <w:szCs w:val="21"/>
              </w:rPr>
            </w:pPr>
          </w:p>
        </w:tc>
      </w:tr>
      <w:tr>
        <w:trPr>
          <w:trHeight w:val="463" w:hRule="atLeast"/>
          <w:jc w:val="center"/>
        </w:trPr>
        <w:tc>
          <w:tcPr>
            <w:tcW w:w="1073" w:type="dxa"/>
            <w:vMerge w:val="continue"/>
            <w:vAlign w:val="center"/>
          </w:tcPr>
          <w:p>
            <w:pPr>
              <w:adjustRightInd w:val="false"/>
              <w:snapToGrid w:val="false"/>
              <w:spacing w:line="240" w:lineRule="atLeast"/>
              <w:jc w:val="center"/>
              <w:rPr>
                <w:rFonts w:ascii="仿宋" w:hAnsi="仿宋" w:eastAsia="仿宋" w:cs="Times New Roman"/>
                <w:szCs w:val="21"/>
              </w:rPr>
            </w:pPr>
          </w:p>
        </w:tc>
        <w:tc>
          <w:tcPr>
            <w:tcW w:w="2151"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是否占用第三方额度</w:t>
            </w:r>
          </w:p>
        </w:tc>
        <w:tc>
          <w:tcPr>
            <w:tcW w:w="1727"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 xml:space="preserve">□是   </w:t>
            </w:r>
            <w:r>
              <w:rPr>
                <w:rFonts w:hint="eastAsia" w:ascii="仿宋" w:hAnsi="仿宋" w:eastAsia="仿宋" w:cs="Times New Roman"/>
                <w:szCs w:val="21"/>
                <w:lang w:eastAsia="zh-CN"/>
              </w:rPr>
              <w:t>☑</w:t>
            </w:r>
            <w:r>
              <w:rPr>
                <w:rFonts w:hint="eastAsia" w:ascii="仿宋" w:hAnsi="仿宋" w:eastAsia="仿宋" w:cs="Times New Roman"/>
                <w:szCs w:val="21"/>
              </w:rPr>
              <w:t>否</w:t>
            </w:r>
          </w:p>
        </w:tc>
        <w:tc>
          <w:tcPr>
            <w:tcW w:w="5006" w:type="dxa"/>
            <w:gridSpan w:val="2"/>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第三方额度主体：</w:t>
            </w:r>
          </w:p>
        </w:tc>
      </w:tr>
      <w:tr>
        <w:trPr>
          <w:trHeight w:val="463" w:hRule="atLeast"/>
          <w:jc w:val="center"/>
        </w:trPr>
        <w:tc>
          <w:tcPr>
            <w:tcW w:w="1073" w:type="dxa"/>
            <w:vMerge w:val="continue"/>
            <w:vAlign w:val="center"/>
          </w:tcPr>
          <w:p>
            <w:pPr>
              <w:adjustRightInd w:val="false"/>
              <w:snapToGrid w:val="false"/>
              <w:spacing w:line="240" w:lineRule="atLeast"/>
              <w:jc w:val="center"/>
              <w:rPr>
                <w:rFonts w:ascii="仿宋" w:hAnsi="仿宋" w:eastAsia="仿宋" w:cs="Times New Roman"/>
                <w:szCs w:val="21"/>
              </w:rPr>
            </w:pPr>
          </w:p>
        </w:tc>
        <w:tc>
          <w:tcPr>
            <w:tcW w:w="8884" w:type="dxa"/>
            <w:gridSpan w:val="4"/>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其他情况说明：</w:t>
            </w:r>
          </w:p>
        </w:tc>
      </w:tr>
      <w:tr>
        <w:trPr>
          <w:trHeight w:val="677" w:hRule="atLeast"/>
          <w:jc w:val="center"/>
        </w:trPr>
        <w:tc>
          <w:tcPr>
            <w:tcW w:w="1073" w:type="dxa"/>
            <w:vMerge w:val="restart"/>
            <w:vAlign w:val="center"/>
          </w:tcPr>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担保方式</w:t>
            </w: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p>
            <w:pPr>
              <w:adjustRightInd w:val="false"/>
              <w:snapToGrid w:val="false"/>
              <w:spacing w:line="240" w:lineRule="atLeast"/>
              <w:jc w:val="center"/>
              <w:rPr>
                <w:rFonts w:ascii="仿宋" w:hAnsi="仿宋" w:eastAsia="仿宋" w:cs="Times New Roman"/>
                <w:szCs w:val="21"/>
              </w:rPr>
            </w:pPr>
          </w:p>
        </w:tc>
        <w:tc>
          <w:tcPr>
            <w:tcW w:w="2151"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保证人拟保证的主债权本金超过保证限额</w:t>
            </w:r>
          </w:p>
        </w:tc>
        <w:tc>
          <w:tcPr>
            <w:tcW w:w="6733" w:type="dxa"/>
            <w:gridSpan w:val="3"/>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□是，说明：……</w:t>
            </w: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trPr>
          <w:trHeight w:val="538" w:hRule="atLeast"/>
          <w:jc w:val="center"/>
        </w:trPr>
        <w:tc>
          <w:tcPr>
            <w:tcW w:w="1073" w:type="dxa"/>
            <w:vMerge w:val="continue"/>
            <w:vAlign w:val="center"/>
          </w:tcPr>
          <w:p>
            <w:pPr>
              <w:adjustRightInd w:val="false"/>
              <w:snapToGrid w:val="false"/>
              <w:spacing w:line="240" w:lineRule="atLeast"/>
              <w:jc w:val="center"/>
              <w:rPr>
                <w:rFonts w:ascii="仿宋" w:hAnsi="仿宋" w:eastAsia="仿宋" w:cs="Times New Roman"/>
                <w:szCs w:val="21"/>
              </w:rPr>
            </w:pPr>
          </w:p>
        </w:tc>
        <w:tc>
          <w:tcPr>
            <w:tcW w:w="2151" w:type="dxa"/>
            <w:vMerge w:val="restart"/>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是否符合押品标准和抵质押率上限要求</w:t>
            </w:r>
          </w:p>
        </w:tc>
        <w:tc>
          <w:tcPr>
            <w:tcW w:w="1727" w:type="dxa"/>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□是</w:t>
            </w:r>
          </w:p>
        </w:tc>
        <w:tc>
          <w:tcPr>
            <w:tcW w:w="5006" w:type="dxa"/>
            <w:gridSpan w:val="2"/>
            <w:vMerge w:val="restart"/>
            <w:vAlign w:val="center"/>
          </w:tcPr>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w:t>
            </w:r>
          </w:p>
          <w:p>
            <w:pPr>
              <w:adjustRightInd w:val="false"/>
              <w:snapToGrid w:val="false"/>
              <w:spacing w:line="240" w:lineRule="atLeast"/>
              <w:jc w:val="center"/>
              <w:rPr>
                <w:rFonts w:ascii="仿宋" w:hAnsi="仿宋" w:eastAsia="仿宋" w:cs="Times New Roman"/>
                <w:szCs w:val="21"/>
              </w:rPr>
            </w:pPr>
            <w:r>
              <w:rPr>
                <w:rFonts w:hint="eastAsia" w:ascii="仿宋" w:hAnsi="仿宋" w:eastAsia="仿宋" w:cs="Times New Roman"/>
                <w:szCs w:val="21"/>
              </w:rPr>
              <w:t>……</w:t>
            </w:r>
          </w:p>
        </w:tc>
      </w:tr>
      <w:tr>
        <w:trPr>
          <w:trHeight w:val="756" w:hRule="atLeast"/>
          <w:jc w:val="center"/>
        </w:trPr>
        <w:tc>
          <w:tcPr>
            <w:tcW w:w="1073" w:type="dxa"/>
            <w:vMerge w:val="continue"/>
            <w:vAlign w:val="center"/>
          </w:tcPr>
          <w:p>
            <w:pPr>
              <w:adjustRightInd w:val="false"/>
              <w:snapToGrid w:val="false"/>
              <w:spacing w:line="240" w:lineRule="atLeast"/>
              <w:jc w:val="center"/>
              <w:rPr>
                <w:rFonts w:ascii="仿宋" w:hAnsi="仿宋" w:eastAsia="仿宋" w:cs="仿宋"/>
                <w:bCs/>
                <w:color w:val="000000"/>
                <w:kern w:val="0"/>
                <w:sz w:val="24"/>
                <w:szCs w:val="24"/>
              </w:rPr>
            </w:pPr>
          </w:p>
        </w:tc>
        <w:tc>
          <w:tcPr>
            <w:tcW w:w="2151" w:type="dxa"/>
            <w:vMerge w:val="continue"/>
            <w:vAlign w:val="center"/>
          </w:tcPr>
          <w:p>
            <w:pPr>
              <w:adjustRightInd w:val="false"/>
              <w:snapToGrid w:val="false"/>
              <w:spacing w:line="240" w:lineRule="atLeast"/>
              <w:jc w:val="center"/>
              <w:rPr>
                <w:rFonts w:ascii="仿宋" w:hAnsi="仿宋" w:eastAsia="仿宋" w:cs="仿宋"/>
                <w:color w:val="000000"/>
                <w:kern w:val="0"/>
                <w:sz w:val="24"/>
                <w:szCs w:val="24"/>
              </w:rPr>
            </w:pPr>
          </w:p>
        </w:tc>
        <w:tc>
          <w:tcPr>
            <w:tcW w:w="1727" w:type="dxa"/>
            <w:vAlign w:val="center"/>
          </w:tcPr>
          <w:p>
            <w:pPr>
              <w:adjustRightInd w:val="false"/>
              <w:snapToGrid w:val="false"/>
              <w:spacing w:line="240" w:lineRule="atLeast"/>
              <w:jc w:val="center"/>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□否</w:t>
            </w:r>
          </w:p>
          <w:p>
            <w:pPr>
              <w:pStyle w:val="000029"/>
              <w:jc w:val="center"/>
              <w:rPr>
                <w:rFonts w:hint="eastAsia"/>
                <w:lang w:eastAsia="zh-CN"/>
              </w:rPr>
            </w:pPr>
          </w:p>
        </w:tc>
        <w:tc>
          <w:tcPr>
            <w:tcW w:w="5006" w:type="dxa"/>
            <w:gridSpan w:val="2"/>
            <w:vMerge w:val="continue"/>
            <w:vAlign w:val="center"/>
          </w:tcPr>
          <w:p>
            <w:pPr>
              <w:adjustRightInd w:val="false"/>
              <w:snapToGrid w:val="false"/>
              <w:spacing w:line="240" w:lineRule="atLeast"/>
              <w:jc w:val="left"/>
              <w:rPr>
                <w:rFonts w:ascii="仿宋" w:hAnsi="仿宋" w:eastAsia="仿宋" w:cs="仿宋"/>
                <w:color w:val="000000"/>
                <w:kern w:val="0"/>
                <w:sz w:val="24"/>
                <w:szCs w:val="24"/>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（二）其他政策制度遵循性说明</w:t>
      </w:r>
    </w:p>
    <w:tbl>
      <w:tblPr>
        <w:tblStyle w:val="0000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2" w:type="dxa"/>
          <w:bottom w:w="0" w:type="dxa"/>
          <w:right w:w="102" w:type="dxa"/>
        </w:tblCellMar>
      </w:tblPr>
      <w:tblGrid>
        <w:gridCol w:w="706"/>
        <w:gridCol w:w="2567"/>
        <w:gridCol w:w="768"/>
        <w:gridCol w:w="1519"/>
        <w:gridCol w:w="806"/>
        <w:gridCol w:w="3353"/>
      </w:tblGrid>
      <w:tr>
        <w:trPr>
          <w:trHeight w:val="467"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产业政策</w:t>
            </w:r>
          </w:p>
        </w:tc>
        <w:tc>
          <w:tcPr>
            <w:tcW w:w="3335"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国家产业结构调整指导目录（最新版）</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r>
      <w:tr>
        <w:trPr>
          <w:trHeight w:val="90"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信贷政策</w:t>
            </w:r>
          </w:p>
        </w:tc>
        <w:tc>
          <w:tcPr>
            <w:tcW w:w="3335"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是否符合客户准入底线标准</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r>
      <w:tr>
        <w:trPr>
          <w:trHeight w:val="1239"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我行授信策略类别</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积极支持</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□择优支持</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□审慎支持</w:t>
            </w:r>
          </w:p>
          <w:p>
            <w:pPr>
              <w:adjustRightInd w:val="false"/>
              <w:snapToGrid w:val="false"/>
              <w:spacing w:line="240" w:lineRule="atLeast"/>
              <w:jc w:val="left"/>
              <w:rPr/>
            </w:pPr>
            <w:r>
              <w:rPr>
                <w:rFonts w:hint="eastAsia" w:ascii="仿宋" w:hAnsi="仿宋" w:eastAsia="仿宋" w:cs="Times New Roman"/>
                <w:szCs w:val="21"/>
              </w:rPr>
              <w:t>□严格限制</w:t>
            </w:r>
          </w:p>
        </w:tc>
        <w:tc>
          <w:tcPr>
            <w:tcW w:w="4159" w:type="dxa"/>
            <w:gridSpan w:val="2"/>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产品准入</w:t>
            </w:r>
          </w:p>
        </w:tc>
        <w:tc>
          <w:tcPr>
            <w:tcW w:w="3335"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是否符合产品管理办法要求</w:t>
            </w: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1.……</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2.……</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3335"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c>
          <w:tcPr>
            <w:tcW w:w="1519"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pPr>
              <w:adjustRightInd w:val="false"/>
              <w:snapToGrid w:val="false"/>
              <w:spacing w:line="240" w:lineRule="atLeast"/>
              <w:jc w:val="left"/>
              <w:rPr>
                <w:rFonts w:ascii="仿宋" w:hAnsi="仿宋" w:eastAsia="仿宋" w:cs="Times New Roman"/>
                <w:szCs w:val="21"/>
              </w:rPr>
            </w:pPr>
          </w:p>
        </w:tc>
      </w:tr>
      <w:tr>
        <w:trPr>
          <w:trHeight w:val="90" w:hRule="atLeast"/>
          <w:jc w:val="center"/>
        </w:trPr>
        <w:tc>
          <w:tcPr>
            <w:tcW w:w="706" w:type="dxa"/>
            <w:vMerge w:val="restart"/>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其他</w:t>
            </w: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是否涉及新增政府隐债</w:t>
            </w:r>
          </w:p>
        </w:tc>
        <w:tc>
          <w:tcPr>
            <w:tcW w:w="3093" w:type="dxa"/>
            <w:gridSpan w:val="3"/>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xml:space="preserve">□是  </w:t>
            </w:r>
          </w:p>
        </w:tc>
        <w:tc>
          <w:tcPr>
            <w:tcW w:w="3353"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关联方说明</w:t>
            </w:r>
          </w:p>
        </w:tc>
        <w:tc>
          <w:tcPr>
            <w:tcW w:w="3093" w:type="dxa"/>
            <w:gridSpan w:val="3"/>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是银保监会定义的关联方</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是证监会定义的关联方</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是其他类型关联方</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 xml:space="preserve"> 非关联方</w:t>
            </w:r>
          </w:p>
        </w:tc>
        <w:tc>
          <w:tcPr>
            <w:tcW w:w="3353"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按照我行关联交易管理实施办法说明是否符合文件要求</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审批权限说明</w:t>
            </w:r>
          </w:p>
        </w:tc>
        <w:tc>
          <w:tcPr>
            <w:tcW w:w="6446" w:type="dxa"/>
            <w:gridSpan w:val="4"/>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 xml:space="preserve">□总行   </w:t>
            </w:r>
            <w:r>
              <w:rPr>
                <w:rFonts w:hint="eastAsia" w:ascii="仿宋" w:hAnsi="仿宋" w:eastAsia="仿宋" w:cs="Times New Roman"/>
                <w:szCs w:val="21"/>
                <w:lang w:eastAsia="zh-CN"/>
              </w:rPr>
              <w:t>□</w:t>
            </w:r>
            <w:r>
              <w:rPr>
                <w:rFonts w:hint="eastAsia" w:ascii="仿宋" w:hAnsi="仿宋" w:eastAsia="仿宋" w:cs="Times New Roman"/>
                <w:szCs w:val="21"/>
              </w:rPr>
              <w:t>一级分行   □其他</w:t>
            </w:r>
          </w:p>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判断理由：</w:t>
            </w:r>
            <w:r>
              <w:rPr>
                <w:rFonts w:hint="eastAsia" w:ascii="仿宋" w:hAnsi="仿宋" w:eastAsia="仿宋" w:cs="Times New Roman"/>
                <w:szCs w:val="21"/>
                <w:lang w:val="en-US" w:eastAsia="zh-CN"/>
              </w:rPr>
              <w:t>新增项目贷款7000万元</w:t>
            </w:r>
          </w:p>
        </w:tc>
      </w:tr>
      <w:tr>
        <w:trPr>
          <w:trHeight w:val="90" w:hRule="atLeast"/>
          <w:jc w:val="center"/>
        </w:trPr>
        <w:tc>
          <w:tcPr>
            <w:tcW w:w="706" w:type="dxa"/>
            <w:vMerge w:val="continue"/>
            <w:vAlign w:val="center"/>
          </w:tcPr>
          <w:p>
            <w:pPr>
              <w:adjustRightInd w:val="false"/>
              <w:snapToGrid w:val="false"/>
              <w:spacing w:line="240" w:lineRule="atLeast"/>
              <w:jc w:val="left"/>
              <w:rPr>
                <w:rFonts w:ascii="仿宋" w:hAnsi="仿宋" w:eastAsia="仿宋" w:cs="Times New Roman"/>
                <w:szCs w:val="21"/>
              </w:rPr>
            </w:pPr>
          </w:p>
        </w:tc>
        <w:tc>
          <w:tcPr>
            <w:tcW w:w="2567" w:type="dxa"/>
            <w:vAlign w:val="center"/>
          </w:tcPr>
          <w:p>
            <w:pPr>
              <w:adjustRightInd w:val="false"/>
              <w:snapToGrid w:val="false"/>
              <w:spacing w:line="240" w:lineRule="atLeast"/>
              <w:jc w:val="left"/>
              <w:rPr>
                <w:rFonts w:ascii="仿宋" w:hAnsi="仿宋" w:eastAsia="仿宋" w:cs="Times New Roman"/>
                <w:szCs w:val="21"/>
              </w:rPr>
            </w:pPr>
            <w:r>
              <w:rPr>
                <w:rFonts w:hint="eastAsia" w:ascii="仿宋" w:hAnsi="仿宋" w:eastAsia="仿宋" w:cs="Times New Roman"/>
                <w:szCs w:val="21"/>
              </w:rPr>
              <w:t>其他政策制度遵循性事项说明</w:t>
            </w:r>
          </w:p>
        </w:tc>
        <w:tc>
          <w:tcPr>
            <w:tcW w:w="6446" w:type="dxa"/>
            <w:gridSpan w:val="4"/>
            <w:vAlign w:val="center"/>
          </w:tcPr>
          <w:p>
            <w:pPr>
              <w:adjustRightInd w:val="false"/>
              <w:snapToGrid w:val="false"/>
              <w:spacing w:line="240" w:lineRule="atLeast"/>
              <w:jc w:val="left"/>
              <w:rPr>
                <w:rFonts w:ascii="仿宋" w:hAnsi="仿宋" w:eastAsia="仿宋" w:cs="Times New Roman"/>
                <w:szCs w:val="21"/>
              </w:rPr>
            </w:pPr>
          </w:p>
        </w:tc>
      </w:tr>
    </w:tbl>
    <w:p>
      <w:pPr>
        <w:pStyle w:val="000002"/>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false"/>
          <w:kern w:val="2"/>
          <w:sz w:val="32"/>
          <w:szCs w:val="32"/>
          <w:lang w:val="en-GB" w:eastAsia="zh-CN" w:bidi="ar-SA"/>
        </w:rPr>
      </w:pPr>
      <w:r>
        <w:rPr>
          <w:rFonts w:hint="eastAsia" w:ascii="仿宋" w:hAnsi="仿宋" w:eastAsia="仿宋" w:cs="仿宋"/>
          <w:b/>
          <w:bCs w:val="false"/>
          <w:kern w:val="2"/>
          <w:sz w:val="32"/>
          <w:szCs w:val="32"/>
          <w:lang w:val="en-GB" w:eastAsia="zh-CN" w:bidi="ar-SA"/>
        </w:rPr>
        <w:t>三、申请人分析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119"/>
        <w:gridCol w:w="2024"/>
        <w:gridCol w:w="2417"/>
      </w:tblGrid>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客户名称</w:t>
            </w:r>
          </w:p>
        </w:tc>
        <w:tc>
          <w:tcPr>
            <w:tcW w:w="2119" w:type="dxa"/>
            <w:vAlign w:val="center"/>
          </w:tcPr>
          <w:p>
            <w:pPr>
              <w:pStyle w:val="00002e"/>
              <w:ind w:left="0" w:leftChars="0"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河南中原智慧冷链物流园管理运营有限公司</w:t>
            </w: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统一社会信用代码</w:t>
            </w:r>
          </w:p>
        </w:tc>
        <w:tc>
          <w:tcPr>
            <w:tcW w:w="2417" w:type="dxa"/>
            <w:vAlign w:val="center"/>
          </w:tcPr>
          <w:p>
            <w:pPr>
              <w:pStyle w:val="00002e"/>
              <w:ind w:left="0" w:leftChars="0"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91410724MA9KHX5A80</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填报机构</w:t>
            </w:r>
          </w:p>
        </w:tc>
        <w:tc>
          <w:tcPr>
            <w:tcW w:w="2119" w:type="dxa"/>
            <w:vAlign w:val="center"/>
          </w:tcPr>
          <w:p>
            <w:pPr>
              <w:pStyle w:val="00002e"/>
              <w:ind w:firstLine="42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获嘉县支行</w:t>
            </w: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更新时间</w:t>
            </w:r>
          </w:p>
        </w:tc>
        <w:tc>
          <w:tcPr>
            <w:tcW w:w="2417" w:type="dxa"/>
            <w:vAlign w:val="center"/>
          </w:tcPr>
          <w:p>
            <w:pPr>
              <w:pStyle w:val="00002e"/>
              <w:ind w:firstLine="420"/>
              <w:jc w:val="center"/>
              <w:rPr>
                <w:rFonts w:hint="default" w:ascii="仿宋" w:hAnsi="仿宋" w:eastAsia="仿宋" w:cs="Arial"/>
                <w:szCs w:val="21"/>
                <w:lang w:val="en-US"/>
              </w:rPr>
            </w:pPr>
            <w:r>
              <w:rPr>
                <w:rFonts w:ascii="仿宋" w:hAnsi="仿宋" w:eastAsia="仿宋" w:cs="仿宋"/>
                <w:i w:val="false"/>
                <w:strike w:val="false"/>
                <w:color w:val="000000"/>
                <w:spacing w:val="0"/>
                <w:sz w:val="21"/>
                <w:u w:val="none"/>
              </w:rPr>
              <w:t>2025.6</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所属集团</w:t>
            </w:r>
          </w:p>
        </w:tc>
        <w:tc>
          <w:tcPr>
            <w:tcW w:w="2119" w:type="dxa"/>
            <w:vAlign w:val="center"/>
          </w:tcPr>
          <w:p>
            <w:pPr>
              <w:pStyle w:val="00002e"/>
              <w:ind w:firstLine="420"/>
              <w:jc w:val="center"/>
              <w:rPr>
                <w:rFonts w:ascii="仿宋" w:hAnsi="仿宋" w:eastAsia="仿宋" w:cs="Arial"/>
                <w:color w:val="FF0000"/>
                <w:szCs w:val="21"/>
                <w:lang w:val="en-GB"/>
              </w:rPr>
            </w:pP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实际控制人</w:t>
            </w:r>
          </w:p>
        </w:tc>
        <w:tc>
          <w:tcPr>
            <w:tcW w:w="2417" w:type="dxa"/>
            <w:vAlign w:val="center"/>
          </w:tcPr>
          <w:p>
            <w:pPr>
              <w:pStyle w:val="00002e"/>
              <w:ind w:left="0" w:leftChars="0"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获嘉县国有资产事务中心</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成立时间</w:t>
            </w:r>
          </w:p>
        </w:tc>
        <w:tc>
          <w:tcPr>
            <w:tcW w:w="2119" w:type="dxa"/>
            <w:vAlign w:val="center"/>
          </w:tcPr>
          <w:p>
            <w:pPr>
              <w:pStyle w:val="00002e"/>
              <w:ind w:firstLine="42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2021-12-02</w:t>
            </w: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法定代表人</w:t>
            </w:r>
          </w:p>
        </w:tc>
        <w:tc>
          <w:tcPr>
            <w:tcW w:w="2417" w:type="dxa"/>
            <w:vAlign w:val="center"/>
          </w:tcPr>
          <w:p>
            <w:pPr>
              <w:pStyle w:val="00002e"/>
              <w:ind w:firstLine="42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马金全</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国标企业规模</w:t>
            </w:r>
          </w:p>
        </w:tc>
        <w:tc>
          <w:tcPr>
            <w:tcW w:w="2119" w:type="dxa"/>
            <w:vAlign w:val="center"/>
          </w:tcPr>
          <w:p>
            <w:pPr>
              <w:pStyle w:val="00002e"/>
              <w:ind w:firstLine="420"/>
              <w:jc w:val="center"/>
              <w:rPr>
                <w:rFonts w:ascii="仿宋" w:hAnsi="仿宋" w:eastAsia="仿宋" w:cs="Arial"/>
                <w:color w:val="FF0000"/>
                <w:szCs w:val="21"/>
                <w:lang w:val="en-GB"/>
              </w:rPr>
            </w:pP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行业归属</w:t>
            </w:r>
          </w:p>
        </w:tc>
        <w:tc>
          <w:tcPr>
            <w:tcW w:w="2417" w:type="dxa"/>
            <w:vAlign w:val="center"/>
          </w:tcPr>
          <w:p>
            <w:pPr>
              <w:pStyle w:val="00002e"/>
              <w:ind w:firstLine="42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园区管理服务</w:t>
            </w:r>
          </w:p>
        </w:tc>
      </w:tr>
      <w:tr>
        <w:trPr>
          <w:trHeight w:val="59" w:hRule="atLeast"/>
          <w:jc w:val="center"/>
        </w:trPr>
        <w:tc>
          <w:tcPr>
            <w:tcW w:w="2334" w:type="dxa"/>
            <w:vAlign w:val="center"/>
          </w:tcPr>
          <w:p>
            <w:pPr>
              <w:tabs>
                <w:tab w:val="right" w:pos="1944"/>
              </w:tabs>
              <w:spacing w:line="360" w:lineRule="auto"/>
              <w:jc w:val="center"/>
              <w:rPr>
                <w:rFonts w:ascii="仿宋" w:hAnsi="仿宋" w:eastAsia="仿宋" w:cs="Arial"/>
                <w:szCs w:val="21"/>
                <w:lang w:val="en-GB"/>
              </w:rPr>
            </w:pPr>
            <w:r>
              <w:rPr>
                <w:rFonts w:hint="eastAsia" w:ascii="仿宋" w:hAnsi="仿宋" w:eastAsia="仿宋" w:cs="Arial"/>
                <w:szCs w:val="21"/>
                <w:lang w:val="en-GB"/>
              </w:rPr>
              <w:t>注册资本（万元）</w:t>
            </w:r>
          </w:p>
        </w:tc>
        <w:tc>
          <w:tcPr>
            <w:tcW w:w="2119" w:type="dxa"/>
            <w:vAlign w:val="center"/>
          </w:tcPr>
          <w:p>
            <w:pPr>
              <w:spacing w:line="360" w:lineRule="auto"/>
              <w:jc w:val="center"/>
              <w:rPr>
                <w:rFonts w:hint="default" w:ascii="仿宋" w:hAnsi="仿宋" w:eastAsia="仿宋" w:cs="Arial"/>
                <w:color w:val="FF0000"/>
                <w:szCs w:val="21"/>
                <w:lang w:val="en-US" w:eastAsia="zh-CN"/>
              </w:rPr>
            </w:pPr>
            <w:r>
              <w:rPr>
                <w:rFonts w:ascii="仿宋" w:hAnsi="仿宋" w:eastAsia="仿宋" w:cs="仿宋"/>
                <w:i w:val="false"/>
                <w:strike w:val="false"/>
                <w:color w:val="000000"/>
                <w:spacing w:val="0"/>
                <w:sz w:val="21"/>
                <w:u w:val="none"/>
              </w:rPr>
              <w:t>100.00</w:t>
            </w:r>
          </w:p>
        </w:tc>
        <w:tc>
          <w:tcPr>
            <w:tcW w:w="2024" w:type="dxa"/>
            <w:vAlign w:val="center"/>
          </w:tcPr>
          <w:p>
            <w:pPr>
              <w:spacing w:line="360" w:lineRule="auto"/>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实收资本(万元)</w:t>
            </w:r>
          </w:p>
        </w:tc>
        <w:tc>
          <w:tcPr>
            <w:tcW w:w="2417" w:type="dxa"/>
            <w:vAlign w:val="center"/>
          </w:tcPr>
          <w:p>
            <w:pPr>
              <w:pStyle w:val="00002e"/>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上市标志</w:t>
            </w:r>
          </w:p>
        </w:tc>
        <w:tc>
          <w:tcPr>
            <w:tcW w:w="2119" w:type="dxa"/>
            <w:vAlign w:val="center"/>
          </w:tcPr>
          <w:p>
            <w:pPr>
              <w:pStyle w:val="00002e"/>
              <w:ind w:firstLine="42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否</w:t>
            </w: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上市时间</w:t>
            </w:r>
          </w:p>
        </w:tc>
        <w:tc>
          <w:tcPr>
            <w:tcW w:w="2417" w:type="dxa"/>
            <w:vAlign w:val="center"/>
          </w:tcPr>
          <w:p>
            <w:pPr>
              <w:pStyle w:val="00002e"/>
              <w:ind w:firstLine="42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上市地点</w:t>
            </w:r>
          </w:p>
        </w:tc>
        <w:tc>
          <w:tcPr>
            <w:tcW w:w="2119" w:type="dxa"/>
            <w:vAlign w:val="center"/>
          </w:tcPr>
          <w:p>
            <w:pPr>
              <w:pStyle w:val="00002e"/>
              <w:ind w:firstLine="420" w:firstLineChars="20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c>
          <w:tcPr>
            <w:tcW w:w="2024" w:type="dxa"/>
            <w:vAlign w:val="center"/>
          </w:tcPr>
          <w:p>
            <w:pPr>
              <w:pStyle w:val="00002e"/>
              <w:ind w:firstLine="0" w:firstLineChars="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股票代码</w:t>
            </w:r>
          </w:p>
        </w:tc>
        <w:tc>
          <w:tcPr>
            <w:tcW w:w="2417" w:type="dxa"/>
            <w:vAlign w:val="center"/>
          </w:tcPr>
          <w:p>
            <w:pPr>
              <w:pStyle w:val="00002e"/>
              <w:ind w:firstLine="42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r>
      <w:tr>
        <w:trPr>
          <w:trHeight w:val="59" w:hRule="atLeast"/>
          <w:jc w:val="center"/>
        </w:trPr>
        <w:tc>
          <w:tcPr>
            <w:tcW w:w="2334" w:type="dxa"/>
            <w:vAlign w:val="center"/>
          </w:tcPr>
          <w:p>
            <w:pPr>
              <w:tabs>
                <w:tab w:val="right" w:pos="1944"/>
              </w:tabs>
              <w:spacing w:line="360" w:lineRule="auto"/>
              <w:jc w:val="center"/>
              <w:rPr>
                <w:rFonts w:ascii="仿宋" w:hAnsi="仿宋" w:eastAsia="仿宋" w:cs="Arial"/>
                <w:szCs w:val="21"/>
                <w:lang w:val="en-GB"/>
              </w:rPr>
            </w:pPr>
            <w:r>
              <w:rPr>
                <w:rFonts w:hint="eastAsia" w:ascii="仿宋" w:hAnsi="仿宋" w:eastAsia="仿宋" w:cs="Arial"/>
                <w:szCs w:val="21"/>
                <w:lang w:val="en-GB"/>
              </w:rPr>
              <w:t>前次评级结果</w:t>
            </w:r>
          </w:p>
        </w:tc>
        <w:tc>
          <w:tcPr>
            <w:tcW w:w="2119" w:type="dxa"/>
            <w:vAlign w:val="center"/>
          </w:tcPr>
          <w:p>
            <w:pPr>
              <w:spacing w:line="360" w:lineRule="auto"/>
              <w:ind w:firstLine="420" w:firstLineChars="200"/>
              <w:jc w:val="center"/>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c>
          <w:tcPr>
            <w:tcW w:w="2024" w:type="dxa"/>
            <w:vAlign w:val="center"/>
          </w:tcPr>
          <w:p>
            <w:pPr>
              <w:spacing w:line="360" w:lineRule="auto"/>
              <w:jc w:val="center"/>
              <w:rPr>
                <w:rFonts w:ascii="仿宋" w:hAnsi="仿宋" w:eastAsia="仿宋" w:cs="Arial"/>
                <w:color w:val="000000"/>
                <w:szCs w:val="21"/>
                <w:lang w:val="en-GB"/>
              </w:rPr>
            </w:pPr>
            <w:r>
              <w:rPr>
                <w:rFonts w:ascii="仿宋" w:hAnsi="仿宋" w:eastAsia="仿宋" w:cs="仿宋"/>
                <w:i w:val="false"/>
                <w:strike w:val="false"/>
                <w:color w:val="000000"/>
                <w:spacing w:val="0"/>
                <w:sz w:val="21"/>
                <w:u w:val="none"/>
              </w:rPr>
              <w:t>目前有效评级</w:t>
            </w:r>
          </w:p>
        </w:tc>
        <w:tc>
          <w:tcPr>
            <w:tcW w:w="2417" w:type="dxa"/>
            <w:vAlign w:val="center"/>
          </w:tcPr>
          <w:p>
            <w:pPr>
              <w:pStyle w:val="00002e"/>
              <w:ind w:firstLine="420"/>
              <w:jc w:val="center"/>
              <w:rPr>
                <w:rFonts w:ascii="仿宋" w:hAnsi="仿宋" w:eastAsia="仿宋" w:cs="Arial"/>
                <w:szCs w:val="21"/>
                <w:lang w:val="en-GB"/>
              </w:rPr>
            </w:pPr>
          </w:p>
        </w:tc>
      </w:tr>
      <w:tr>
        <w:trPr>
          <w:trHeight w:val="59" w:hRule="atLeast"/>
          <w:jc w:val="center"/>
        </w:trPr>
        <w:tc>
          <w:tcPr>
            <w:tcW w:w="2334" w:type="dxa"/>
            <w:vAlign w:val="center"/>
          </w:tcPr>
          <w:p>
            <w:pPr>
              <w:tabs>
                <w:tab w:val="right" w:pos="1944"/>
              </w:tabs>
              <w:spacing w:line="360" w:lineRule="auto"/>
              <w:jc w:val="center"/>
              <w:rPr>
                <w:rFonts w:ascii="仿宋" w:hAnsi="仿宋" w:eastAsia="仿宋" w:cs="Arial"/>
                <w:szCs w:val="21"/>
                <w:lang w:val="en-GB"/>
              </w:rPr>
            </w:pPr>
            <w:r>
              <w:rPr>
                <w:rFonts w:hint="eastAsia" w:ascii="仿宋" w:hAnsi="仿宋" w:eastAsia="仿宋" w:cs="Arial"/>
                <w:color w:val="000000"/>
                <w:szCs w:val="21"/>
                <w:lang w:val="en-GB"/>
              </w:rPr>
              <w:t>评级到期日</w:t>
            </w:r>
          </w:p>
        </w:tc>
        <w:tc>
          <w:tcPr>
            <w:tcW w:w="6560" w:type="dxa"/>
            <w:gridSpan w:val="3"/>
            <w:vAlign w:val="center"/>
          </w:tcPr>
          <w:p>
            <w:pPr>
              <w:pStyle w:val="00002e"/>
              <w:ind w:firstLine="420"/>
              <w:jc w:val="center"/>
              <w:rPr>
                <w:rFonts w:ascii="仿宋" w:hAnsi="仿宋" w:eastAsia="仿宋" w:cs="Arial"/>
                <w:szCs w:val="21"/>
                <w:lang w:val="en-GB"/>
              </w:rPr>
            </w:pPr>
          </w:p>
        </w:tc>
      </w:tr>
      <w:tr>
        <w:trPr>
          <w:trHeight w:val="59" w:hRule="atLeast"/>
          <w:jc w:val="center"/>
        </w:trPr>
        <w:tc>
          <w:tcPr>
            <w:tcW w:w="2334" w:type="dxa"/>
            <w:vAlign w:val="center"/>
          </w:tcPr>
          <w:p>
            <w:pPr>
              <w:spacing w:line="360" w:lineRule="auto"/>
              <w:jc w:val="center"/>
              <w:rPr>
                <w:rFonts w:ascii="仿宋" w:hAnsi="仿宋" w:eastAsia="仿宋" w:cs="Arial"/>
                <w:color w:val="FF0000"/>
                <w:szCs w:val="21"/>
                <w:lang w:val="en-GB"/>
              </w:rPr>
            </w:pPr>
            <w:r>
              <w:rPr>
                <w:rFonts w:hint="eastAsia" w:ascii="仿宋" w:hAnsi="仿宋" w:eastAsia="仿宋" w:cs="Arial"/>
                <w:szCs w:val="21"/>
                <w:lang w:val="en-GB"/>
              </w:rPr>
              <w:t>经营范围</w:t>
            </w:r>
          </w:p>
        </w:tc>
        <w:tc>
          <w:tcPr>
            <w:tcW w:w="6560" w:type="dxa"/>
            <w:gridSpan w:val="3"/>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注册地址</w:t>
            </w:r>
          </w:p>
        </w:tc>
        <w:tc>
          <w:tcPr>
            <w:tcW w:w="6560" w:type="dxa"/>
            <w:gridSpan w:val="3"/>
            <w:vAlign w:val="center"/>
          </w:tcPr>
          <w:p>
            <w:pPr>
              <w:pStyle w:val="00002e"/>
              <w:ind w:firstLine="42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河南省新乡市获嘉县产业集聚区416室</w:t>
            </w:r>
          </w:p>
        </w:tc>
      </w:tr>
      <w:tr>
        <w:trPr>
          <w:trHeight w:val="59" w:hRule="atLeast"/>
          <w:jc w:val="center"/>
        </w:trPr>
        <w:tc>
          <w:tcPr>
            <w:tcW w:w="2334" w:type="dxa"/>
            <w:vAlign w:val="center"/>
          </w:tcPr>
          <w:p>
            <w:pPr>
              <w:pStyle w:val="00002e"/>
              <w:ind w:firstLine="0" w:firstLineChars="0"/>
              <w:jc w:val="center"/>
              <w:rPr>
                <w:rFonts w:ascii="仿宋" w:hAnsi="仿宋" w:eastAsia="仿宋" w:cs="Arial"/>
                <w:szCs w:val="21"/>
                <w:lang w:val="en-GB"/>
              </w:rPr>
            </w:pPr>
            <w:r>
              <w:rPr>
                <w:rFonts w:hint="eastAsia" w:ascii="仿宋" w:hAnsi="仿宋" w:eastAsia="仿宋" w:cs="Arial"/>
                <w:szCs w:val="21"/>
                <w:lang w:val="en-GB"/>
              </w:rPr>
              <w:t>办公地址</w:t>
            </w:r>
          </w:p>
        </w:tc>
        <w:tc>
          <w:tcPr>
            <w:tcW w:w="6560" w:type="dxa"/>
            <w:gridSpan w:val="3"/>
            <w:vAlign w:val="center"/>
          </w:tcPr>
          <w:p>
            <w:pPr>
              <w:pStyle w:val="00002e"/>
              <w:ind w:firstLine="420"/>
              <w:jc w:val="center"/>
              <w:rPr>
                <w:rFonts w:ascii="仿宋" w:hAnsi="仿宋" w:eastAsia="仿宋" w:cs="Arial"/>
                <w:szCs w:val="21"/>
                <w:lang w:val="en-GB"/>
              </w:rPr>
            </w:pPr>
            <w:r>
              <w:rPr>
                <w:rFonts w:ascii="仿宋" w:hAnsi="仿宋" w:eastAsia="仿宋" w:cs="仿宋"/>
                <w:i w:val="false"/>
                <w:strike w:val="false"/>
                <w:color w:val="000000"/>
                <w:spacing w:val="0"/>
                <w:sz w:val="21"/>
                <w:u w:val="none"/>
              </w:rPr>
              <w:t>河南省新乡市获嘉县产业集聚区416室</w:t>
            </w: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（一）股权结构及管理情况</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1</w:t>
      </w:r>
      <w:r>
        <w:rPr>
          <w:rFonts w:hint="eastAsia" w:ascii="仿宋" w:hAnsi="仿宋" w:eastAsia="仿宋" w:cs="仿宋"/>
          <w:b w:val="false"/>
          <w:bCs w:val="false"/>
          <w:kern w:val="2"/>
          <w:sz w:val="24"/>
          <w:szCs w:val="24"/>
          <w:lang w:val="en-US" w:eastAsia="zh-CN" w:bidi="ar-SA"/>
        </w:rPr>
        <w:t>、目前股权结构</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38"/>
        <w:gridCol w:w="1344"/>
        <w:gridCol w:w="1344"/>
        <w:gridCol w:w="1476"/>
        <w:gridCol w:w="1457"/>
        <w:gridCol w:w="1457"/>
      </w:tblGrid>
      <w:tr>
        <w:trPr>
          <w:trHeight w:val="45" w:hRule="atLeast"/>
          <w:jc w:val="center"/>
        </w:trPr>
        <w:tc>
          <w:tcPr>
            <w:tcW w:w="1587"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股东名称</w:t>
            </w:r>
          </w:p>
        </w:tc>
        <w:tc>
          <w:tcPr>
            <w:tcW w:w="1138" w:type="dxa"/>
          </w:tcPr>
          <w:p>
            <w:pPr>
              <w:spacing w:line="440" w:lineRule="exact"/>
              <w:rPr>
                <w:rFonts w:ascii="仿宋" w:hAnsi="仿宋" w:eastAsia="仿宋" w:cs="Arial"/>
                <w:szCs w:val="21"/>
                <w:lang w:val="en-GB"/>
              </w:rPr>
            </w:pPr>
            <w:r>
              <w:rPr>
                <w:rFonts w:hint="eastAsia" w:ascii="仿宋" w:hAnsi="仿宋" w:eastAsia="仿宋" w:cs="Arial"/>
                <w:szCs w:val="21"/>
                <w:lang w:val="en-GB"/>
              </w:rPr>
              <w:t>出资方式</w:t>
            </w:r>
          </w:p>
        </w:tc>
        <w:tc>
          <w:tcPr>
            <w:tcW w:w="1344"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应投金额（万元）</w:t>
            </w:r>
          </w:p>
        </w:tc>
        <w:tc>
          <w:tcPr>
            <w:tcW w:w="1344"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实投金额（万元）</w:t>
            </w:r>
          </w:p>
        </w:tc>
        <w:tc>
          <w:tcPr>
            <w:tcW w:w="1476"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股权比例（%）</w:t>
            </w:r>
          </w:p>
        </w:tc>
        <w:tc>
          <w:tcPr>
            <w:tcW w:w="1457"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主营业务</w:t>
            </w:r>
          </w:p>
        </w:tc>
        <w:tc>
          <w:tcPr>
            <w:tcW w:w="1457" w:type="dxa"/>
          </w:tcPr>
          <w:p>
            <w:pPr>
              <w:spacing w:line="440" w:lineRule="exact"/>
              <w:jc w:val="center"/>
              <w:rPr>
                <w:rFonts w:ascii="仿宋" w:hAnsi="仿宋" w:eastAsia="仿宋" w:cs="Arial"/>
                <w:szCs w:val="21"/>
                <w:lang w:val="en-GB"/>
              </w:rPr>
            </w:pPr>
            <w:r>
              <w:rPr>
                <w:rFonts w:hint="eastAsia" w:ascii="仿宋" w:hAnsi="仿宋" w:eastAsia="仿宋" w:cs="Arial"/>
                <w:szCs w:val="21"/>
                <w:lang w:val="en-GB"/>
              </w:rPr>
              <w:t>实际控制人</w:t>
            </w:r>
          </w:p>
        </w:tc>
      </w:tr>
      <w:tr>
        <w:trPr>
          <w:trHeight w:val="45" w:hRule="atLeast"/>
          <w:jc w:val="center"/>
        </w:trPr>
        <w:tc>
          <w:tcPr>
            <w:tcW w:w="1587" w:type="dxa"/>
          </w:tcPr>
          <w:p>
            <w:pPr>
              <w:pStyle w:val="00002e"/>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获嘉县产业集聚区运营发展服务有限公司</w:t>
            </w:r>
          </w:p>
        </w:tc>
        <w:tc>
          <w:tcPr>
            <w:tcW w:w="1138" w:type="dxa"/>
          </w:tcPr>
          <w:p>
            <w:pPr>
              <w:pStyle w:val="00002e"/>
              <w:spacing w:line="440" w:lineRule="exact"/>
              <w:ind w:firstLine="0" w:firstLineChars="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现金</w:t>
            </w:r>
          </w:p>
        </w:tc>
        <w:tc>
          <w:tcPr>
            <w:tcW w:w="1344" w:type="dxa"/>
          </w:tcPr>
          <w:p>
            <w:pPr>
              <w:pStyle w:val="00002e"/>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100</w:t>
            </w:r>
          </w:p>
        </w:tc>
        <w:tc>
          <w:tcPr>
            <w:tcW w:w="1344" w:type="dxa"/>
          </w:tcPr>
          <w:p>
            <w:pPr>
              <w:pStyle w:val="00002e"/>
              <w:spacing w:line="440" w:lineRule="exact"/>
              <w:ind w:firstLine="0" w:firstLineChars="0"/>
              <w:rPr>
                <w:rFonts w:hint="eastAsia" w:ascii="仿宋" w:hAnsi="仿宋" w:eastAsia="仿宋" w:cs="Arial"/>
                <w:szCs w:val="21"/>
                <w:lang w:val="en-US" w:eastAsia="zh-CN"/>
              </w:rPr>
            </w:pPr>
            <w:r>
              <w:rPr>
                <w:rFonts w:ascii="仿宋" w:hAnsi="仿宋" w:eastAsia="仿宋" w:cs="仿宋"/>
                <w:i w:val="false"/>
                <w:strike w:val="false"/>
                <w:color w:val="000000"/>
                <w:spacing w:val="0"/>
                <w:sz w:val="21"/>
                <w:u w:val="none"/>
              </w:rPr>
              <w:t>/</w:t>
            </w:r>
          </w:p>
        </w:tc>
        <w:tc>
          <w:tcPr>
            <w:tcW w:w="1476" w:type="dxa"/>
          </w:tcPr>
          <w:p>
            <w:pPr>
              <w:pStyle w:val="00002e"/>
              <w:spacing w:line="440" w:lineRule="exact"/>
              <w:ind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100</w:t>
            </w:r>
          </w:p>
        </w:tc>
        <w:tc>
          <w:tcPr>
            <w:tcW w:w="1457" w:type="dxa"/>
          </w:tcPr>
          <w:p>
            <w:pPr>
              <w:pStyle w:val="00002e"/>
              <w:spacing w:line="440" w:lineRule="exact"/>
              <w:ind w:firstLine="0" w:firstLineChars="0"/>
              <w:rPr>
                <w:rFonts w:hint="default" w:ascii="仿宋" w:hAnsi="仿宋" w:eastAsia="仿宋" w:cs="Arial"/>
                <w:szCs w:val="21"/>
                <w:lang w:val="en-US" w:eastAsia="zh-CN"/>
              </w:rPr>
            </w:pPr>
            <w:r>
              <w:rPr>
                <w:rFonts w:ascii="仿宋" w:hAnsi="仿宋" w:eastAsia="仿宋" w:cs="仿宋"/>
                <w:i w:val="false"/>
                <w:strike w:val="false"/>
                <w:color w:val="000000"/>
                <w:spacing w:val="0"/>
                <w:sz w:val="21"/>
                <w:u w:val="none"/>
              </w:rPr>
              <w:t>物业管理等</w:t>
            </w:r>
          </w:p>
        </w:tc>
        <w:tc>
          <w:tcPr>
            <w:tcW w:w="1457" w:type="dxa"/>
          </w:tcPr>
          <w:p>
            <w:pPr>
              <w:pStyle w:val="00002e"/>
              <w:spacing w:line="440" w:lineRule="exact"/>
              <w:ind w:firstLine="0" w:firstLineChars="0"/>
              <w:rPr>
                <w:rFonts w:ascii="仿宋" w:hAnsi="仿宋" w:eastAsia="仿宋" w:cs="Arial"/>
                <w:szCs w:val="21"/>
                <w:lang w:val="en-GB"/>
              </w:rPr>
            </w:pPr>
            <w:r>
              <w:rPr>
                <w:rFonts w:ascii="仿宋" w:hAnsi="仿宋" w:eastAsia="仿宋" w:cs="仿宋"/>
                <w:i w:val="false"/>
                <w:strike w:val="false"/>
                <w:color w:val="000000"/>
                <w:spacing w:val="0"/>
                <w:sz w:val="21"/>
                <w:u w:val="none"/>
              </w:rPr>
              <w:t>获嘉县国有资产事务服务中心</w:t>
            </w:r>
          </w:p>
        </w:tc>
      </w:tr>
      <w:tr>
        <w:trPr>
          <w:trHeight w:val="45" w:hRule="atLeast"/>
          <w:jc w:val="center"/>
        </w:trPr>
        <w:tc>
          <w:tcPr>
            <w:tcW w:w="1587" w:type="dxa"/>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合计</w:t>
            </w:r>
          </w:p>
        </w:tc>
        <w:tc>
          <w:tcPr>
            <w:tcW w:w="1138" w:type="dxa"/>
          </w:tcPr>
          <w:p>
            <w:pPr>
              <w:pStyle w:val="00002e"/>
              <w:spacing w:line="440" w:lineRule="exact"/>
              <w:ind w:firstLine="0" w:firstLineChars="0"/>
              <w:rPr>
                <w:rFonts w:ascii="仿宋" w:hAnsi="仿宋" w:eastAsia="仿宋" w:cs="Arial"/>
                <w:szCs w:val="21"/>
                <w:lang w:val="en-GB"/>
              </w:rPr>
            </w:pPr>
          </w:p>
        </w:tc>
        <w:tc>
          <w:tcPr>
            <w:tcW w:w="1344" w:type="dxa"/>
          </w:tcPr>
          <w:p>
            <w:pPr>
              <w:pStyle w:val="00002e"/>
              <w:spacing w:line="440" w:lineRule="exact"/>
              <w:ind w:firstLine="0" w:firstLineChars="0"/>
              <w:jc w:val="center"/>
              <w:rPr>
                <w:rFonts w:hint="default" w:ascii="仿宋" w:hAnsi="仿宋" w:eastAsia="仿宋" w:cs="Arial"/>
                <w:szCs w:val="21"/>
                <w:lang w:val="en-US" w:eastAsia="zh-CN"/>
              </w:rPr>
            </w:pPr>
            <w:r>
              <w:rPr>
                <w:rFonts w:hint="default" w:ascii="仿宋" w:hAnsi="仿宋" w:eastAsia="仿宋" w:cs="Arial"/>
                <w:szCs w:val="21"/>
                <w:lang w:val="en-US" w:eastAsia="zh-CN"/>
              </w:rPr>
              <w:t>100</w:t>
            </w:r>
          </w:p>
        </w:tc>
        <w:tc>
          <w:tcPr>
            <w:tcW w:w="1344" w:type="dxa"/>
          </w:tcPr>
          <w:p>
            <w:pPr>
              <w:pStyle w:val="00002e"/>
              <w:spacing w:line="440" w:lineRule="exact"/>
              <w:ind w:firstLine="0" w:firstLineChars="0"/>
              <w:rPr>
                <w:rFonts w:ascii="仿宋" w:hAnsi="仿宋" w:eastAsia="仿宋" w:cs="Arial"/>
                <w:szCs w:val="21"/>
                <w:lang w:val="en-GB"/>
              </w:rPr>
            </w:pPr>
          </w:p>
        </w:tc>
        <w:tc>
          <w:tcPr>
            <w:tcW w:w="1476" w:type="dxa"/>
          </w:tcPr>
          <w:p>
            <w:pPr>
              <w:pStyle w:val="00002e"/>
              <w:spacing w:line="440" w:lineRule="exact"/>
              <w:ind w:firstLine="0" w:firstLineChars="0"/>
              <w:rPr>
                <w:rFonts w:ascii="仿宋" w:hAnsi="仿宋" w:eastAsia="仿宋" w:cs="Arial"/>
                <w:szCs w:val="21"/>
                <w:lang w:val="en-GB"/>
              </w:rPr>
            </w:pPr>
          </w:p>
        </w:tc>
        <w:tc>
          <w:tcPr>
            <w:tcW w:w="1457" w:type="dxa"/>
          </w:tcPr>
          <w:p>
            <w:pPr>
              <w:pStyle w:val="00002e"/>
              <w:spacing w:line="440" w:lineRule="exact"/>
              <w:ind w:firstLine="0" w:firstLineChars="0"/>
              <w:rPr>
                <w:rFonts w:ascii="仿宋" w:hAnsi="仿宋" w:eastAsia="仿宋" w:cs="Arial"/>
                <w:szCs w:val="21"/>
                <w:lang w:val="en-GB"/>
              </w:rPr>
            </w:pPr>
          </w:p>
        </w:tc>
        <w:tc>
          <w:tcPr>
            <w:tcW w:w="1457" w:type="dxa"/>
          </w:tcPr>
          <w:p>
            <w:pPr>
              <w:pStyle w:val="00002e"/>
              <w:spacing w:line="440" w:lineRule="exact"/>
              <w:ind w:firstLine="0" w:firstLineChars="0"/>
              <w:rPr>
                <w:rFonts w:ascii="仿宋" w:hAnsi="仿宋" w:eastAsia="仿宋" w:cs="Arial"/>
                <w:szCs w:val="21"/>
                <w:lang w:val="en-GB"/>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获嘉县国有资产事务服务中心的实际控制人为获嘉县人民政府。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2</w:t>
      </w:r>
      <w:r>
        <w:rPr>
          <w:rFonts w:hint="eastAsia" w:ascii="仿宋" w:hAnsi="仿宋" w:eastAsia="仿宋" w:cs="仿宋"/>
          <w:b w:val="false"/>
          <w:bCs w:val="false"/>
          <w:kern w:val="2"/>
          <w:sz w:val="24"/>
          <w:szCs w:val="24"/>
          <w:lang w:val="en-US" w:eastAsia="zh-CN" w:bidi="ar-SA"/>
        </w:rPr>
        <w:t>、实际控制人</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实际控制人为获嘉县人民政府。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3</w:t>
      </w:r>
      <w:r>
        <w:rPr>
          <w:rFonts w:hint="eastAsia" w:ascii="仿宋" w:hAnsi="仿宋" w:eastAsia="仿宋" w:cs="仿宋"/>
          <w:b w:val="false"/>
          <w:bCs w:val="false"/>
          <w:kern w:val="2"/>
          <w:sz w:val="24"/>
          <w:szCs w:val="24"/>
          <w:lang w:val="en-US" w:eastAsia="zh-CN" w:bidi="ar-SA"/>
        </w:rPr>
        <w:t>、企业历史沿革</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河南中原智慧冷链物流园管理运营有限公司，成立于2021年，注册资本100万元，注册地址河南省新乡市获嘉县产业集聚区416室。目前无实际运营。</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4</w:t>
      </w:r>
      <w:r>
        <w:rPr>
          <w:rFonts w:hint="eastAsia" w:ascii="仿宋" w:hAnsi="仿宋" w:eastAsia="仿宋" w:cs="仿宋"/>
          <w:b w:val="false"/>
          <w:bCs w:val="false"/>
          <w:kern w:val="2"/>
          <w:sz w:val="24"/>
          <w:szCs w:val="24"/>
          <w:lang w:val="en-US" w:eastAsia="zh-CN" w:bidi="ar-SA"/>
        </w:rPr>
        <w:t>、对外股权投资情况（数据时间：2024年10月10日，单位：万元）</w:t>
      </w:r>
    </w:p>
    <w:tbl>
      <w:tblPr>
        <w:tblStyle w:val="00001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74"/>
        <w:gridCol w:w="1077"/>
        <w:gridCol w:w="850"/>
        <w:gridCol w:w="1191"/>
        <w:gridCol w:w="1757"/>
        <w:gridCol w:w="1077"/>
        <w:gridCol w:w="1077"/>
        <w:gridCol w:w="850"/>
      </w:tblGrid>
      <w:tr>
        <w:trPr>
          <w:trHeight w:val="330"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被投资企业</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注册资本</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投资额</w:t>
            </w: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出资比例%</w:t>
            </w: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主营业务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资产规模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营业收入</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净利润</w:t>
            </w:r>
          </w:p>
        </w:tc>
      </w:tr>
      <w:tr>
        <w:trPr>
          <w:trHeight w:val="401"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无</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pPr>
              <w:pStyle w:val="00002e"/>
              <w:spacing w:line="440" w:lineRule="exact"/>
              <w:ind w:firstLine="0" w:firstLineChars="0"/>
              <w:jc w:val="center"/>
              <w:rPr>
                <w:rFonts w:ascii="仿宋" w:hAnsi="仿宋" w:eastAsia="仿宋" w:cs="Arial"/>
                <w:szCs w:val="21"/>
                <w:lang w:val="en-GB"/>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2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Arial"/>
          <w:szCs w:val="21"/>
        </w:rPr>
        <w:t xml:space="preserve"> </w:t>
      </w:r>
      <w:r>
        <w:rPr>
          <w:rFonts w:hint="eastAsia" w:ascii="仿宋" w:hAnsi="仿宋" w:eastAsia="仿宋" w:cs="仿宋"/>
          <w:b w:val="false"/>
          <w:bCs w:val="false"/>
          <w:kern w:val="2"/>
          <w:sz w:val="24"/>
          <w:szCs w:val="24"/>
          <w:lang w:val="en-US" w:eastAsia="zh-CN" w:bidi="ar-SA"/>
        </w:rPr>
        <w:t>重要关联企业介绍</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①河南同盟国资集团有限公司(曾用名：获嘉县新农村建设投资有限公司)，成立于2011年，位于河南省新乡市，是一家以从事商务服务业为主的企业。企业注册资本20000万人民币。经营范围：房地产开发经营；建设工程施工；食品销售；酒类经营（依法须经批准的项目，经相关部门批准后方可开展经营活动，具体经营项目以相关部门批准文件或许可证件为准）一般项目：以自有资金从事投资活动；土石方工程施工；园林绿化工程施工；对外承包工程；土地使用权租赁；土地整治服务；土地调查评估服务；文化场馆管理服务；城市公园管理；游览景区管理；电力设施器材销售；建筑材料销售；林业产品销售；智能农业管理；农业机械销售；污水处理及其再生利用；农村生活垃圾经营性服务；充电桩销售；停车场服务；文具用品零售；文具用品批发；办公用品销售；玩具、动漫及游艺用品销售；文艺创作（除依法须经批准的项目外，凭营业执照依法自主开展经营活动）</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②获嘉县产业集聚区运营发展服务有限公司，注册资本金为300万元，成立于2020年8月7日。位于河南省获嘉县城关镇产业集聚区四楼405号，旗下园区众多，产业涵盖现代化工、装备制造等领域。作为母公司，其资源丰富、实力强劲，有力推动了区域产业的繁荣发展。</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5</w:t>
      </w:r>
      <w:r>
        <w:rPr>
          <w:rFonts w:hint="eastAsia" w:ascii="仿宋" w:hAnsi="仿宋" w:eastAsia="仿宋" w:cs="仿宋"/>
          <w:b w:val="false"/>
          <w:bCs w:val="false"/>
          <w:kern w:val="2"/>
          <w:sz w:val="24"/>
          <w:szCs w:val="24"/>
          <w:lang w:val="en-US" w:eastAsia="zh-CN" w:bidi="ar-SA"/>
        </w:rPr>
        <w:t>、组织管理架构</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董事会：公司不设董事会，设一名执行董事，执行董事由股东决定产生，执行董事任期每届三年，任期届满，连选可以连任。执行董事为公司的法定代表人。</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监事会：公司不设监事会，设监事1名（1或2），由股东决定产生，监事任期每届三年，任期届满，连选可以连任。</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GB" w:eastAsia="zh-CN" w:bidi="ar-SA"/>
        </w:rPr>
        <w:t>经理层：公司设经理，由执行董事兼任。</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default" w:ascii="仿宋" w:hAnsi="仿宋" w:eastAsia="仿宋" w:cs="仿宋"/>
          <w:b w:val="false"/>
          <w:bCs w:val="false"/>
          <w:kern w:val="2"/>
          <w:sz w:val="24"/>
          <w:szCs w:val="24"/>
          <w:lang w:val="en-GB" w:eastAsia="zh-CN" w:bidi="ar-SA"/>
        </w:rPr>
        <w:t>6</w:t>
      </w:r>
      <w:r>
        <w:rPr>
          <w:rFonts w:hint="eastAsia" w:ascii="仿宋" w:hAnsi="仿宋" w:eastAsia="仿宋" w:cs="仿宋"/>
          <w:b w:val="false"/>
          <w:bCs w:val="false"/>
          <w:kern w:val="2"/>
          <w:sz w:val="24"/>
          <w:szCs w:val="24"/>
          <w:lang w:val="en-GB" w:eastAsia="zh-CN" w:bidi="ar-SA"/>
        </w:rPr>
        <w:t>、</w:t>
      </w:r>
      <w:r>
        <w:rPr>
          <w:rFonts w:hint="eastAsia" w:ascii="仿宋" w:hAnsi="仿宋" w:eastAsia="仿宋" w:cs="仿宋"/>
          <w:b w:val="false"/>
          <w:bCs w:val="false"/>
          <w:kern w:val="2"/>
          <w:sz w:val="24"/>
          <w:szCs w:val="24"/>
          <w:lang w:val="en-US" w:eastAsia="zh-CN" w:bidi="ar-SA"/>
        </w:rPr>
        <w:t>企业高管情况介绍</w:t>
        <w:tab/>
        <w:tab/>
      </w:r>
      <w:r>
        <w:rPr>
          <w:rFonts w:hint="eastAsia" w:ascii="仿宋" w:hAnsi="仿宋" w:eastAsia="仿宋" w:cs="仿宋"/>
          <w:b w:val="false"/>
          <w:bCs w:val="false"/>
          <w:kern w:val="2"/>
          <w:sz w:val="24"/>
          <w:szCs w:val="24"/>
          <w:lang w:val="en-GB" w:eastAsia="zh-CN" w:bidi="ar-SA"/>
        </w:rPr>
        <w:tab/>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①法人、董事：马金全，男，汉族，出生于1970年1月23日，籍贯河南省获嘉县，中专学历,已婚，现住获嘉县城关镇宋庄村，联系电话：13072670627</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主要工作经历：</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1986-1999在获嘉县造纸厂工作；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2000-2015在获嘉县煤炭管理办公室工作；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2016-2018在获嘉县科工局工作；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2019-2020在获嘉县城关镇工作；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2021至今在获嘉县产业集聚区工作。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②财务：李秀丽，女，汉族，出生于1984年9月22日，籍贯河南省获嘉县，大专学历,现住新乡市获嘉县，联系电话：13949649419</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主要工作经历：</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2013年2月到新乡市人民政府西工区管理委员会财务部工作；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2021年3月到至今获嘉县先进制造业开发区经济发展科工作。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7</w:t>
      </w:r>
      <w:r>
        <w:rPr>
          <w:rFonts w:hint="eastAsia" w:ascii="仿宋" w:hAnsi="仿宋" w:eastAsia="仿宋" w:cs="仿宋"/>
          <w:b w:val="false"/>
          <w:bCs w:val="false"/>
          <w:kern w:val="2"/>
          <w:sz w:val="24"/>
          <w:szCs w:val="24"/>
          <w:lang w:val="en-US" w:eastAsia="zh-CN" w:bidi="ar-SA"/>
        </w:rPr>
        <w:t>、重大事项</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无</w:t>
      </w:r>
      <w:r>
        <w:rPr>
          <w:rFonts w:hint="eastAsia" w:ascii="仿宋" w:hAnsi="仿宋" w:eastAsia="仿宋" w:cs="仿宋"/>
          <w:b w:val="false"/>
          <w:bCs w:val="false"/>
          <w:kern w:val="2"/>
          <w:sz w:val="24"/>
          <w:szCs w:val="24"/>
          <w:lang w:val="en-GB" w:eastAsia="zh-CN" w:bidi="ar-SA"/>
        </w:rPr>
        <w:t>。</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8</w:t>
      </w:r>
      <w:r>
        <w:rPr>
          <w:rFonts w:hint="eastAsia" w:ascii="仿宋" w:hAnsi="仿宋" w:eastAsia="仿宋" w:cs="仿宋"/>
          <w:b w:val="false"/>
          <w:bCs w:val="false"/>
          <w:kern w:val="2"/>
          <w:sz w:val="24"/>
          <w:szCs w:val="24"/>
          <w:lang w:val="en-US" w:eastAsia="zh-CN" w:bidi="ar-SA"/>
        </w:rPr>
        <w:t>、实际控制人及管理层评价</w:t>
      </w:r>
    </w:p>
    <w:tbl>
      <w:tblPr>
        <w:tblStyle w:val="00002b"/>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040"/>
        <w:gridCol w:w="960"/>
        <w:gridCol w:w="945"/>
      </w:tblGrid>
      <w:tr>
        <w:trPr>
          <w:trHeight w:val="288" w:hRule="atLeast"/>
          <w:jc w:val="center"/>
        </w:trPr>
        <w:tc>
          <w:tcPr>
            <w:tcW w:w="510" w:type="dxa"/>
            <w:vMerge w:val="restart"/>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color w:val="000000"/>
              </w:rPr>
            </w:pPr>
            <w:r>
              <w:rPr>
                <w:rFonts w:ascii="仿宋" w:hAnsi="仿宋" w:eastAsia="仿宋" w:cs="仿宋"/>
                <w:b/>
                <w:i w:val="false"/>
                <w:strike w:val="false"/>
                <w:color w:val="000000"/>
                <w:spacing w:val="0"/>
                <w:sz w:val="22"/>
                <w:u w:val="none"/>
                <w:vertAlign w:val="baseline"/>
              </w:rPr>
              <w:t>主要管理经验</w:t>
            </w:r>
          </w:p>
        </w:tc>
        <w:tc>
          <w:tcPr>
            <w:tcW w:w="804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left"/>
              <w:rPr>
                <w:color w:val="000000"/>
              </w:rPr>
            </w:pPr>
            <w:r>
              <w:rPr>
                <w:rFonts w:ascii="仿宋" w:hAnsi="仿宋" w:eastAsia="仿宋" w:cs="仿宋"/>
                <w:i w:val="false"/>
                <w:strike w:val="false"/>
                <w:color w:val="000000"/>
                <w:spacing w:val="0"/>
                <w:sz w:val="22"/>
                <w:u w:val="none"/>
                <w:vertAlign w:val="baseline"/>
              </w:rPr>
              <w:t>1.实际控制人或主要管理人员曾任职公司是否出现较大经营风险、重大经济损失？</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color w:val="000000"/>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color w:val="000000"/>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color w:val="000000"/>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left"/>
              <w:rPr>
                <w:color w:val="000000"/>
              </w:rPr>
            </w:pPr>
            <w:r>
              <w:rPr>
                <w:rFonts w:ascii="仿宋" w:hAnsi="仿宋" w:eastAsia="仿宋" w:cs="仿宋"/>
                <w:i w:val="false"/>
                <w:strike w:val="false"/>
                <w:color w:val="000000"/>
                <w:spacing w:val="0"/>
                <w:sz w:val="22"/>
                <w:u w:val="none"/>
                <w:vertAlign w:val="baseline"/>
              </w:rPr>
              <w:t>2.经营管理层相对于实际控制人是否保持必要的独立性？</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color w:val="000000"/>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color w:val="000000"/>
              </w:rPr>
            </w:pPr>
            <w:r>
              <w:rPr>
                <w:rFonts w:ascii="仿宋" w:hAnsi="仿宋" w:eastAsia="仿宋" w:cs="仿宋"/>
                <w:i w:val="false"/>
                <w:strike w:val="false"/>
                <w:color w:val="000000"/>
                <w:spacing w:val="0"/>
                <w:sz w:val="22"/>
                <w:u w:val="none"/>
                <w:vertAlign w:val="baseline"/>
              </w:rPr>
              <w:t>□否</w:t>
            </w:r>
          </w:p>
        </w:tc>
      </w:tr>
      <w:tr>
        <w:trPr>
          <w:trHeight w:val="425" w:hRule="atLeast"/>
          <w:jc w:val="center"/>
        </w:trPr>
        <w:tc>
          <w:tcPr>
            <w:tcW w:w="510"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color w:val="000000"/>
              </w:rPr>
            </w:pP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both"/>
              <w:rPr>
                <w:color w:val="000000"/>
              </w:rPr>
            </w:pPr>
            <w:r>
              <w:rPr>
                <w:rFonts w:ascii="仿宋" w:hAnsi="仿宋" w:eastAsia="仿宋" w:cs="仿宋"/>
                <w:i w:val="false"/>
                <w:strike w:val="false"/>
                <w:color w:val="000000"/>
                <w:spacing w:val="0"/>
                <w:sz w:val="22"/>
                <w:u w:val="none"/>
              </w:rPr>
              <w:t>如以上问题回答为“否”，在此进行详细说明：</w:t>
            </w:r>
          </w:p>
        </w:tc>
      </w:tr>
      <w:tr>
        <w:trPr>
          <w:trHeight w:val="288" w:hRule="atLeast"/>
          <w:jc w:val="center"/>
        </w:trPr>
        <w:tc>
          <w:tcPr>
            <w:tcW w:w="510" w:type="dxa"/>
            <w:vMerge w:val="restart"/>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b/>
                <w:i w:val="false"/>
                <w:strike w:val="false"/>
                <w:color w:val="000000"/>
                <w:spacing w:val="0"/>
                <w:sz w:val="22"/>
                <w:u w:val="none"/>
                <w:vertAlign w:val="baseline"/>
              </w:rPr>
              <w:t>个人品行及资信记录</w:t>
            </w: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1. 实际控制人或主要管理人员是否参与民间借贷</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2. 实际控制人或主要管理人员在人行征信系统是否有不良记录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3. 实际控制人或主要管理人员是否受过行业自律管理机构处分</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4. 实际控制人或主要管理人员是否受过行政处罚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5. 实际控制人或主要管理人员是否受过刑事处罚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6. 实际控制人或主要管理人员有无赌博、吸毒等不良嗜好</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576"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7. 实际控制人或主要管理人员有无铺张浪费、远超出自身及所在企业财务实力或经营现状的奢侈消费行为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8.实际控制人或主要管理人员在我行个人贷款、信用卡透支是否存在不良债务行为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firstLine="110" w:firstLineChars="50"/>
              <w:jc w:val="both"/>
              <w:rPr/>
            </w:pPr>
            <w:r>
              <w:rPr>
                <w:rFonts w:ascii="仿宋" w:hAnsi="仿宋" w:eastAsia="仿宋" w:cs="仿宋"/>
                <w:i w:val="false"/>
                <w:strike w:val="false"/>
                <w:color w:val="000000"/>
                <w:spacing w:val="0"/>
                <w:sz w:val="22"/>
                <w:u w:val="none"/>
                <w:vertAlign w:val="baseline"/>
              </w:rPr>
              <w:t>9.实际控制人或主要管理人员是否纳入人民法院失信被执行人名单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2"/>
                <w:u w:val="none"/>
                <w:vertAlign w:val="baseline"/>
              </w:rPr>
              <w:t>☑否</w:t>
            </w:r>
          </w:p>
        </w:tc>
      </w:tr>
      <w:tr>
        <w:trPr>
          <w:trHeight w:val="1400"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both"/>
              <w:rPr/>
            </w:pPr>
            <w:r>
              <w:rPr>
                <w:rFonts w:ascii="仿宋" w:hAnsi="仿宋" w:eastAsia="仿宋" w:cs="仿宋"/>
                <w:i w:val="false"/>
                <w:strike w:val="false"/>
                <w:color w:val="000000"/>
                <w:spacing w:val="0"/>
                <w:sz w:val="22"/>
                <w:u w:val="none"/>
              </w:rPr>
              <w:t>上述问题如选择“是”，请逐一在此栏进行说明：</w:t>
            </w:r>
          </w:p>
        </w:tc>
      </w:tr>
      <w:tr>
        <w:trPr>
          <w:trHeight w:val="700" w:hRule="atLeast"/>
          <w:jc w:val="center"/>
        </w:trPr>
        <w:tc>
          <w:tcPr>
            <w:tcW w:w="510" w:type="dxa"/>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b/>
                <w:i w:val="false"/>
                <w:strike w:val="false"/>
                <w:color w:val="000000"/>
                <w:spacing w:val="0"/>
                <w:sz w:val="22"/>
                <w:u w:val="none"/>
                <w:vertAlign w:val="baseline"/>
              </w:rPr>
              <w:t>其他</w:t>
            </w: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（二）经营模式分析</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1</w:t>
      </w:r>
      <w:r>
        <w:rPr>
          <w:rFonts w:hint="eastAsia" w:ascii="仿宋" w:hAnsi="仿宋" w:eastAsia="仿宋" w:cs="仿宋"/>
          <w:b w:val="false"/>
          <w:bCs w:val="false"/>
          <w:kern w:val="2"/>
          <w:sz w:val="24"/>
          <w:szCs w:val="24"/>
          <w:lang w:val="en-US" w:eastAsia="zh-CN" w:bidi="ar-SA"/>
        </w:rPr>
        <w:t>、生产经营情况概述</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US" w:eastAsia="zh-CN" w:bidi="ar-SA"/>
        </w:rPr>
        <w:t>河南中</w:t>
      </w:r>
      <w:r>
        <w:rPr>
          <w:rFonts w:hint="eastAsia" w:ascii="仿宋" w:hAnsi="仿宋" w:eastAsia="仿宋" w:cs="仿宋"/>
          <w:b w:val="false"/>
          <w:bCs w:val="false"/>
          <w:kern w:val="2"/>
          <w:sz w:val="24"/>
          <w:szCs w:val="24"/>
          <w:lang w:val="en-GB" w:eastAsia="zh-CN" w:bidi="ar-SA"/>
        </w:rPr>
        <w:t>原智慧冷链物流园管理运营有限公司投资建设的源网荷储一体化项目，依托独特的“定向消纳、源网荷储”模式，在新能源市场中形成差异化竞争优势。当前新能源综合利用市场竞争激烈，但聚焦单一企业内部消纳的细分赛道仍存机遇，公司凭借国资背景与产业集聚区资源，在项目审批、土地获取及政策支持上具备天然优势，显著降低市场进入壁垒。</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项目所发电量由河南大成包装材料有限公司100%消纳。项目分布式光伏发电年产出绿电约为718.07万KWH、用户侧储能年充放电量约为1368.00万KWH。经调查，目前河南大成包装材料有限公司年用电量约为 4752.00 万KWH，该企业是 24 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本项目所产出绿色电力能源销售价格低于国网销售价格。根据《国网河南省电力公司代理购电工商用户电价表（执行时间：2025年5月1日-2025年5月31日）》，两部制工商业用电（1-10千伏）高峰电价为1.105元/度、平时段电价为0.692元/度、低估时段电价为0.377元/度，大成包装企业为24小时生产企业，平均电价约为0.724元/度，本次估算不含尖峰电价。本项目提供的绿色电力能源售电价格为暂定为0.57元/度，在不含尖峰电价情况下本项目售电价格比国网便宜0.154元/度，降低大成包装公司用电成本。</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大成包装年用电量约 4752 万度，据此计算，本项目每年可为其节约电费约为266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在项目周边半径 20 公里范围内，还有众多用电量较大的企业，例如：河南金天化工有限公司年用电量约 9000 万KWH、新乡中新化工有限责任公司年用电量约 6000 万KWH、河南宏一纺织有限公司年用电量约 4000 万KWH，以上企业都可以作为本项目消纳客户。目标市场环境较好，容量缺口较大。</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申请人采用“投资建设+定向供应+多元服务”商业模式，盈利来源于光伏发电与储能的售电收益，以及充电桩业务的增值服务收入。未来3-5年，随着用电主体产能扩张、新能源技术成本持续下降，叠加国家“双碳”政策红利，项目收入稳定性与盈利能力将持续增强，商业模式可持续性强，为授信还款提供坚实保障。</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default" w:ascii="仿宋" w:hAnsi="仿宋" w:eastAsia="仿宋" w:cs="仿宋"/>
          <w:b w:val="false"/>
          <w:bCs w:val="false"/>
          <w:kern w:val="2"/>
          <w:sz w:val="24"/>
          <w:szCs w:val="24"/>
          <w:lang w:val="en-US" w:eastAsia="zh-CN" w:bidi="ar-SA"/>
        </w:rPr>
        <w:t>2</w:t>
      </w:r>
      <w:r>
        <w:rPr>
          <w:rFonts w:hint="eastAsia" w:ascii="仿宋" w:hAnsi="仿宋" w:eastAsia="仿宋" w:cs="仿宋"/>
          <w:b w:val="false"/>
          <w:bCs w:val="false"/>
          <w:kern w:val="2"/>
          <w:sz w:val="24"/>
          <w:szCs w:val="24"/>
          <w:lang w:val="en-US" w:eastAsia="zh-CN" w:bidi="ar-SA"/>
        </w:rPr>
        <w:t>、</w:t>
      </w:r>
      <w:r>
        <w:rPr>
          <w:rFonts w:hint="eastAsia" w:ascii="仿宋" w:hAnsi="仿宋" w:eastAsia="仿宋" w:cs="仿宋"/>
          <w:b w:val="false"/>
          <w:bCs w:val="false"/>
          <w:kern w:val="2"/>
          <w:sz w:val="24"/>
          <w:szCs w:val="24"/>
          <w:lang w:val="en-GB" w:eastAsia="zh-CN" w:bidi="ar-SA"/>
        </w:rPr>
        <w:t>主营业务情况</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GB" w:eastAsia="zh-CN" w:bidi="ar-SA"/>
        </w:rPr>
      </w:pPr>
      <w:r>
        <w:rPr>
          <w:rFonts w:hint="eastAsia" w:ascii="仿宋" w:hAnsi="仿宋" w:eastAsia="仿宋" w:cs="仿宋"/>
          <w:b w:val="false"/>
          <w:bCs w:val="false"/>
          <w:kern w:val="2"/>
          <w:sz w:val="24"/>
          <w:szCs w:val="24"/>
          <w:lang w:val="en-GB" w:eastAsia="zh-CN" w:bidi="ar-SA"/>
        </w:rPr>
        <w:t>收入结构（数据期间：</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u w:val="single"/>
          <w:lang w:val="en-US" w:eastAsia="zh-CN" w:bidi="ar-SA"/>
        </w:rPr>
        <w:t xml:space="preserve"> </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lang w:val="en-GB" w:eastAsia="zh-CN" w:bidi="ar-SA"/>
        </w:rPr>
        <w:t>年</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u w:val="single"/>
          <w:lang w:val="en-US" w:eastAsia="zh-CN" w:bidi="ar-SA"/>
        </w:rPr>
        <w:t xml:space="preserve"> </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lang w:val="en-GB" w:eastAsia="zh-CN" w:bidi="ar-SA"/>
        </w:rPr>
        <w:t>月</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u w:val="single"/>
          <w:lang w:val="en-US" w:eastAsia="zh-CN" w:bidi="ar-SA"/>
        </w:rPr>
        <w:t xml:space="preserve"> </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lang w:val="en-GB" w:eastAsia="zh-CN" w:bidi="ar-SA"/>
        </w:rPr>
        <w:t>日——</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u w:val="single"/>
          <w:lang w:val="en-US" w:eastAsia="zh-CN" w:bidi="ar-SA"/>
        </w:rPr>
        <w:t xml:space="preserve"> </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lang w:val="en-GB" w:eastAsia="zh-CN" w:bidi="ar-SA"/>
        </w:rPr>
        <w:t>年</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u w:val="single"/>
          <w:lang w:val="en-US" w:eastAsia="zh-CN" w:bidi="ar-SA"/>
        </w:rPr>
        <w:t xml:space="preserve"> </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lang w:val="en-GB" w:eastAsia="zh-CN" w:bidi="ar-SA"/>
        </w:rPr>
        <w:t>月</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u w:val="single"/>
          <w:lang w:val="en-US" w:eastAsia="zh-CN" w:bidi="ar-SA"/>
        </w:rPr>
        <w:t xml:space="preserve"> </w:t>
      </w:r>
      <w:r>
        <w:rPr>
          <w:rFonts w:hint="eastAsia" w:ascii="仿宋" w:hAnsi="仿宋" w:eastAsia="仿宋" w:cs="仿宋"/>
          <w:b w:val="false"/>
          <w:bCs w:val="false"/>
          <w:kern w:val="2"/>
          <w:sz w:val="24"/>
          <w:szCs w:val="24"/>
          <w:u w:val="single"/>
          <w:lang w:val="en-GB" w:eastAsia="zh-CN" w:bidi="ar-SA"/>
        </w:rPr>
        <w:t xml:space="preserve"> </w:t>
      </w:r>
      <w:r>
        <w:rPr>
          <w:rFonts w:hint="eastAsia" w:ascii="仿宋" w:hAnsi="仿宋" w:eastAsia="仿宋" w:cs="仿宋"/>
          <w:b w:val="false"/>
          <w:bCs w:val="false"/>
          <w:kern w:val="2"/>
          <w:sz w:val="24"/>
          <w:szCs w:val="24"/>
          <w:lang w:val="en-GB" w:eastAsia="zh-CN" w:bidi="ar-SA"/>
        </w:rPr>
        <w:t>日，单位：%、万元）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7"/>
        <w:gridCol w:w="1008"/>
        <w:gridCol w:w="1866"/>
        <w:gridCol w:w="884"/>
        <w:gridCol w:w="1335"/>
        <w:gridCol w:w="1114"/>
        <w:gridCol w:w="1399"/>
      </w:tblGrid>
      <w:tr>
        <w:trPr>
          <w:trHeight w:val="307" w:hRule="atLeast"/>
          <w:jc w:val="center"/>
        </w:trPr>
        <w:tc>
          <w:tcPr>
            <w:tcW w:w="1087" w:type="dxa"/>
            <w:vAlign w:val="center"/>
          </w:tcPr>
          <w:p>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业务名称</w:t>
            </w: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销售(营业)利润率</w:t>
            </w:r>
          </w:p>
        </w:tc>
        <w:tc>
          <w:tcPr>
            <w:tcW w:w="884" w:type="dxa"/>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营业收入</w:t>
            </w:r>
          </w:p>
        </w:tc>
        <w:tc>
          <w:tcPr>
            <w:tcW w:w="1335" w:type="dxa"/>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营业收入占比</w:t>
            </w:r>
          </w:p>
        </w:tc>
        <w:tc>
          <w:tcPr>
            <w:tcW w:w="1114" w:type="dxa"/>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营业成本</w:t>
            </w:r>
          </w:p>
        </w:tc>
        <w:tc>
          <w:tcPr>
            <w:tcW w:w="1399" w:type="dxa"/>
            <w:vAlign w:val="center"/>
          </w:tcPr>
          <w:p>
            <w:pPr>
              <w:spacing w:line="375" w:lineRule="atLeast"/>
              <w:rPr>
                <w:rFonts w:ascii="仿宋" w:hAnsi="仿宋" w:eastAsia="仿宋" w:cs="仿宋"/>
                <w:b/>
                <w:szCs w:val="21"/>
              </w:rPr>
            </w:pPr>
            <w:r>
              <w:rPr>
                <w:rFonts w:hint="eastAsia" w:ascii="仿宋" w:hAnsi="仿宋" w:eastAsia="仿宋" w:cs="仿宋"/>
                <w:b/>
                <w:szCs w:val="21"/>
              </w:rPr>
              <w:t>营业成本占比</w:t>
            </w:r>
          </w:p>
        </w:tc>
      </w:tr>
      <w:tr>
        <w:trPr>
          <w:trHeight w:val="245" w:hRule="atLeast"/>
          <w:jc w:val="center"/>
        </w:trPr>
        <w:tc>
          <w:tcPr>
            <w:tcW w:w="1087" w:type="dxa"/>
            <w:vMerge w:val="restart"/>
            <w:vAlign w:val="center"/>
          </w:tcPr>
          <w:p>
            <w:pPr>
              <w:spacing w:line="375" w:lineRule="atLeast"/>
              <w:jc w:val="center"/>
              <w:rPr>
                <w:rFonts w:ascii="仿宋" w:hAnsi="仿宋" w:eastAsia="仿宋" w:cs="仿宋"/>
                <w:b/>
                <w:szCs w:val="21"/>
              </w:rPr>
            </w:pPr>
            <w:r>
              <w:rPr>
                <w:rFonts w:hint="eastAsia" w:ascii="仿宋" w:hAnsi="仿宋" w:eastAsia="仿宋" w:cs="仿宋"/>
                <w:b/>
                <w:szCs w:val="21"/>
              </w:rPr>
              <w:t>主营业务</w:t>
            </w: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r>
              <w:rPr>
                <w:rFonts w:ascii="仿宋" w:hAnsi="仿宋" w:eastAsia="仿宋" w:cs="仿宋"/>
                <w:bCs/>
                <w:szCs w:val="21"/>
              </w:rPr>
              <w:t>暂无</w:t>
            </w: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vMerge w:val="continue"/>
            <w:vAlign w:val="center"/>
          </w:tcPr>
          <w:p>
            <w:pP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tcPr>
          <w:p>
            <w:pPr>
              <w:spacing w:line="375" w:lineRule="atLeast"/>
              <w:jc w:val="center"/>
              <w:rPr>
                <w:rFonts w:ascii="仿宋" w:hAnsi="仿宋" w:eastAsia="仿宋" w:cs="仿宋"/>
                <w:b/>
                <w:szCs w:val="21"/>
              </w:rPr>
            </w:pPr>
            <w:r>
              <w:rPr>
                <w:rFonts w:hint="eastAsia" w:ascii="仿宋" w:hAnsi="仿宋" w:eastAsia="仿宋" w:cs="仿宋"/>
                <w:b/>
                <w:szCs w:val="21"/>
              </w:rPr>
              <w:t>其他</w:t>
            </w: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vAlign w:val="center"/>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r>
        <w:trPr>
          <w:trHeight w:val="245" w:hRule="atLeast"/>
          <w:jc w:val="center"/>
        </w:trPr>
        <w:tc>
          <w:tcPr>
            <w:tcW w:w="1087" w:type="dxa"/>
          </w:tcPr>
          <w:p>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r>
              <w:rPr>
                <w:rFonts w:hint="eastAsia" w:ascii="仿宋" w:hAnsi="仿宋" w:eastAsia="仿宋" w:cs="仿宋"/>
                <w:b/>
                <w:szCs w:val="21"/>
              </w:rPr>
              <w:t>合计</w:t>
            </w:r>
          </w:p>
        </w:tc>
        <w:tc>
          <w:tcPr>
            <w:tcW w:w="1866" w:type="dxa"/>
            <w:noWrap/>
            <w:tcMar>
              <w:top w:w="15" w:type="dxa"/>
              <w:left w:w="15" w:type="dxa"/>
              <w:bottom w:w="0" w:type="dxa"/>
              <w:right w:w="15" w:type="dxa"/>
            </w:tcMar>
            <w:vAlign w:val="center"/>
          </w:tcPr>
          <w:p>
            <w:pPr>
              <w:spacing w:line="375" w:lineRule="atLeast"/>
              <w:jc w:val="center"/>
              <w:rPr>
                <w:rFonts w:ascii="仿宋" w:hAnsi="仿宋" w:eastAsia="仿宋" w:cs="仿宋"/>
                <w:bCs/>
                <w:szCs w:val="21"/>
              </w:rPr>
            </w:pPr>
          </w:p>
        </w:tc>
        <w:tc>
          <w:tcPr>
            <w:tcW w:w="884" w:type="dxa"/>
            <w:vAlign w:val="center"/>
          </w:tcPr>
          <w:p>
            <w:pPr>
              <w:spacing w:line="375" w:lineRule="atLeast"/>
              <w:jc w:val="center"/>
              <w:rPr>
                <w:rFonts w:ascii="仿宋" w:hAnsi="仿宋" w:eastAsia="仿宋" w:cs="仿宋"/>
                <w:bCs/>
                <w:szCs w:val="21"/>
              </w:rPr>
            </w:pPr>
          </w:p>
        </w:tc>
        <w:tc>
          <w:tcPr>
            <w:tcW w:w="1335" w:type="dxa"/>
          </w:tcPr>
          <w:p>
            <w:pPr>
              <w:spacing w:line="375" w:lineRule="atLeast"/>
              <w:jc w:val="center"/>
              <w:rPr>
                <w:rFonts w:ascii="仿宋" w:hAnsi="仿宋" w:eastAsia="仿宋" w:cs="仿宋"/>
                <w:bCs/>
                <w:szCs w:val="21"/>
              </w:rPr>
            </w:pPr>
          </w:p>
        </w:tc>
        <w:tc>
          <w:tcPr>
            <w:tcW w:w="1114" w:type="dxa"/>
          </w:tcPr>
          <w:p>
            <w:pPr>
              <w:spacing w:line="375" w:lineRule="atLeast"/>
              <w:jc w:val="center"/>
              <w:rPr>
                <w:rFonts w:ascii="仿宋" w:hAnsi="仿宋" w:eastAsia="仿宋" w:cs="仿宋"/>
                <w:bCs/>
                <w:szCs w:val="21"/>
              </w:rPr>
            </w:pPr>
          </w:p>
        </w:tc>
        <w:tc>
          <w:tcPr>
            <w:tcW w:w="1399" w:type="dxa"/>
          </w:tcPr>
          <w:p>
            <w:pPr>
              <w:spacing w:line="375" w:lineRule="atLeast"/>
              <w:jc w:val="center"/>
              <w:rPr>
                <w:rFonts w:ascii="仿宋" w:hAnsi="仿宋" w:eastAsia="仿宋" w:cs="仿宋"/>
                <w:bCs/>
                <w:szCs w:val="21"/>
              </w:rPr>
            </w:pPr>
          </w:p>
        </w:tc>
      </w:tr>
    </w:tbl>
    <w:p>
      <w:pPr>
        <w:keepNext w:val="false"/>
        <w:keepLines w:val="false"/>
        <w:pageBreakBefore w:val="false"/>
        <w:widowControl w:val="false"/>
        <w:pBdr>
          <w:bottom w:val="none" w:color="auto" w:sz="0" w:space="0"/>
        </w:pBdr>
        <w:kinsoku/>
        <w:wordWrap/>
        <w:overflowPunct/>
        <w:topLinePunct w:val="false"/>
        <w:autoSpaceDE/>
        <w:autoSpaceDN/>
        <w:bidi w:val="false"/>
        <w:adjustRightInd/>
        <w:snapToGrid/>
        <w:spacing w:before="157" w:beforeLines="50" w:after="157" w:afterLines="50" w:line="440" w:lineRule="exact"/>
        <w:ind w:left="0" w:firstLine="480" w:firstLineChars="200"/>
        <w:jc w:val="both"/>
        <w:textAlignment w:val="auto"/>
        <w:rPr/>
      </w:pPr>
      <w:r>
        <w:rPr>
          <w:rFonts w:ascii="仿宋" w:hAnsi="仿宋" w:eastAsia="仿宋" w:cs="仿宋"/>
          <w:i w:val="false"/>
          <w:strike w:val="false"/>
          <w:color w:val="000000"/>
          <w:sz w:val="24"/>
          <w:u w:val="none"/>
        </w:rPr>
        <w:t>项目处于建设期间，无实际经营，项目建成后主要收入是光伏售电收入、储能售电收入、光伏充电桩收入以及换电收入。</w:t>
      </w:r>
    </w:p>
    <w:p>
      <w:pPr>
        <w:pStyle w:val="000029"/>
        <w:keepNext w:val="false"/>
        <w:keepLines w:val="false"/>
        <w:pageBreakBefore w:val="false"/>
        <w:widowControl w:val="false"/>
        <w:numPr>
          <w:ilvl w:val="0"/>
          <w:numId w:val="0"/>
        </w:numPr>
        <w:kinsoku/>
        <w:wordWrap/>
        <w:overflowPunct/>
        <w:topLinePunct w:val="false"/>
        <w:autoSpaceDE/>
        <w:autoSpaceDN/>
        <w:bidi w:val="false"/>
        <w:adjustRightInd/>
        <w:snapToGrid/>
        <w:spacing w:before="157" w:beforeLines="50" w:after="157" w:afterLines="50" w:line="440" w:lineRule="exact"/>
        <w:ind w:left="0" w:leftChars="0" w:firstLine="480" w:firstLineChars="200"/>
        <w:textAlignment w:val="auto"/>
        <w:rPr>
          <w:rFonts w:hint="eastAsia" w:ascii="仿宋" w:hAnsi="仿宋" w:eastAsia="仿宋" w:cs="仿宋"/>
          <w:b w:val="false"/>
          <w:bCs w:val="false"/>
          <w:kern w:val="2"/>
          <w:sz w:val="24"/>
          <w:szCs w:val="24"/>
          <w:lang w:val="en-GB" w:eastAsia="zh-CN" w:bidi="ar-SA"/>
        </w:rPr>
      </w:pPr>
      <w:r>
        <w:rPr>
          <w:rFonts w:hint="default" w:ascii="仿宋" w:hAnsi="仿宋" w:eastAsia="仿宋" w:cs="仿宋"/>
          <w:b w:val="false"/>
          <w:bCs w:val="false"/>
          <w:kern w:val="2"/>
          <w:sz w:val="24"/>
          <w:szCs w:val="24"/>
          <w:lang w:val="en-US" w:eastAsia="zh-CN" w:bidi="ar-SA"/>
        </w:rPr>
        <w:t>(1)</w:t>
      </w:r>
      <w:r>
        <w:rPr>
          <w:rFonts w:hint="eastAsia" w:ascii="仿宋" w:hAnsi="仿宋" w:eastAsia="仿宋" w:cs="仿宋"/>
          <w:b w:val="false"/>
          <w:bCs w:val="false"/>
          <w:kern w:val="2"/>
          <w:sz w:val="24"/>
          <w:szCs w:val="24"/>
          <w:lang w:val="en-GB" w:eastAsia="zh-CN" w:bidi="ar-SA"/>
        </w:rPr>
        <w:t>成本结构（数据期间：</w:t>
      </w:r>
      <w:r>
        <w:rPr>
          <w:rFonts w:hint="eastAsia" w:ascii="仿宋" w:hAnsi="仿宋" w:eastAsia="仿宋" w:cs="仿宋"/>
          <w:b w:val="false"/>
          <w:bCs w:val="false"/>
          <w:i w:val="false"/>
          <w:iCs w:val="false"/>
          <w:kern w:val="2"/>
          <w:sz w:val="24"/>
          <w:szCs w:val="24"/>
          <w:u w:val="single"/>
          <w:lang w:val="en-GB" w:eastAsia="zh-CN" w:bidi="ar-SA"/>
        </w:rPr>
        <w:t xml:space="preserve">  </w:t>
      </w:r>
      <w:r>
        <w:rPr>
          <w:rFonts w:hint="eastAsia" w:ascii="仿宋" w:hAnsi="仿宋" w:eastAsia="仿宋" w:cs="仿宋"/>
          <w:b w:val="false"/>
          <w:bCs w:val="false"/>
          <w:i w:val="false"/>
          <w:iCs w:val="false"/>
          <w:kern w:val="2"/>
          <w:sz w:val="24"/>
          <w:szCs w:val="24"/>
          <w:u w:val="none"/>
          <w:lang w:val="en-GB" w:eastAsia="zh-CN" w:bidi="ar-SA"/>
        </w:rPr>
        <w:t>年</w:t>
      </w:r>
      <w:r>
        <w:rPr>
          <w:rFonts w:hint="eastAsia" w:ascii="仿宋" w:hAnsi="仿宋" w:eastAsia="仿宋" w:cs="仿宋"/>
          <w:b w:val="false"/>
          <w:bCs w:val="false"/>
          <w:i w:val="false"/>
          <w:iCs w:val="false"/>
          <w:kern w:val="2"/>
          <w:sz w:val="24"/>
          <w:szCs w:val="24"/>
          <w:u w:val="single"/>
          <w:lang w:val="en-GB" w:eastAsia="zh-CN" w:bidi="ar-SA"/>
        </w:rPr>
        <w:t xml:space="preserve">  </w:t>
      </w:r>
      <w:r>
        <w:rPr>
          <w:rFonts w:hint="eastAsia" w:ascii="仿宋" w:hAnsi="仿宋" w:eastAsia="仿宋" w:cs="仿宋"/>
          <w:b w:val="false"/>
          <w:bCs w:val="false"/>
          <w:i w:val="false"/>
          <w:iCs w:val="false"/>
          <w:kern w:val="2"/>
          <w:sz w:val="24"/>
          <w:szCs w:val="24"/>
          <w:u w:val="none"/>
          <w:lang w:val="en-GB" w:eastAsia="zh-CN" w:bidi="ar-SA"/>
        </w:rPr>
        <w:t>月</w:t>
      </w:r>
      <w:r>
        <w:rPr>
          <w:rFonts w:hint="eastAsia" w:ascii="仿宋" w:hAnsi="仿宋" w:eastAsia="仿宋" w:cs="仿宋"/>
          <w:b w:val="false"/>
          <w:bCs w:val="false"/>
          <w:i w:val="false"/>
          <w:iCs w:val="false"/>
          <w:kern w:val="2"/>
          <w:sz w:val="24"/>
          <w:szCs w:val="24"/>
          <w:u w:val="single"/>
          <w:lang w:val="en-GB" w:eastAsia="zh-CN" w:bidi="ar-SA"/>
        </w:rPr>
        <w:t xml:space="preserve">  </w:t>
      </w:r>
      <w:r>
        <w:rPr>
          <w:rFonts w:hint="eastAsia" w:ascii="仿宋" w:hAnsi="仿宋" w:eastAsia="仿宋" w:cs="仿宋"/>
          <w:b w:val="false"/>
          <w:bCs w:val="false"/>
          <w:i w:val="false"/>
          <w:iCs w:val="false"/>
          <w:kern w:val="2"/>
          <w:sz w:val="24"/>
          <w:szCs w:val="24"/>
          <w:u w:val="none"/>
          <w:lang w:val="en-GB" w:eastAsia="zh-CN" w:bidi="ar-SA"/>
        </w:rPr>
        <w:t>日</w:t>
      </w:r>
      <w:r>
        <w:rPr>
          <w:rFonts w:hint="eastAsia" w:ascii="仿宋" w:hAnsi="仿宋" w:eastAsia="仿宋" w:cs="仿宋"/>
          <w:b w:val="false"/>
          <w:bCs w:val="false"/>
          <w:kern w:val="2"/>
          <w:sz w:val="24"/>
          <w:szCs w:val="24"/>
          <w:lang w:val="en-GB" w:eastAsia="zh-CN" w:bidi="ar-SA"/>
        </w:rPr>
        <w:t>——</w:t>
      </w:r>
      <w:r>
        <w:rPr>
          <w:rFonts w:hint="eastAsia" w:ascii="仿宋" w:hAnsi="仿宋" w:eastAsia="仿宋" w:cs="仿宋"/>
          <w:b w:val="false"/>
          <w:bCs w:val="false"/>
          <w:i w:val="false"/>
          <w:iCs w:val="false"/>
          <w:kern w:val="2"/>
          <w:sz w:val="24"/>
          <w:szCs w:val="24"/>
          <w:u w:val="single"/>
          <w:lang w:val="en-GB" w:eastAsia="zh-CN" w:bidi="ar-SA"/>
        </w:rPr>
        <w:t xml:space="preserve">  </w:t>
      </w:r>
      <w:r>
        <w:rPr>
          <w:rFonts w:hint="eastAsia" w:ascii="仿宋" w:hAnsi="仿宋" w:eastAsia="仿宋" w:cs="仿宋"/>
          <w:b w:val="false"/>
          <w:bCs w:val="false"/>
          <w:i w:val="false"/>
          <w:iCs w:val="false"/>
          <w:kern w:val="2"/>
          <w:sz w:val="24"/>
          <w:szCs w:val="24"/>
          <w:u w:val="none"/>
          <w:lang w:val="en-GB" w:eastAsia="zh-CN" w:bidi="ar-SA"/>
        </w:rPr>
        <w:t>年</w:t>
      </w:r>
      <w:r>
        <w:rPr>
          <w:rFonts w:hint="eastAsia" w:ascii="仿宋" w:hAnsi="仿宋" w:eastAsia="仿宋" w:cs="仿宋"/>
          <w:b w:val="false"/>
          <w:bCs w:val="false"/>
          <w:i w:val="false"/>
          <w:iCs w:val="false"/>
          <w:kern w:val="2"/>
          <w:sz w:val="24"/>
          <w:szCs w:val="24"/>
          <w:u w:val="single"/>
          <w:lang w:val="en-GB" w:eastAsia="zh-CN" w:bidi="ar-SA"/>
        </w:rPr>
        <w:t xml:space="preserve">  </w:t>
      </w:r>
      <w:r>
        <w:rPr>
          <w:rFonts w:hint="eastAsia" w:ascii="仿宋" w:hAnsi="仿宋" w:eastAsia="仿宋" w:cs="仿宋"/>
          <w:b w:val="false"/>
          <w:bCs w:val="false"/>
          <w:i w:val="false"/>
          <w:iCs w:val="false"/>
          <w:kern w:val="2"/>
          <w:sz w:val="24"/>
          <w:szCs w:val="24"/>
          <w:u w:val="none"/>
          <w:lang w:val="en-GB" w:eastAsia="zh-CN" w:bidi="ar-SA"/>
        </w:rPr>
        <w:t>月</w:t>
      </w:r>
      <w:r>
        <w:rPr>
          <w:rFonts w:hint="eastAsia" w:ascii="仿宋" w:hAnsi="仿宋" w:eastAsia="仿宋" w:cs="仿宋"/>
          <w:b w:val="false"/>
          <w:bCs w:val="false"/>
          <w:i w:val="false"/>
          <w:iCs w:val="false"/>
          <w:kern w:val="2"/>
          <w:sz w:val="24"/>
          <w:szCs w:val="24"/>
          <w:u w:val="single"/>
          <w:lang w:val="en-GB" w:eastAsia="zh-CN" w:bidi="ar-SA"/>
        </w:rPr>
        <w:t xml:space="preserve">  </w:t>
      </w:r>
      <w:r>
        <w:rPr>
          <w:rFonts w:hint="eastAsia" w:ascii="仿宋" w:hAnsi="仿宋" w:eastAsia="仿宋" w:cs="仿宋"/>
          <w:b w:val="false"/>
          <w:bCs w:val="false"/>
          <w:i w:val="false"/>
          <w:iCs w:val="false"/>
          <w:kern w:val="2"/>
          <w:sz w:val="24"/>
          <w:szCs w:val="24"/>
          <w:u w:val="none"/>
          <w:lang w:val="en-GB" w:eastAsia="zh-CN" w:bidi="ar-SA"/>
        </w:rPr>
        <w:t>日</w:t>
      </w:r>
      <w:r>
        <w:rPr>
          <w:rFonts w:hint="eastAsia" w:ascii="仿宋" w:hAnsi="仿宋" w:eastAsia="仿宋" w:cs="仿宋"/>
          <w:b w:val="false"/>
          <w:bCs w:val="false"/>
          <w:kern w:val="2"/>
          <w:sz w:val="24"/>
          <w:szCs w:val="24"/>
          <w:lang w:val="en-GB" w:eastAsia="zh-CN" w:bidi="ar-SA"/>
        </w:rPr>
        <w:t>，单位：万元、%）</w:t>
      </w:r>
    </w:p>
    <w:tbl>
      <w:tblPr>
        <w:tblStyle w:val="000015"/>
        <w:tblW w:w="0" w:type="auto"/>
        <w:jc w:val="center"/>
        <w:tblLayout w:type="fixed"/>
        <w:tblCellMar>
          <w:top w:w="0" w:type="dxa"/>
          <w:left w:w="0" w:type="dxa"/>
          <w:bottom w:w="0" w:type="dxa"/>
          <w:right w:w="0" w:type="dxa"/>
        </w:tblCellMar>
      </w:tblPr>
      <w:tblGrid>
        <w:gridCol w:w="1387"/>
        <w:gridCol w:w="1701"/>
        <w:gridCol w:w="1701"/>
        <w:gridCol w:w="1701"/>
        <w:gridCol w:w="1701"/>
      </w:tblGrid>
      <w:tr>
        <w:trPr>
          <w:trHeight w:val="402" w:hRule="atLeast"/>
          <w:jc w:val="center"/>
        </w:trPr>
        <w:tc>
          <w:tcPr>
            <w:tcW w:w="13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单位成本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总成本占比</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成本评价</w:t>
            </w:r>
          </w:p>
        </w:tc>
      </w:tr>
      <w:tr>
        <w:trPr>
          <w:trHeight w:val="318"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前五大成本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r>
              <w:rPr>
                <w:rFonts w:ascii="仿宋" w:hAnsi="仿宋" w:eastAsia="仿宋" w:cs="仿宋"/>
                <w:color w:val="000000"/>
                <w:sz w:val="20"/>
                <w:szCs w:val="20"/>
              </w:rPr>
              <w:t>暂无</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48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其中：XXX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r>
      <w:tr>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color w:val="000000"/>
                <w:sz w:val="20"/>
                <w:szCs w:val="20"/>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2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rPr>
        <w:t xml:space="preserve"> </w:t>
      </w:r>
      <w:r>
        <w:rPr>
          <w:rFonts w:hint="eastAsia" w:ascii="仿宋" w:hAnsi="仿宋" w:eastAsia="仿宋" w:cs="仿宋"/>
          <w:b w:val="false"/>
          <w:bCs w:val="false"/>
          <w:kern w:val="2"/>
          <w:sz w:val="24"/>
          <w:szCs w:val="24"/>
          <w:lang w:val="en-US" w:eastAsia="zh-CN" w:bidi="ar-SA"/>
        </w:rPr>
        <w:t>项目处于建设期间，无实际经营，项目建设完成后，主要成本有工资福利成本、租赁成本、外购燃料及动力费等。</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3．</w:t>
      </w:r>
      <w:r>
        <w:rPr>
          <w:rFonts w:hint="eastAsia" w:ascii="仿宋" w:hAnsi="仿宋" w:eastAsia="仿宋" w:cs="仿宋"/>
          <w:b w:val="false"/>
          <w:bCs w:val="false"/>
          <w:kern w:val="2"/>
          <w:sz w:val="24"/>
          <w:szCs w:val="24"/>
          <w:lang w:val="en-US" w:eastAsia="zh-CN" w:bidi="ar-SA"/>
        </w:rPr>
        <w:t>主营业务经营流程</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(1)</w:t>
      </w:r>
      <w:r>
        <w:rPr>
          <w:rFonts w:hint="eastAsia" w:ascii="仿宋" w:hAnsi="仿宋" w:eastAsia="仿宋" w:cs="仿宋"/>
          <w:b w:val="false"/>
          <w:bCs w:val="false"/>
          <w:kern w:val="2"/>
          <w:sz w:val="24"/>
          <w:szCs w:val="24"/>
          <w:lang w:val="en-US" w:eastAsia="zh-CN" w:bidi="ar-SA"/>
        </w:rPr>
        <w:t>主要业务的生产流程（可通过流程图展示，如有多项产品需按不同产品列示）。</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该项目主要业务生产流程围绕光伏发电、储能及充电服务展开。首先，光伏发电系统将太阳能转化为电能，产出电能及储能设备的电能直接供给河南大成包装材料有限公司的用电设备，满足生产需求，同时，充电桩与换电站为新能源车辆提供充电、换电服务。</w:t>
      </w:r>
    </w:p>
    <w:p>
      <w:pPr>
        <w:snapToGrid/>
        <w:spacing w:before="0" w:after="0" w:line="240" w:lineRule="auto"/>
        <w:ind w:left="0" w:right="0"/>
        <w:jc w:val="center"/>
        <w:rPr/>
      </w:pPr>
      <w:r>
        <w:rPr/>
        <w:drawing>
          <wp:inline distT="0" distB="0" distL="0" distR="0">
            <wp:extent cx="3981450" cy="3812540"/>
            <wp:effectExtent l="0" t="0" r="0" b="0"/>
            <wp:docPr id="2" name="picture" descr="descript"/>
            <wp:cNvGraphicFramePr/>
            <a:graphic>
              <a:graphicData uri="http://schemas.openxmlformats.org/drawingml/2006/picture">
                <pic:pic>
                  <pic:nvPicPr>
                    <pic:cNvPr id="3" name="picture" descr="descript"/>
                    <pic:cNvPicPr/>
                  </pic:nvPicPr>
                  <pic:blipFill>
                    <a:blip r:embed="rId5"/>
                    <a:stretch>
                      <a:fillRect/>
                    </a:stretch>
                  </pic:blipFill>
                  <pic:spPr>
                    <a:xfrm>
                      <a:off x="0" y="0"/>
                      <a:ext cx="3981450" cy="3812807"/>
                    </a:xfrm>
                    <a:prstGeom prst="rect">
                      <a:avLst/>
                    </a:prstGeom>
                  </pic:spPr>
                </pic:pic>
              </a:graphicData>
            </a:graphic>
          </wp:inline>
        </w:drawing>
      </w:r>
    </w:p>
    <w:p>
      <w:pPr>
        <w:pStyle w:val="000029"/>
        <w:ind w:firstLine="420" w:firstLineChars="0"/>
        <w:rPr>
          <w:rFonts w:ascii="仿宋" w:hAnsi="仿宋" w:eastAsia="仿宋" w:cs="Arial"/>
          <w:b/>
          <w:color w:val="FF0000"/>
          <w:szCs w:val="21"/>
        </w:rPr>
      </w:pP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（2）核心环节的相对竞争优势。</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①该项目项目核心环节优势显著：核心优势在于产出的绿色电力能源价格显著低于国网电价。</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以2025年5月工商业代理电价两部制1-10千伏为例，国网高峰电价为1.105元/度、平时段电价为0.692元/度、低谷时段电价为0.377元/度，而大成包装作为24小时生产企业，平均电价约为0.724元/度（不含尖峰电价）。本项目绿色电力能源售电价格暂定为0.57元/度，在不含尖峰电价的情况下，每度电比国网便宜0.154元。大成包装年用电量约4752万度，据此计算，本项目每年可为其节约电费约为266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市场前景广阔。</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②绿色电力可以协同中小企业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特别是中小企业，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中小企业可以获得技术支持、市场优势和社会认可，实现可持续发展的双赢局面。</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4</w:t>
      </w:r>
      <w:r>
        <w:rPr>
          <w:rFonts w:hint="eastAsia" w:ascii="仿宋" w:hAnsi="仿宋" w:eastAsia="仿宋" w:cs="仿宋"/>
          <w:b w:val="false"/>
          <w:bCs w:val="false"/>
          <w:kern w:val="2"/>
          <w:sz w:val="24"/>
          <w:szCs w:val="24"/>
          <w:lang w:val="en-US" w:eastAsia="zh-CN" w:bidi="ar-SA"/>
        </w:rPr>
        <w:t>、上游前五大客户情况（数据日期：2025年5月30日，单位：万元）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094"/>
        <w:gridCol w:w="1095"/>
        <w:gridCol w:w="1095"/>
        <w:gridCol w:w="1095"/>
        <w:gridCol w:w="1095"/>
        <w:gridCol w:w="1095"/>
        <w:gridCol w:w="1095"/>
      </w:tblGrid>
      <w:tr>
        <w:trPr>
          <w:trHeight w:val="283"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前五名销售商</w:t>
            </w: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是否关联企业</w:t>
            </w: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关系年限</w:t>
            </w: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供应比例</w:t>
            </w: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产品</w:t>
            </w: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金额</w:t>
            </w: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结算方式</w:t>
            </w: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付款周期</w:t>
            </w:r>
          </w:p>
        </w:tc>
      </w:tr>
      <w:tr>
        <w:trPr>
          <w:trHeight w:val="283"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r>
              <w:rPr>
                <w:rFonts w:ascii="仿宋" w:hAnsi="仿宋" w:eastAsia="仿宋" w:cs="Arial"/>
                <w:b/>
                <w:bCs/>
                <w:szCs w:val="21"/>
                <w:lang w:val="en-GB"/>
              </w:rPr>
              <w:t>暂无</w:t>
            </w: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r>
      <w:tr>
        <w:trPr>
          <w:trHeight w:val="328"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r>
      <w:tr>
        <w:trPr>
          <w:trHeight w:val="283" w:hRule="atLeast"/>
          <w:jc w:val="center"/>
        </w:trPr>
        <w:tc>
          <w:tcPr>
            <w:tcW w:w="1618" w:type="dxa"/>
            <w:vAlign w:val="center"/>
          </w:tcPr>
          <w:p>
            <w:pPr>
              <w:pStyle w:val="00002e"/>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合计</w:t>
            </w:r>
          </w:p>
        </w:tc>
        <w:tc>
          <w:tcPr>
            <w:tcW w:w="1094"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0"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c>
          <w:tcPr>
            <w:tcW w:w="1095" w:type="dxa"/>
            <w:vAlign w:val="center"/>
          </w:tcPr>
          <w:p>
            <w:pPr>
              <w:pStyle w:val="00002e"/>
              <w:spacing w:line="240" w:lineRule="auto"/>
              <w:ind w:firstLineChars="0"/>
              <w:jc w:val="center"/>
              <w:rPr>
                <w:rFonts w:ascii="仿宋" w:hAnsi="仿宋" w:eastAsia="仿宋" w:cs="Arial"/>
                <w:b/>
                <w:bCs/>
                <w:szCs w:val="21"/>
                <w:lang w:val="en-GB"/>
              </w:rPr>
            </w:pPr>
          </w:p>
        </w:tc>
      </w:tr>
    </w:tbl>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eastAsia" w:ascii="仿宋" w:hAnsi="仿宋" w:eastAsia="仿宋" w:cs="仿宋"/>
          <w:b w:val="false"/>
          <w:bCs w:val="false"/>
          <w:kern w:val="2"/>
          <w:sz w:val="24"/>
          <w:szCs w:val="24"/>
          <w:lang w:val="en-US" w:eastAsia="zh-CN" w:bidi="ar-SA"/>
        </w:rPr>
        <w:t>该项目还未建设，暂未指定上游客户。</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false"/>
          <w:bCs w:val="false"/>
          <w:kern w:val="2"/>
          <w:sz w:val="24"/>
          <w:szCs w:val="24"/>
          <w:lang w:val="en-US" w:eastAsia="zh-CN" w:bidi="ar-SA"/>
        </w:rPr>
      </w:pPr>
      <w:r>
        <w:rPr>
          <w:rFonts w:hint="default" w:ascii="仿宋" w:hAnsi="仿宋" w:eastAsia="仿宋" w:cs="仿宋"/>
          <w:b w:val="false"/>
          <w:bCs w:val="false"/>
          <w:kern w:val="2"/>
          <w:sz w:val="24"/>
          <w:szCs w:val="24"/>
          <w:lang w:val="en-US" w:eastAsia="zh-CN" w:bidi="ar-SA"/>
        </w:rPr>
        <w:t>5</w:t>
      </w:r>
      <w:r>
        <w:rPr>
          <w:rFonts w:hint="eastAsia" w:ascii="仿宋" w:hAnsi="仿宋" w:eastAsia="仿宋" w:cs="仿宋"/>
          <w:b w:val="false"/>
          <w:bCs w:val="false"/>
          <w:kern w:val="2"/>
          <w:sz w:val="24"/>
          <w:szCs w:val="24"/>
          <w:lang w:val="en-US" w:eastAsia="zh-CN" w:bidi="ar-SA"/>
        </w:rPr>
        <w:t>、下游前五大客户情况（数据日期：2025年5月30日，单位：万元）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077"/>
        <w:gridCol w:w="1077"/>
        <w:gridCol w:w="1077"/>
        <w:gridCol w:w="1077"/>
        <w:gridCol w:w="1077"/>
        <w:gridCol w:w="1077"/>
        <w:gridCol w:w="1077"/>
        <w:gridCol w:w="1077"/>
      </w:tblGrid>
      <w:tr>
        <w:trPr>
          <w:trHeight w:val="272" w:hRule="atLeast"/>
          <w:jc w:val="center"/>
        </w:trPr>
        <w:tc>
          <w:tcPr>
            <w:tcW w:w="1866" w:type="dxa"/>
            <w:vAlign w:val="center"/>
          </w:tcPr>
          <w:p>
            <w:pPr>
              <w:rPr>
                <w:rFonts w:ascii="仿宋" w:hAnsi="仿宋" w:eastAsia="仿宋"/>
                <w:b/>
                <w:bCs/>
                <w:szCs w:val="21"/>
              </w:rPr>
            </w:pPr>
            <w:r>
              <w:rPr>
                <w:rFonts w:hint="eastAsia" w:ascii="仿宋" w:hAnsi="仿宋" w:eastAsia="仿宋"/>
                <w:b/>
                <w:bCs/>
                <w:szCs w:val="21"/>
              </w:rPr>
              <w:t>前五大下游客户</w:t>
            </w:r>
          </w:p>
        </w:tc>
        <w:tc>
          <w:tcPr>
            <w:tcW w:w="1077" w:type="dxa"/>
            <w:vAlign w:val="center"/>
          </w:tcPr>
          <w:p>
            <w:pPr>
              <w:jc w:val="center"/>
              <w:rPr>
                <w:rFonts w:ascii="仿宋" w:hAnsi="仿宋" w:eastAsia="仿宋"/>
                <w:b/>
                <w:bCs/>
                <w:szCs w:val="21"/>
              </w:rPr>
            </w:pPr>
            <w:r>
              <w:rPr>
                <w:rFonts w:hint="eastAsia" w:ascii="仿宋" w:hAnsi="仿宋" w:eastAsia="仿宋" w:cs="Arial"/>
                <w:b/>
                <w:bCs/>
                <w:szCs w:val="21"/>
                <w:lang w:val="en-GB"/>
              </w:rPr>
              <w:t>是否关联企业</w:t>
            </w:r>
          </w:p>
        </w:tc>
        <w:tc>
          <w:tcPr>
            <w:tcW w:w="1077" w:type="dxa"/>
            <w:vAlign w:val="center"/>
          </w:tcPr>
          <w:p>
            <w:pPr>
              <w:rPr>
                <w:rFonts w:ascii="仿宋" w:hAnsi="仿宋" w:eastAsia="仿宋"/>
                <w:b/>
                <w:bCs/>
                <w:szCs w:val="21"/>
              </w:rPr>
            </w:pPr>
            <w:r>
              <w:rPr>
                <w:rFonts w:hint="eastAsia" w:ascii="仿宋" w:hAnsi="仿宋" w:eastAsia="仿宋"/>
                <w:b/>
                <w:bCs/>
                <w:szCs w:val="21"/>
              </w:rPr>
              <w:t>关系年限</w:t>
            </w:r>
          </w:p>
        </w:tc>
        <w:tc>
          <w:tcPr>
            <w:tcW w:w="1077" w:type="dxa"/>
            <w:vAlign w:val="center"/>
          </w:tcPr>
          <w:p>
            <w:pPr>
              <w:rPr>
                <w:rFonts w:ascii="仿宋" w:hAnsi="仿宋" w:eastAsia="仿宋"/>
                <w:b/>
                <w:bCs/>
                <w:szCs w:val="21"/>
              </w:rPr>
            </w:pPr>
            <w:r>
              <w:rPr>
                <w:rFonts w:hint="eastAsia" w:ascii="仿宋" w:hAnsi="仿宋" w:eastAsia="仿宋"/>
                <w:b/>
                <w:bCs/>
                <w:szCs w:val="21"/>
              </w:rPr>
              <w:t>销售产品</w:t>
            </w:r>
          </w:p>
        </w:tc>
        <w:tc>
          <w:tcPr>
            <w:tcW w:w="1077" w:type="dxa"/>
            <w:vAlign w:val="center"/>
          </w:tcPr>
          <w:p>
            <w:pPr>
              <w:rPr>
                <w:rFonts w:ascii="仿宋" w:hAnsi="仿宋" w:eastAsia="仿宋"/>
                <w:b/>
                <w:bCs/>
                <w:szCs w:val="21"/>
              </w:rPr>
            </w:pPr>
            <w:r>
              <w:rPr>
                <w:rFonts w:hint="eastAsia" w:ascii="仿宋" w:hAnsi="仿宋" w:eastAsia="仿宋"/>
                <w:b/>
                <w:bCs/>
                <w:szCs w:val="21"/>
              </w:rPr>
              <w:t>销售量</w:t>
            </w:r>
          </w:p>
        </w:tc>
        <w:tc>
          <w:tcPr>
            <w:tcW w:w="1077" w:type="dxa"/>
            <w:vAlign w:val="center"/>
          </w:tcPr>
          <w:p>
            <w:pPr>
              <w:rPr>
                <w:rFonts w:ascii="仿宋" w:hAnsi="仿宋" w:eastAsia="仿宋"/>
                <w:b/>
                <w:bCs/>
                <w:szCs w:val="21"/>
              </w:rPr>
            </w:pPr>
            <w:r>
              <w:rPr>
                <w:rFonts w:hint="eastAsia" w:ascii="仿宋" w:hAnsi="仿宋" w:eastAsia="仿宋"/>
                <w:b/>
                <w:bCs/>
                <w:szCs w:val="21"/>
              </w:rPr>
              <w:t>销售金额</w:t>
            </w:r>
          </w:p>
        </w:tc>
        <w:tc>
          <w:tcPr>
            <w:tcW w:w="1077" w:type="dxa"/>
            <w:vAlign w:val="center"/>
          </w:tcPr>
          <w:p>
            <w:pPr>
              <w:rPr>
                <w:rFonts w:ascii="仿宋" w:hAnsi="仿宋" w:eastAsia="仿宋"/>
                <w:b/>
                <w:bCs/>
                <w:szCs w:val="21"/>
              </w:rPr>
            </w:pPr>
            <w:r>
              <w:rPr>
                <w:rFonts w:hint="eastAsia" w:ascii="仿宋" w:hAnsi="仿宋" w:eastAsia="仿宋"/>
                <w:b/>
                <w:bCs/>
                <w:szCs w:val="21"/>
              </w:rPr>
              <w:t>销售占比</w:t>
            </w:r>
          </w:p>
        </w:tc>
        <w:tc>
          <w:tcPr>
            <w:tcW w:w="1077" w:type="dxa"/>
            <w:vAlign w:val="center"/>
          </w:tcPr>
          <w:p>
            <w:pPr>
              <w:rPr>
                <w:rFonts w:ascii="仿宋" w:hAnsi="仿宋" w:eastAsia="仿宋"/>
                <w:b/>
                <w:bCs/>
                <w:szCs w:val="21"/>
              </w:rPr>
            </w:pPr>
            <w:r>
              <w:rPr>
                <w:rFonts w:hint="eastAsia" w:ascii="仿宋" w:hAnsi="仿宋" w:eastAsia="仿宋"/>
                <w:b/>
                <w:bCs/>
                <w:szCs w:val="21"/>
              </w:rPr>
              <w:t>结算方式</w:t>
            </w:r>
          </w:p>
        </w:tc>
        <w:tc>
          <w:tcPr>
            <w:tcW w:w="1077" w:type="dxa"/>
            <w:vAlign w:val="center"/>
          </w:tcPr>
          <w:p>
            <w:pPr>
              <w:rPr>
                <w:rFonts w:ascii="仿宋" w:hAnsi="仿宋" w:eastAsia="仿宋"/>
                <w:b/>
                <w:bCs/>
                <w:szCs w:val="21"/>
              </w:rPr>
            </w:pPr>
            <w:r>
              <w:rPr>
                <w:rFonts w:hint="eastAsia" w:ascii="仿宋" w:hAnsi="仿宋" w:eastAsia="仿宋"/>
                <w:b/>
                <w:bCs/>
                <w:szCs w:val="21"/>
              </w:rPr>
              <w:t>付款周期</w:t>
            </w: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暂无</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r>
        <w:trPr>
          <w:trHeight w:val="270" w:hRule="atLeast"/>
          <w:jc w:val="center"/>
        </w:trPr>
        <w:tc>
          <w:tcPr>
            <w:tcW w:w="1866"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jc w:val="center"/>
              <w:rPr>
                <w:rFonts w:ascii="仿宋" w:hAnsi="仿宋" w:eastAsia="仿宋"/>
                <w:szCs w:val="21"/>
              </w:rPr>
            </w:pPr>
          </w:p>
        </w:tc>
        <w:tc>
          <w:tcPr>
            <w:tcW w:w="1077" w:type="dxa"/>
            <w:vAlign w:val="bottom"/>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tcPr>
          <w:p>
            <w:pPr>
              <w:rPr>
                <w:rFonts w:ascii="仿宋" w:hAnsi="仿宋" w:eastAsia="仿宋"/>
                <w:szCs w:val="21"/>
              </w:rPr>
            </w:pPr>
          </w:p>
        </w:tc>
        <w:tc>
          <w:tcPr>
            <w:tcW w:w="1077" w:type="dxa"/>
            <w:vAlign w:val="bottom"/>
          </w:tcPr>
          <w:p>
            <w:pPr>
              <w:rPr>
                <w:rFonts w:ascii="仿宋" w:hAnsi="仿宋" w:eastAsia="仿宋"/>
                <w:szCs w:val="21"/>
              </w:rPr>
            </w:pPr>
            <w:r>
              <w:rPr>
                <w:rFonts w:hint="eastAsia" w:ascii="仿宋" w:hAnsi="仿宋" w:eastAsia="仿宋"/>
                <w:szCs w:val="21"/>
              </w:rPr>
              <w:t>　</w:t>
            </w:r>
          </w:p>
        </w:tc>
        <w:tc>
          <w:tcPr>
            <w:tcW w:w="1077" w:type="dxa"/>
            <w:vAlign w:val="bottom"/>
          </w:tcPr>
          <w:p>
            <w:pPr>
              <w:rPr>
                <w:rFonts w:ascii="仿宋" w:hAnsi="仿宋" w:eastAsia="仿宋"/>
                <w:szCs w:val="21"/>
              </w:rPr>
            </w:pP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US" w:eastAsia="zh-CN"/>
        </w:rPr>
      </w:pPr>
      <w:r>
        <w:rPr>
          <w:rFonts w:hint="eastAsia" w:ascii="仿宋" w:hAnsi="仿宋" w:eastAsia="仿宋" w:cs="仿宋"/>
          <w:i w:val="false"/>
          <w:strike w:val="false"/>
          <w:color w:val="000000"/>
          <w:sz w:val="24"/>
          <w:u w:val="none"/>
          <w:lang w:val="en-US" w:eastAsia="zh-CN"/>
        </w:rPr>
        <w:t>目前该项目还未运营，无具体数据，从可研报告了解，申请人生产电能仅对大成包装供电，故下游客户为大成包装。</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（三）行业及公司战略分析</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hint="default" w:ascii="仿宋" w:hAnsi="仿宋" w:eastAsia="仿宋" w:cs="仿宋"/>
          <w:i w:val="false"/>
          <w:strike w:val="false"/>
          <w:color w:val="000000"/>
          <w:sz w:val="24"/>
          <w:u w:val="none"/>
          <w:lang w:val="en-US" w:eastAsia="zh-CN"/>
        </w:rPr>
        <w:t>1</w:t>
      </w:r>
      <w:r>
        <w:rPr>
          <w:rFonts w:hint="eastAsia" w:ascii="仿宋" w:hAnsi="仿宋" w:eastAsia="仿宋" w:cs="仿宋"/>
          <w:i w:val="false"/>
          <w:strike w:val="false"/>
          <w:color w:val="000000"/>
          <w:sz w:val="24"/>
          <w:u w:val="none"/>
          <w:lang w:val="en-US" w:eastAsia="zh-CN"/>
        </w:rPr>
        <w:t>、</w:t>
      </w:r>
      <w:r>
        <w:rPr>
          <w:rFonts w:hint="eastAsia" w:ascii="仿宋" w:hAnsi="仿宋" w:eastAsia="仿宋" w:cs="仿宋"/>
          <w:i w:val="false"/>
          <w:strike w:val="false"/>
          <w:color w:val="000000"/>
          <w:sz w:val="24"/>
          <w:u w:val="none"/>
        </w:rPr>
        <w:t>行业分析</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源网荷储一体化行业是新型电力系统建设的重要方向。在“双碳”目标推动下，我国加速能源结构转型，大力发展可再生能源。但绿电消纳问题日益凸显，源网荷储一体化模式通过整合电源、电网、负荷和储能资源，有效提升电力系统稳定性和能源利用效率，成为行业发展的必然趋势。</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国家高度重视源网荷储一体化行业发展，出台多项政策促进项目建设，旨在提高绿电利用、降低碳排放，鼓励一体化主体协同优化。河南省也积极响应，出台相关实施方案，推动本地项目落地。</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河南中原智慧冷链物流园管理运营有限公司作为国资全资子公司，在获取政策支持上具有天然优势。尽管目前未明确是否获得财政补贴、拨款等支持，但结合行业政策导向与地方政府对产业集聚区新能源项目的重视，未来在项目建设与运营阶段，有望享受资金补贴、税收优惠、低息贷款等政策红利，助力降低成本、提升盈利能力。</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与行业内优质客户相比，该公司虽在规模、品牌影响力及技术储备上存在差距，但项目聚焦单一用电主体，所发电量100%内部消纳，精准匹配用电需求，规避外部电力市场竞争，收益稳定；同时依托产业集聚区资源与国资背景，在项目审批、资源协调等方面高效便捷，能快速响应建设运营需求，在区域细分市场具备较强竞争力，未来综合实力有望持续提升。</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hint="default" w:ascii="仿宋" w:hAnsi="仿宋" w:eastAsia="仿宋" w:cs="仿宋"/>
          <w:i w:val="false"/>
          <w:strike w:val="false"/>
          <w:color w:val="000000"/>
          <w:sz w:val="24"/>
          <w:u w:val="none"/>
          <w:lang w:val="en-US" w:eastAsia="zh-CN"/>
        </w:rPr>
        <w:t>2</w:t>
      </w:r>
      <w:r>
        <w:rPr>
          <w:rFonts w:hint="eastAsia" w:ascii="仿宋" w:hAnsi="仿宋" w:eastAsia="仿宋" w:cs="仿宋"/>
          <w:i w:val="false"/>
          <w:strike w:val="false"/>
          <w:color w:val="000000"/>
          <w:sz w:val="24"/>
          <w:u w:val="none"/>
          <w:lang w:val="en-US" w:eastAsia="zh-CN"/>
        </w:rPr>
        <w:t>、</w:t>
      </w:r>
      <w:r>
        <w:rPr>
          <w:rFonts w:hint="eastAsia" w:ascii="仿宋" w:hAnsi="仿宋" w:eastAsia="仿宋" w:cs="仿宋"/>
          <w:i w:val="false"/>
          <w:strike w:val="false"/>
          <w:color w:val="000000"/>
          <w:sz w:val="24"/>
          <w:u w:val="none"/>
        </w:rPr>
        <w:t>公司的战略及发展规划</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需要说明事项：分析内外部环境和政策的趋势并说明公司的应对措施及战略规划</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ascii="仿宋" w:hAnsi="仿宋" w:eastAsia="仿宋" w:cs="仿宋"/>
          <w:i w:val="false"/>
          <w:strike w:val="false"/>
          <w:color w:val="000000"/>
          <w:sz w:val="24"/>
          <w:u w:val="none"/>
        </w:rPr>
        <w:t>申请人所处源网荷储一体化行业受“双碳”政策驱动，外部环境利好，内部依托国资背景与产业集聚区资源优势显著。面对行业竞争与技术迭代趋势，申请人将聚焦“定向消纳+多元协同”战略：一方面，深化与用电主体合作，扩大消纳规模，降低项目成本；另一方面，优化“光伏+储能+充换电”业务协同，利用数据整合提升能源调度效率。未来3-5年，计划通过技术升级巩固区域市场地位，逐步拓展业务半径，实现从单一项目运营向园区级综合能源服务商的转型。</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hint="default" w:ascii="仿宋" w:hAnsi="仿宋" w:eastAsia="仿宋" w:cs="仿宋"/>
          <w:i w:val="false"/>
          <w:strike w:val="false"/>
          <w:color w:val="000000"/>
          <w:sz w:val="24"/>
          <w:u w:val="none"/>
          <w:lang w:val="en-US" w:eastAsia="zh-CN"/>
        </w:rPr>
        <w:t>3</w:t>
      </w:r>
      <w:r>
        <w:rPr>
          <w:rFonts w:hint="eastAsia" w:ascii="仿宋" w:hAnsi="仿宋" w:eastAsia="仿宋" w:cs="仿宋"/>
          <w:i w:val="false"/>
          <w:strike w:val="false"/>
          <w:color w:val="000000"/>
          <w:sz w:val="24"/>
          <w:u w:val="none"/>
          <w:lang w:val="en-US" w:eastAsia="zh-CN"/>
        </w:rPr>
        <w:t>、</w:t>
      </w:r>
      <w:r>
        <w:rPr>
          <w:rFonts w:hint="eastAsia" w:ascii="仿宋" w:hAnsi="仿宋" w:eastAsia="仿宋" w:cs="仿宋"/>
          <w:i w:val="false"/>
          <w:strike w:val="false"/>
          <w:color w:val="000000"/>
          <w:sz w:val="24"/>
          <w:u w:val="none"/>
        </w:rPr>
        <w:t>近三年已完成项目情况（数据日期：2025年6月10日，单位：万元）</w:t>
      </w:r>
    </w:p>
    <w:tbl>
      <w:tblPr>
        <w:tblStyle w:val="000015"/>
        <w:tblW w:w="0" w:type="auto"/>
        <w:jc w:val="center"/>
        <w:tblLayout w:type="fixed"/>
        <w:tblCellMar>
          <w:top w:w="0" w:type="dxa"/>
          <w:left w:w="108" w:type="dxa"/>
          <w:bottom w:w="0" w:type="dxa"/>
          <w:right w:w="108" w:type="dxa"/>
        </w:tblCellMar>
      </w:tblPr>
      <w:tblGrid>
        <w:gridCol w:w="709"/>
        <w:gridCol w:w="2454"/>
        <w:gridCol w:w="2175"/>
        <w:gridCol w:w="850"/>
        <w:gridCol w:w="1191"/>
        <w:gridCol w:w="1247"/>
        <w:gridCol w:w="1304"/>
      </w:tblGrid>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付款主体</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总投</w:t>
            </w: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已回金额</w:t>
            </w: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竣工时间</w:t>
            </w: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ascii="仿宋" w:hAnsi="仿宋" w:eastAsia="仿宋" w:cs="仿宋"/>
                <w:szCs w:val="21"/>
              </w:rPr>
              <w:t>暂无</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hint="eastAsia" w:ascii="仿宋" w:hAnsi="仿宋" w:eastAsia="仿宋" w:cs="仿宋"/>
          <w:i w:val="false"/>
          <w:strike w:val="false"/>
          <w:color w:val="000000"/>
          <w:sz w:val="24"/>
          <w:u w:val="none"/>
          <w:lang w:val="en-GB"/>
        </w:rPr>
        <w:t>需要说明事项：</w:t>
      </w:r>
      <w:r>
        <w:rPr>
          <w:rFonts w:hint="eastAsia" w:ascii="仿宋" w:hAnsi="仿宋" w:eastAsia="仿宋" w:cs="仿宋"/>
          <w:i w:val="false"/>
          <w:strike w:val="false"/>
          <w:color w:val="000000"/>
          <w:sz w:val="24"/>
          <w:u w:val="none"/>
        </w:rPr>
        <w:t>如有其它重大股权投资、金融资产投资、实物或无形资产投资等请说明。</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hint="default" w:ascii="仿宋" w:hAnsi="仿宋" w:eastAsia="仿宋" w:cs="仿宋"/>
          <w:i w:val="false"/>
          <w:strike w:val="false"/>
          <w:color w:val="000000"/>
          <w:sz w:val="24"/>
          <w:u w:val="none"/>
          <w:lang w:val="en-US" w:eastAsia="zh-CN"/>
        </w:rPr>
        <w:t>4</w:t>
      </w:r>
      <w:r>
        <w:rPr>
          <w:rFonts w:hint="eastAsia" w:ascii="仿宋" w:hAnsi="仿宋" w:eastAsia="仿宋" w:cs="仿宋"/>
          <w:i w:val="false"/>
          <w:strike w:val="false"/>
          <w:color w:val="000000"/>
          <w:sz w:val="24"/>
          <w:u w:val="none"/>
          <w:lang w:val="en-US" w:eastAsia="zh-CN"/>
        </w:rPr>
        <w:t>、</w:t>
      </w:r>
      <w:r>
        <w:rPr>
          <w:rFonts w:hint="eastAsia" w:ascii="仿宋" w:hAnsi="仿宋" w:eastAsia="仿宋" w:cs="仿宋"/>
          <w:i w:val="false"/>
          <w:strike w:val="false"/>
          <w:color w:val="000000"/>
          <w:sz w:val="24"/>
          <w:u w:val="none"/>
        </w:rPr>
        <w:t>在建项目情况（数据日期：2025年6月10日，单位：万元）</w:t>
      </w:r>
    </w:p>
    <w:tbl>
      <w:tblPr>
        <w:tblStyle w:val="000015"/>
        <w:tblW w:w="0" w:type="auto"/>
        <w:jc w:val="center"/>
        <w:tblLayout w:type="fixed"/>
        <w:tblCellMar>
          <w:top w:w="0" w:type="dxa"/>
          <w:left w:w="108" w:type="dxa"/>
          <w:bottom w:w="0" w:type="dxa"/>
          <w:right w:w="108" w:type="dxa"/>
        </w:tblCellMar>
      </w:tblPr>
      <w:tblGrid>
        <w:gridCol w:w="743"/>
        <w:gridCol w:w="1865"/>
        <w:gridCol w:w="1092"/>
        <w:gridCol w:w="1110"/>
        <w:gridCol w:w="1373"/>
        <w:gridCol w:w="1191"/>
        <w:gridCol w:w="1207"/>
        <w:gridCol w:w="1200"/>
        <w:gridCol w:w="1200"/>
      </w:tblGrid>
      <w:tr>
        <w:trPr>
          <w:trHeight w:val="277"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项目总投</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已投资金</w:t>
            </w: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工程进度</w:t>
            </w: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已付金额</w:t>
            </w: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竣工时间</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资金来源</w:t>
            </w:r>
          </w:p>
        </w:tc>
      </w:tr>
      <w:tr>
        <w:trPr>
          <w:trHeight w:val="165"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ascii="仿宋" w:hAnsi="仿宋" w:eastAsia="仿宋" w:cs="仿宋"/>
                <w:szCs w:val="21"/>
              </w:rPr>
              <w:t>暂无</w:t>
            </w: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8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r>
        <w:trPr>
          <w:trHeight w:val="270" w:hRule="atLeast"/>
          <w:jc w:val="center"/>
        </w:trPr>
        <w:tc>
          <w:tcPr>
            <w:tcW w:w="260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10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Cs w:val="21"/>
              </w:rPr>
            </w:pP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ascii="仿宋" w:hAnsi="仿宋" w:eastAsia="仿宋" w:cs="仿宋"/>
          <w:i w:val="false"/>
          <w:strike w:val="false"/>
          <w:color w:val="000000"/>
          <w:sz w:val="24"/>
          <w:u w:val="none"/>
        </w:rPr>
      </w:pPr>
      <w:r>
        <w:rPr>
          <w:rFonts w:hint="eastAsia" w:ascii="仿宋" w:hAnsi="仿宋" w:eastAsia="仿宋" w:cs="仿宋"/>
          <w:i w:val="false"/>
          <w:strike w:val="false"/>
          <w:color w:val="000000"/>
          <w:sz w:val="24"/>
          <w:u w:val="none"/>
          <w:lang w:val="en-GB"/>
        </w:rPr>
        <w:t>需要说明事项：</w:t>
      </w:r>
      <w:r>
        <w:rPr>
          <w:rFonts w:hint="eastAsia" w:ascii="仿宋" w:hAnsi="仿宋" w:eastAsia="仿宋" w:cs="仿宋"/>
          <w:i w:val="false"/>
          <w:strike w:val="false"/>
          <w:color w:val="000000"/>
          <w:sz w:val="24"/>
          <w:u w:val="none"/>
        </w:rPr>
        <w:t xml:space="preserve">分析内外部环境和政策的趋势并说明公司的应对措施及战略规划 </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w:t>
      </w:r>
      <w:r>
        <w:rPr>
          <w:rFonts w:hint="eastAsia" w:ascii="仿宋" w:hAnsi="仿宋" w:eastAsia="仿宋" w:cs="仿宋"/>
          <w:b/>
          <w:bCs/>
          <w:kern w:val="2"/>
          <w:sz w:val="24"/>
          <w:szCs w:val="24"/>
          <w:lang w:val="en-GB" w:eastAsia="zh-CN" w:bidi="ar-SA"/>
        </w:rPr>
        <w:t>集团（</w:t>
      </w:r>
      <w:r>
        <w:rPr>
          <w:rFonts w:hint="eastAsia" w:ascii="仿宋" w:hAnsi="仿宋" w:eastAsia="仿宋" w:cs="仿宋"/>
          <w:b/>
          <w:bCs/>
          <w:kern w:val="2"/>
          <w:sz w:val="24"/>
          <w:szCs w:val="24"/>
          <w:lang w:val="en-US" w:eastAsia="zh-CN" w:bidi="ar-SA"/>
        </w:rPr>
        <w:t>实际控制人）经营和财务简况（集团（实际控制人）若为保证人，则该部分可作为保证人情况在调查报告后半部分进行单独分析。）</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t>1</w:t>
      </w:r>
      <w:r>
        <w:rPr>
          <w:rFonts w:hint="eastAsia" w:ascii="仿宋" w:hAnsi="仿宋" w:eastAsia="仿宋" w:cs="仿宋"/>
          <w:i w:val="false"/>
          <w:strike w:val="false"/>
          <w:color w:val="000000"/>
          <w:sz w:val="24"/>
          <w:u w:val="none"/>
          <w:lang w:val="en-GB" w:eastAsia="zh-CN"/>
        </w:rPr>
        <w:t>、</w:t>
      </w:r>
      <w:r>
        <w:rPr>
          <w:rFonts w:hint="eastAsia" w:ascii="仿宋" w:hAnsi="仿宋" w:eastAsia="仿宋" w:cs="仿宋"/>
          <w:i w:val="false"/>
          <w:strike w:val="false"/>
          <w:color w:val="000000"/>
          <w:sz w:val="24"/>
          <w:u w:val="none"/>
          <w:lang w:val="en-GB"/>
        </w:rPr>
        <w:t>集团股权结构简图</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right="0"/>
        <w:jc w:val="both"/>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drawing>
          <wp:anchor distT="0" distB="0" distL="114300" distR="114300" simplePos="false" relativeHeight="251660288" behindDoc="false" locked="false" layoutInCell="true" allowOverlap="true">
            <wp:simplePos x="0" y="0"/>
            <wp:positionH relativeFrom="column">
              <wp:posOffset>-1270</wp:posOffset>
            </wp:positionH>
            <wp:positionV relativeFrom="paragraph">
              <wp:posOffset>359410</wp:posOffset>
            </wp:positionV>
            <wp:extent cx="5572760" cy="2479675"/>
            <wp:effectExtent l="0" t="0" r="8890" b="15875"/>
            <wp:wrapTopAndBottom/>
            <wp:docPr id="5" name="picture" descr="descript"/>
            <wp:cNvGraphicFramePr/>
            <a:graphic>
              <a:graphicData uri="http://schemas.openxmlformats.org/drawingml/2006/picture">
                <pic:pic>
                  <pic:nvPicPr>
                    <pic:cNvPr id="6" name="picture" descr="descript"/>
                    <pic:cNvPicPr/>
                  </pic:nvPicPr>
                  <pic:blipFill>
                    <a:blip r:embed="rId6"/>
                    <a:srcRect/>
                    <a:stretch>
                      <a:fillRect/>
                    </a:stretch>
                  </pic:blipFill>
                  <pic:spPr>
                    <a:xfrm>
                      <a:off x="0" y="0"/>
                      <a:ext cx="5572760" cy="2479675"/>
                    </a:xfrm>
                    <a:prstGeom prst="rect">
                      <a:avLst/>
                    </a:prstGeom>
                  </pic:spPr>
                </pic:pic>
              </a:graphicData>
            </a:graphic>
          </wp:anchor>
        </w:drawing>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t>2</w:t>
      </w:r>
      <w:r>
        <w:rPr>
          <w:rFonts w:hint="eastAsia" w:ascii="仿宋" w:hAnsi="仿宋" w:eastAsia="仿宋" w:cs="仿宋"/>
          <w:i w:val="false"/>
          <w:strike w:val="false"/>
          <w:color w:val="000000"/>
          <w:sz w:val="24"/>
          <w:u w:val="none"/>
          <w:lang w:val="en-GB" w:eastAsia="zh-CN"/>
        </w:rPr>
        <w:t>、</w:t>
      </w:r>
      <w:r>
        <w:rPr>
          <w:rFonts w:hint="eastAsia" w:ascii="仿宋" w:hAnsi="仿宋" w:eastAsia="仿宋" w:cs="仿宋"/>
          <w:i w:val="false"/>
          <w:strike w:val="false"/>
          <w:color w:val="000000"/>
          <w:sz w:val="24"/>
          <w:u w:val="none"/>
          <w:lang w:val="en-GB"/>
        </w:rPr>
        <w:t>控股股东（或实际控制人控制的集团）的主营板块业务开展情况</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t>各板块在当地或行业排名情况，说明前三个年度和本年主营收入、净利润各板块构成。</w:t>
      </w:r>
    </w:p>
    <w:p>
      <w:pPr>
        <w:pStyle w:val="000038"/>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jc w:val="right"/>
        <w:textAlignment w:val="auto"/>
        <w:rPr>
          <w:rFonts w:hint="eastAsia" w:ascii="仿宋" w:hAnsi="仿宋" w:eastAsia="仿宋" w:cs="仿宋"/>
          <w:i w:val="false"/>
          <w:strike w:val="false"/>
          <w:color w:val="000000"/>
          <w:kern w:val="2"/>
          <w:sz w:val="24"/>
          <w:szCs w:val="22"/>
          <w:u w:val="none"/>
          <w:lang w:val="en-GB" w:eastAsia="zh-CN" w:bidi="ar-SA"/>
        </w:rPr>
      </w:pPr>
      <w:r>
        <w:rPr>
          <w:rFonts w:hint="eastAsia" w:ascii="仿宋" w:hAnsi="仿宋" w:eastAsia="仿宋" w:cs="仿宋"/>
          <w:i w:val="false"/>
          <w:strike w:val="false"/>
          <w:color w:val="000000"/>
          <w:kern w:val="2"/>
          <w:sz w:val="24"/>
          <w:szCs w:val="22"/>
          <w:u w:val="none"/>
          <w:lang w:val="en-GB" w:eastAsia="zh-CN" w:bidi="ar-SA"/>
        </w:rPr>
        <w:t>单位：万元</w:t>
      </w:r>
    </w:p>
    <w:tbl>
      <w:tblPr>
        <w:tblStyle w:val="000015"/>
        <w:tblpPr w:leftFromText="180" w:rightFromText="180" w:vertAnchor="text" w:horzAnchor="margin" w:tblpXSpec="center" w:tblpY="44"/>
        <w:tblOverlap w:val="never"/>
        <w:tblW w:w="0" w:type="auto"/>
        <w:tblInd w:w="0" w:type="dxa"/>
        <w:tblLayout w:type="fixed"/>
        <w:tblCellMar>
          <w:top w:w="0" w:type="dxa"/>
          <w:left w:w="108" w:type="dxa"/>
          <w:bottom w:w="0" w:type="dxa"/>
          <w:right w:w="108" w:type="dxa"/>
        </w:tblCellMar>
      </w:tblPr>
      <w:tblGrid>
        <w:gridCol w:w="953"/>
        <w:gridCol w:w="866"/>
        <w:gridCol w:w="661"/>
        <w:gridCol w:w="794"/>
        <w:gridCol w:w="793"/>
        <w:gridCol w:w="661"/>
        <w:gridCol w:w="794"/>
        <w:gridCol w:w="793"/>
        <w:gridCol w:w="660"/>
        <w:gridCol w:w="795"/>
        <w:gridCol w:w="793"/>
        <w:gridCol w:w="661"/>
        <w:gridCol w:w="794"/>
      </w:tblGrid>
      <w:tr>
        <w:trPr>
          <w:trHeight w:val="313" w:hRule="atLeast"/>
        </w:trPr>
        <w:tc>
          <w:tcPr>
            <w:tcW w:w="953"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业务板块</w:t>
            </w:r>
          </w:p>
        </w:tc>
        <w:tc>
          <w:tcPr>
            <w:tcW w:w="2321"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r>
              <w:rPr>
                <w:rFonts w:hint="eastAsia" w:ascii="仿宋" w:hAnsi="仿宋" w:eastAsia="仿宋" w:cs="仿宋"/>
                <w:b/>
                <w:bCs/>
                <w:color w:val="000000"/>
                <w:kern w:val="0"/>
                <w:sz w:val="18"/>
                <w:szCs w:val="18"/>
              </w:rPr>
              <w:t>年   月（近期）</w:t>
            </w:r>
          </w:p>
        </w:tc>
      </w:tr>
      <w:tr>
        <w:trPr>
          <w:trHeight w:val="548" w:hRule="atLeast"/>
        </w:trPr>
        <w:tc>
          <w:tcPr>
            <w:tcW w:w="95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0"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5"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
                <w:color w:val="000000"/>
                <w:kern w:val="0"/>
                <w:sz w:val="18"/>
                <w:szCs w:val="18"/>
              </w:rPr>
            </w:pPr>
          </w:p>
        </w:tc>
      </w:tr>
      <w:tr>
        <w:trPr>
          <w:trHeight w:val="313"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r>
        <w:trPr>
          <w:trHeight w:val="324" w:hRule="atLeast"/>
        </w:trPr>
        <w:tc>
          <w:tcPr>
            <w:tcW w:w="95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合计</w:t>
            </w:r>
          </w:p>
        </w:tc>
        <w:tc>
          <w:tcPr>
            <w:tcW w:w="866"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pPr>
              <w:widowControl/>
              <w:spacing w:line="240" w:lineRule="exact"/>
              <w:jc w:val="center"/>
              <w:rPr>
                <w:rFonts w:ascii="仿宋" w:hAnsi="仿宋" w:eastAsia="仿宋" w:cs="仿宋"/>
                <w:bCs/>
                <w:color w:val="000000"/>
                <w:kern w:val="0"/>
                <w:sz w:val="18"/>
                <w:szCs w:val="18"/>
              </w:rPr>
            </w:pPr>
          </w:p>
        </w:tc>
      </w:tr>
    </w:tbl>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0" w:firstLineChars="0"/>
        <w:jc w:val="center"/>
        <w:textAlignment w:val="auto"/>
        <w:rPr>
          <w:rFonts w:hint="eastAsia" w:ascii="仿宋" w:hAnsi="仿宋" w:eastAsia="仿宋" w:cs="Arial"/>
          <w:color w:val="000000"/>
          <w:szCs w:val="21"/>
        </w:rPr>
      </w:pPr>
      <w:r>
        <w:rPr>
          <w:rFonts w:hint="eastAsia" w:ascii="仿宋" w:hAnsi="仿宋" w:eastAsia="仿宋" w:cs="Arial"/>
          <w:color w:val="000000"/>
          <w:szCs w:val="21"/>
        </w:rPr>
        <w:t>【编辑框*******1000字】</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t>3</w:t>
      </w:r>
      <w:r>
        <w:rPr>
          <w:rFonts w:hint="eastAsia" w:ascii="仿宋" w:hAnsi="仿宋" w:eastAsia="仿宋" w:cs="仿宋"/>
          <w:i w:val="false"/>
          <w:strike w:val="false"/>
          <w:color w:val="000000"/>
          <w:sz w:val="24"/>
          <w:u w:val="none"/>
          <w:lang w:val="en-GB" w:eastAsia="zh-CN"/>
        </w:rPr>
        <w:t>、</w:t>
      </w:r>
      <w:r>
        <w:rPr>
          <w:rFonts w:hint="eastAsia" w:ascii="仿宋" w:hAnsi="仿宋" w:eastAsia="仿宋" w:cs="仿宋"/>
          <w:i w:val="false"/>
          <w:strike w:val="false"/>
          <w:color w:val="000000"/>
          <w:sz w:val="24"/>
          <w:u w:val="none"/>
          <w:lang w:val="en-GB"/>
        </w:rPr>
        <w:t>集团财务简况</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t>对集团整体的财务状况、经营情况、资金链、负债率等做基本分析和评价。</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GB" w:eastAsia="zh-CN"/>
        </w:rPr>
        <w:t>各板块核心企业及主要财务数据（上年数据）</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0" w:firstLineChars="0"/>
        <w:jc w:val="right"/>
        <w:textAlignment w:val="auto"/>
        <w:rPr>
          <w:rFonts w:hint="eastAsia" w:ascii="仿宋" w:hAnsi="仿宋" w:eastAsia="仿宋" w:cs="仿宋"/>
          <w:i w:val="false"/>
          <w:strike w:val="false"/>
          <w:color w:val="000000"/>
          <w:sz w:val="24"/>
          <w:u w:val="none"/>
          <w:lang w:val="en-GB"/>
        </w:rPr>
      </w:pPr>
      <w:r>
        <w:rPr>
          <w:rFonts w:hint="eastAsia" w:ascii="仿宋" w:hAnsi="仿宋" w:eastAsia="仿宋" w:cs="仿宋"/>
          <w:i w:val="false"/>
          <w:strike w:val="false"/>
          <w:color w:val="000000"/>
          <w:sz w:val="24"/>
          <w:u w:val="none"/>
          <w:lang w:val="en-GB"/>
        </w:rPr>
        <w:t>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088"/>
        <w:gridCol w:w="922"/>
        <w:gridCol w:w="938"/>
        <w:gridCol w:w="761"/>
        <w:gridCol w:w="761"/>
        <w:gridCol w:w="863"/>
        <w:gridCol w:w="720"/>
        <w:gridCol w:w="856"/>
        <w:gridCol w:w="1140"/>
      </w:tblGrid>
      <w:bookmarkStart w:id="3" w:name="_Hlk117240869"/>
      <w:tr>
        <w:trPr>
          <w:trHeight w:val="283" w:hRule="atLeast"/>
          <w:tblHeader/>
          <w:jc w:val="center"/>
        </w:trPr>
        <w:tc>
          <w:tcPr>
            <w:tcW w:w="851" w:type="dxa"/>
            <w:shd w:val="clear" w:color="auto" w:fill="auto"/>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板块</w:t>
            </w:r>
          </w:p>
        </w:tc>
        <w:tc>
          <w:tcPr>
            <w:tcW w:w="2088"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公司名称</w:t>
            </w:r>
          </w:p>
        </w:tc>
        <w:tc>
          <w:tcPr>
            <w:tcW w:w="922"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主营业务</w:t>
            </w:r>
          </w:p>
        </w:tc>
        <w:tc>
          <w:tcPr>
            <w:tcW w:w="938"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持股比例</w:t>
            </w:r>
          </w:p>
        </w:tc>
        <w:tc>
          <w:tcPr>
            <w:tcW w:w="761"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总资产</w:t>
            </w:r>
          </w:p>
        </w:tc>
        <w:tc>
          <w:tcPr>
            <w:tcW w:w="761"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总负债</w:t>
            </w:r>
          </w:p>
        </w:tc>
        <w:tc>
          <w:tcPr>
            <w:tcW w:w="863"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主营收入</w:t>
            </w:r>
          </w:p>
        </w:tc>
        <w:tc>
          <w:tcPr>
            <w:tcW w:w="720"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856"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资产负债率</w:t>
            </w:r>
          </w:p>
        </w:tc>
        <w:tc>
          <w:tcPr>
            <w:tcW w:w="1140" w:type="dxa"/>
            <w:shd w:val="clear" w:color="auto" w:fill="FFFFFF"/>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银行负债余额（近期数据）</w:t>
            </w:r>
          </w:p>
        </w:tc>
      </w:tr>
      <w:tr>
        <w:trPr>
          <w:trHeight w:val="285" w:hRule="atLeast"/>
          <w:jc w:val="center"/>
        </w:trPr>
        <w:tc>
          <w:tcPr>
            <w:tcW w:w="851" w:type="dxa"/>
            <w:vMerge w:val="restart"/>
            <w:shd w:val="clear" w:color="auto" w:fill="auto"/>
            <w:vAlign w:val="center"/>
          </w:tcPr>
          <w:p>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板块1</w:t>
            </w: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restart"/>
            <w:shd w:val="clear" w:color="auto" w:fill="auto"/>
            <w:vAlign w:val="center"/>
          </w:tcPr>
          <w:p>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版块2</w:t>
            </w: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shd w:val="clear" w:color="auto" w:fill="auto"/>
            <w:vAlign w:val="center"/>
          </w:tcPr>
          <w:p>
            <w:pPr>
              <w:widowControl/>
              <w:spacing w:line="240" w:lineRule="exact"/>
              <w:ind w:firstLine="180" w:firstLineChars="100"/>
              <w:rPr>
                <w:rFonts w:ascii="仿宋" w:hAnsi="仿宋" w:eastAsia="仿宋" w:cs="仿宋"/>
                <w:color w:val="000000"/>
                <w:kern w:val="0"/>
                <w:sz w:val="18"/>
                <w:szCs w:val="18"/>
              </w:rPr>
            </w:pPr>
          </w:p>
        </w:tc>
        <w:tc>
          <w:tcPr>
            <w:tcW w:w="208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pPr>
              <w:spacing w:line="240" w:lineRule="exact"/>
              <w:jc w:val="center"/>
              <w:rPr>
                <w:rFonts w:ascii="仿宋" w:hAnsi="仿宋" w:eastAsia="仿宋" w:cs="仿宋"/>
                <w:b/>
                <w:bCs/>
                <w:color w:val="000000"/>
                <w:kern w:val="0"/>
                <w:sz w:val="18"/>
                <w:szCs w:val="18"/>
              </w:rPr>
            </w:pPr>
          </w:p>
        </w:tc>
      </w:tr>
      <w:tr>
        <w:trPr>
          <w:trHeight w:val="285" w:hRule="atLeast"/>
          <w:jc w:val="center"/>
        </w:trPr>
        <w:tc>
          <w:tcPr>
            <w:tcW w:w="851" w:type="dxa"/>
            <w:vMerge w:val="continue"/>
            <w:vAlign w:val="center"/>
          </w:tcPr>
          <w:p>
            <w:pPr>
              <w:widowControl/>
              <w:spacing w:line="240" w:lineRule="exact"/>
              <w:jc w:val="center"/>
              <w:rPr>
                <w:rFonts w:ascii="仿宋" w:hAnsi="仿宋" w:eastAsia="仿宋" w:cs="仿宋"/>
                <w:color w:val="000000"/>
                <w:kern w:val="0"/>
                <w:sz w:val="18"/>
                <w:szCs w:val="18"/>
              </w:rPr>
            </w:pPr>
          </w:p>
        </w:tc>
        <w:tc>
          <w:tcPr>
            <w:tcW w:w="2088"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922"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938"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863"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856" w:type="dxa"/>
            <w:vAlign w:val="center"/>
          </w:tcPr>
          <w:p>
            <w:pPr>
              <w:widowControl/>
              <w:spacing w:line="240" w:lineRule="exact"/>
              <w:jc w:val="center"/>
              <w:textAlignment w:val="center"/>
              <w:rPr>
                <w:rFonts w:ascii="仿宋" w:hAnsi="仿宋" w:eastAsia="仿宋" w:cs="仿宋"/>
                <w:color w:val="000000"/>
                <w:kern w:val="0"/>
                <w:sz w:val="18"/>
                <w:szCs w:val="18"/>
              </w:rPr>
            </w:pPr>
          </w:p>
        </w:tc>
        <w:tc>
          <w:tcPr>
            <w:tcW w:w="1140" w:type="dxa"/>
            <w:vAlign w:val="center"/>
          </w:tcPr>
          <w:p>
            <w:pPr>
              <w:spacing w:line="240" w:lineRule="exact"/>
              <w:jc w:val="center"/>
              <w:rPr>
                <w:rFonts w:ascii="仿宋" w:hAnsi="仿宋" w:eastAsia="仿宋" w:cs="仿宋"/>
                <w:color w:val="000000"/>
                <w:kern w:val="0"/>
                <w:sz w:val="18"/>
                <w:szCs w:val="18"/>
              </w:rPr>
            </w:pPr>
          </w:p>
        </w:tc>
      </w:tr>
      <w:tr>
        <w:trPr>
          <w:trHeight w:val="285" w:hRule="atLeast"/>
          <w:jc w:val="center"/>
        </w:trPr>
        <w:tc>
          <w:tcPr>
            <w:tcW w:w="851" w:type="dxa"/>
            <w:vAlign w:val="center"/>
          </w:tcPr>
          <w:p>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总计</w:t>
            </w:r>
          </w:p>
        </w:tc>
        <w:tc>
          <w:tcPr>
            <w:tcW w:w="2088" w:type="dxa"/>
            <w:vAlign w:val="center"/>
          </w:tcPr>
          <w:p>
            <w:pPr>
              <w:spacing w:line="240" w:lineRule="exact"/>
              <w:jc w:val="center"/>
              <w:rPr>
                <w:rFonts w:ascii="仿宋" w:hAnsi="仿宋" w:eastAsia="仿宋" w:cs="仿宋"/>
                <w:b/>
                <w:bCs/>
                <w:color w:val="000000"/>
                <w:kern w:val="0"/>
                <w:sz w:val="18"/>
                <w:szCs w:val="18"/>
              </w:rPr>
            </w:pPr>
          </w:p>
        </w:tc>
        <w:tc>
          <w:tcPr>
            <w:tcW w:w="922" w:type="dxa"/>
            <w:vAlign w:val="center"/>
          </w:tcPr>
          <w:p>
            <w:pPr>
              <w:spacing w:line="240" w:lineRule="exact"/>
              <w:jc w:val="center"/>
              <w:rPr>
                <w:rFonts w:ascii="仿宋" w:hAnsi="仿宋" w:eastAsia="仿宋" w:cs="仿宋"/>
                <w:b/>
                <w:bCs/>
                <w:color w:val="000000"/>
                <w:kern w:val="0"/>
                <w:sz w:val="18"/>
                <w:szCs w:val="18"/>
              </w:rPr>
            </w:pPr>
          </w:p>
        </w:tc>
        <w:tc>
          <w:tcPr>
            <w:tcW w:w="938" w:type="dxa"/>
            <w:vAlign w:val="center"/>
          </w:tcPr>
          <w:p>
            <w:pPr>
              <w:spacing w:line="240" w:lineRule="exact"/>
              <w:jc w:val="center"/>
              <w:rPr>
                <w:rFonts w:ascii="仿宋" w:hAnsi="仿宋" w:eastAsia="仿宋" w:cs="仿宋"/>
                <w:b/>
                <w:bCs/>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61"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863"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pPr>
              <w:widowControl/>
              <w:spacing w:line="240" w:lineRule="exact"/>
              <w:jc w:val="center"/>
              <w:textAlignment w:val="center"/>
              <w:rPr>
                <w:rFonts w:ascii="仿宋" w:hAnsi="仿宋" w:eastAsia="仿宋" w:cs="仿宋"/>
                <w:b/>
                <w:bCs/>
                <w:color w:val="000000"/>
                <w:kern w:val="0"/>
                <w:sz w:val="18"/>
                <w:szCs w:val="18"/>
              </w:rPr>
            </w:pPr>
          </w:p>
        </w:tc>
        <w:tc>
          <w:tcPr>
            <w:tcW w:w="856" w:type="dxa"/>
            <w:vAlign w:val="center"/>
          </w:tcPr>
          <w:p>
            <w:pPr>
              <w:spacing w:line="240" w:lineRule="exact"/>
              <w:jc w:val="center"/>
              <w:rPr>
                <w:rFonts w:ascii="仿宋" w:hAnsi="仿宋" w:eastAsia="仿宋" w:cs="仿宋"/>
                <w:b/>
                <w:bCs/>
                <w:color w:val="000000"/>
                <w:kern w:val="0"/>
                <w:sz w:val="18"/>
                <w:szCs w:val="18"/>
              </w:rPr>
            </w:pPr>
          </w:p>
        </w:tc>
        <w:tc>
          <w:tcPr>
            <w:tcW w:w="1140" w:type="dxa"/>
            <w:vAlign w:val="center"/>
          </w:tcPr>
          <w:p>
            <w:pPr>
              <w:spacing w:line="240" w:lineRule="exact"/>
              <w:jc w:val="center"/>
              <w:rPr>
                <w:rFonts w:ascii="仿宋" w:hAnsi="仿宋" w:eastAsia="仿宋" w:cs="仿宋"/>
                <w:b/>
                <w:bCs/>
                <w:color w:val="000000"/>
                <w:kern w:val="0"/>
                <w:sz w:val="18"/>
                <w:szCs w:val="18"/>
              </w:rPr>
            </w:pPr>
          </w:p>
        </w:tc>
      </w:tr>
      <w:bookmarkEnd w:id="3"/>
    </w:tbl>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0" w:firstLineChars="0"/>
        <w:jc w:val="center"/>
        <w:textAlignment w:val="auto"/>
        <w:rPr>
          <w:rFonts w:ascii="仿宋" w:hAnsi="仿宋" w:eastAsia="仿宋" w:cs="Arial"/>
          <w:color w:val="000000"/>
          <w:szCs w:val="21"/>
          <w:lang w:val="en-GB"/>
        </w:rPr>
      </w:pPr>
      <w:r>
        <w:rPr>
          <w:rFonts w:hint="eastAsia" w:ascii="仿宋" w:hAnsi="仿宋" w:eastAsia="仿宋" w:cs="Arial"/>
          <w:color w:val="000000"/>
          <w:szCs w:val="21"/>
        </w:rPr>
        <w:t>【编辑框*******1000字】</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GB" w:eastAsia="zh-CN"/>
        </w:rPr>
        <w:t>4、集团目前在建、拟建项目情况</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GB" w:eastAsia="zh-CN"/>
        </w:rPr>
        <w:t>逐项介绍集团主要子公司所有在建、拟建项目情况，包括但不限于项目规模、项目审批手续、总投资、已投入、销售情况、回款情况、资金来源、他行项目融资情况、建设进度、何时完工投产等。（如在借款人处已介绍，此处可不再重复）</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0" w:firstLineChars="0"/>
        <w:jc w:val="center"/>
        <w:textAlignment w:val="auto"/>
        <w:rPr>
          <w:rFonts w:ascii="仿宋" w:hAnsi="仿宋" w:eastAsia="仿宋" w:cs="Arial"/>
          <w:color w:val="000000"/>
          <w:szCs w:val="21"/>
        </w:rPr>
      </w:pPr>
      <w:r>
        <w:rPr>
          <w:rFonts w:hint="eastAsia" w:ascii="仿宋" w:hAnsi="仿宋" w:eastAsia="仿宋" w:cs="Arial"/>
          <w:color w:val="000000"/>
          <w:szCs w:val="21"/>
        </w:rPr>
        <w:t>【编辑框*******1000字】</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28"/>
        <w:textAlignment w:val="auto"/>
        <w:outlineLvl w:val="9"/>
        <w:rPr>
          <w:rFonts w:hint="eastAsia" w:ascii="仿宋" w:hAnsi="仿宋" w:eastAsia="仿宋" w:cs="仿宋"/>
          <w:i w:val="false"/>
          <w:strike w:val="false"/>
          <w:color w:val="000000"/>
          <w:kern w:val="2"/>
          <w:sz w:val="24"/>
          <w:szCs w:val="22"/>
          <w:u w:val="none"/>
          <w:lang w:val="en-GB" w:eastAsia="zh-CN" w:bidi="ar-SA"/>
        </w:rPr>
      </w:pPr>
      <w:r>
        <w:rPr>
          <w:rFonts w:hint="eastAsia" w:ascii="仿宋" w:hAnsi="仿宋" w:eastAsia="仿宋" w:cs="仿宋"/>
          <w:i w:val="false"/>
          <w:strike w:val="false"/>
          <w:color w:val="000000"/>
          <w:kern w:val="2"/>
          <w:sz w:val="24"/>
          <w:szCs w:val="22"/>
          <w:u w:val="none"/>
          <w:lang w:val="en-GB" w:eastAsia="zh-CN" w:bidi="ar-SA"/>
        </w:rPr>
        <w:t>5、集团历史开发项目情况</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20"/>
        <w:textAlignment w:val="auto"/>
        <w:outlineLvl w:val="9"/>
        <w:rPr>
          <w:rFonts w:hint="eastAsia" w:ascii="仿宋" w:hAnsi="仿宋" w:eastAsia="仿宋" w:cs="仿宋"/>
          <w:i w:val="false"/>
          <w:strike w:val="false"/>
          <w:color w:val="000000"/>
          <w:kern w:val="2"/>
          <w:sz w:val="24"/>
          <w:szCs w:val="22"/>
          <w:u w:val="none"/>
          <w:lang w:val="en-GB" w:eastAsia="zh-CN" w:bidi="ar-SA"/>
        </w:rPr>
      </w:pPr>
      <w:r>
        <w:rPr>
          <w:rFonts w:hint="eastAsia" w:ascii="仿宋" w:hAnsi="仿宋" w:eastAsia="仿宋" w:cs="仿宋"/>
          <w:i w:val="false"/>
          <w:strike w:val="false"/>
          <w:color w:val="000000"/>
          <w:kern w:val="2"/>
          <w:sz w:val="24"/>
          <w:szCs w:val="22"/>
          <w:u w:val="none"/>
          <w:lang w:val="en-GB" w:eastAsia="zh-CN" w:bidi="ar-SA"/>
        </w:rPr>
        <w:t>若集团为房地产开发企业，请简要介绍历史开发情况。</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0" w:firstLineChars="0"/>
        <w:jc w:val="center"/>
        <w:textAlignment w:val="auto"/>
        <w:rPr>
          <w:rFonts w:ascii="仿宋" w:hAnsi="仿宋" w:eastAsia="仿宋" w:cs="Arial"/>
          <w:color w:val="000000"/>
          <w:szCs w:val="21"/>
        </w:rPr>
      </w:pPr>
      <w:r>
        <w:rPr>
          <w:rFonts w:hint="eastAsia" w:ascii="仿宋" w:hAnsi="仿宋" w:eastAsia="仿宋" w:cs="Arial"/>
          <w:color w:val="000000"/>
          <w:szCs w:val="21"/>
        </w:rPr>
        <w:t>【编辑框*******1000字】</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GB" w:eastAsia="zh-CN"/>
        </w:rPr>
        <w:t>6、资产状况</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GB" w:eastAsia="zh-CN"/>
        </w:rPr>
        <w:t>（1）房产：</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337"/>
        <w:gridCol w:w="1209"/>
        <w:gridCol w:w="1982"/>
        <w:gridCol w:w="1182"/>
        <w:gridCol w:w="1280"/>
        <w:gridCol w:w="1136"/>
        <w:gridCol w:w="1135"/>
      </w:tblGrid>
      <w:tr>
        <w:trPr>
          <w:trHeight w:val="400" w:hRule="atLeast"/>
          <w:jc w:val="center"/>
        </w:trPr>
        <w:tc>
          <w:tcPr>
            <w:tcW w:w="1454"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1337"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资产名称</w:t>
            </w:r>
          </w:p>
        </w:tc>
        <w:tc>
          <w:tcPr>
            <w:tcW w:w="1209"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面积M</w:t>
            </w:r>
            <w:r>
              <w:rPr>
                <w:rFonts w:hint="eastAsia" w:ascii="仿宋" w:hAnsi="仿宋" w:eastAsia="仿宋" w:cs="仿宋"/>
                <w:color w:val="000000"/>
                <w:sz w:val="18"/>
                <w:szCs w:val="18"/>
                <w:vertAlign w:val="superscript"/>
              </w:rPr>
              <w:t>2</w:t>
            </w:r>
          </w:p>
        </w:tc>
        <w:tc>
          <w:tcPr>
            <w:tcW w:w="1982"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评估价值</w:t>
            </w:r>
          </w:p>
        </w:tc>
        <w:tc>
          <w:tcPr>
            <w:tcW w:w="1182"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1280"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6"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1135"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类别</w:t>
            </w:r>
          </w:p>
        </w:tc>
      </w:tr>
      <w:tr>
        <w:trPr>
          <w:trHeight w:val="204" w:hRule="atLeast"/>
          <w:jc w:val="center"/>
        </w:trPr>
        <w:tc>
          <w:tcPr>
            <w:tcW w:w="1454" w:type="dxa"/>
            <w:vMerge w:val="restart"/>
            <w:vAlign w:val="center"/>
          </w:tcPr>
          <w:p>
            <w:pPr>
              <w:snapToGrid w:val="false"/>
              <w:spacing w:line="240" w:lineRule="exact"/>
              <w:jc w:val="center"/>
              <w:rPr>
                <w:rFonts w:ascii="仿宋" w:hAnsi="仿宋" w:eastAsia="仿宋" w:cs="仿宋"/>
                <w:b/>
                <w:bCs/>
                <w:color w:val="000000"/>
                <w:sz w:val="18"/>
                <w:szCs w:val="18"/>
              </w:rPr>
            </w:pPr>
          </w:p>
        </w:tc>
        <w:tc>
          <w:tcPr>
            <w:tcW w:w="1337" w:type="dxa"/>
            <w:vMerge w:val="restart"/>
            <w:vAlign w:val="center"/>
          </w:tcPr>
          <w:p>
            <w:pPr>
              <w:snapToGrid w:val="false"/>
              <w:spacing w:line="240" w:lineRule="exact"/>
              <w:jc w:val="center"/>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Align w:val="center"/>
          </w:tcPr>
          <w:p>
            <w:pPr>
              <w:snapToGrid w:val="false"/>
              <w:spacing w:line="240" w:lineRule="exact"/>
              <w:jc w:val="center"/>
              <w:rPr>
                <w:rFonts w:ascii="仿宋" w:hAnsi="仿宋" w:eastAsia="仿宋" w:cs="仿宋"/>
                <w:color w:val="000000"/>
                <w:sz w:val="18"/>
                <w:szCs w:val="18"/>
              </w:rPr>
            </w:pPr>
          </w:p>
        </w:tc>
        <w:tc>
          <w:tcPr>
            <w:tcW w:w="1280" w:type="dxa"/>
            <w:vMerge w:val="restart"/>
            <w:vAlign w:val="center"/>
          </w:tcPr>
          <w:p>
            <w:pPr>
              <w:snapToGrid w:val="false"/>
              <w:spacing w:line="240" w:lineRule="exact"/>
              <w:jc w:val="center"/>
              <w:rPr>
                <w:rFonts w:ascii="仿宋" w:hAnsi="仿宋" w:eastAsia="仿宋" w:cs="仿宋"/>
                <w:color w:val="000000"/>
                <w:sz w:val="18"/>
                <w:szCs w:val="18"/>
              </w:rPr>
            </w:pPr>
          </w:p>
        </w:tc>
        <w:tc>
          <w:tcPr>
            <w:tcW w:w="1136" w:type="dxa"/>
            <w:vMerge w:val="restart"/>
            <w:vAlign w:val="center"/>
          </w:tcPr>
          <w:p>
            <w:pPr>
              <w:snapToGrid w:val="false"/>
              <w:spacing w:line="240" w:lineRule="exact"/>
              <w:jc w:val="center"/>
              <w:rPr>
                <w:rFonts w:ascii="仿宋" w:hAnsi="仿宋" w:eastAsia="仿宋" w:cs="仿宋"/>
                <w:color w:val="000000"/>
                <w:sz w:val="18"/>
                <w:szCs w:val="18"/>
              </w:rPr>
            </w:pPr>
          </w:p>
        </w:tc>
        <w:tc>
          <w:tcPr>
            <w:tcW w:w="1135" w:type="dxa"/>
            <w:vMerge w:val="restart"/>
            <w:vAlign w:val="center"/>
          </w:tcPr>
          <w:p>
            <w:pPr>
              <w:snapToGrid w:val="false"/>
              <w:spacing w:line="240" w:lineRule="exact"/>
              <w:jc w:val="center"/>
              <w:rPr>
                <w:rFonts w:ascii="仿宋" w:hAnsi="仿宋" w:eastAsia="仿宋" w:cs="仿宋"/>
                <w:color w:val="000000"/>
                <w:sz w:val="18"/>
                <w:szCs w:val="18"/>
              </w:rPr>
            </w:pPr>
          </w:p>
        </w:tc>
      </w:tr>
      <w:tr>
        <w:trPr>
          <w:trHeight w:val="204" w:hRule="atLeast"/>
          <w:jc w:val="center"/>
        </w:trPr>
        <w:tc>
          <w:tcPr>
            <w:tcW w:w="1454" w:type="dxa"/>
            <w:vMerge w:val="continue"/>
            <w:vAlign w:val="center"/>
          </w:tcPr>
          <w:p>
            <w:pPr>
              <w:snapToGrid w:val="false"/>
              <w:spacing w:line="240" w:lineRule="exact"/>
              <w:rPr>
                <w:rFonts w:ascii="仿宋" w:hAnsi="仿宋" w:eastAsia="仿宋" w:cs="仿宋"/>
                <w:b/>
                <w:bCs/>
                <w:color w:val="000000"/>
                <w:sz w:val="18"/>
                <w:szCs w:val="18"/>
              </w:rPr>
            </w:pPr>
          </w:p>
        </w:tc>
        <w:tc>
          <w:tcPr>
            <w:tcW w:w="1337" w:type="dxa"/>
            <w:vMerge w:val="continue"/>
            <w:vAlign w:val="center"/>
          </w:tcPr>
          <w:p>
            <w:pPr>
              <w:snapToGrid w:val="false"/>
              <w:spacing w:line="240" w:lineRule="exact"/>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Merge w:val="restart"/>
            <w:vAlign w:val="center"/>
          </w:tcPr>
          <w:p>
            <w:pPr>
              <w:snapToGrid w:val="false"/>
              <w:spacing w:line="240" w:lineRule="exact"/>
              <w:jc w:val="center"/>
              <w:rPr>
                <w:rFonts w:ascii="仿宋" w:hAnsi="仿宋" w:eastAsia="仿宋" w:cs="仿宋"/>
                <w:color w:val="000000"/>
                <w:sz w:val="18"/>
                <w:szCs w:val="18"/>
              </w:rPr>
            </w:pPr>
          </w:p>
        </w:tc>
        <w:tc>
          <w:tcPr>
            <w:tcW w:w="1280" w:type="dxa"/>
            <w:vMerge w:val="continue"/>
            <w:vAlign w:val="center"/>
          </w:tcPr>
          <w:p>
            <w:pPr>
              <w:snapToGrid w:val="false"/>
              <w:spacing w:line="240" w:lineRule="exact"/>
              <w:rPr>
                <w:rFonts w:ascii="仿宋" w:hAnsi="仿宋" w:eastAsia="仿宋" w:cs="仿宋"/>
                <w:color w:val="000000"/>
                <w:sz w:val="18"/>
                <w:szCs w:val="18"/>
              </w:rPr>
            </w:pPr>
          </w:p>
        </w:tc>
        <w:tc>
          <w:tcPr>
            <w:tcW w:w="1136" w:type="dxa"/>
            <w:vMerge w:val="continue"/>
            <w:vAlign w:val="center"/>
          </w:tcPr>
          <w:p>
            <w:pPr>
              <w:snapToGrid w:val="false"/>
              <w:spacing w:line="240" w:lineRule="exact"/>
              <w:rPr>
                <w:rFonts w:ascii="仿宋" w:hAnsi="仿宋" w:eastAsia="仿宋" w:cs="仿宋"/>
                <w:color w:val="000000"/>
                <w:sz w:val="18"/>
                <w:szCs w:val="18"/>
              </w:rPr>
            </w:pPr>
          </w:p>
        </w:tc>
        <w:tc>
          <w:tcPr>
            <w:tcW w:w="1135" w:type="dxa"/>
            <w:vMerge w:val="continue"/>
            <w:vAlign w:val="center"/>
          </w:tcPr>
          <w:p>
            <w:pPr>
              <w:snapToGrid w:val="false"/>
              <w:spacing w:line="240" w:lineRule="exact"/>
              <w:rPr>
                <w:rFonts w:ascii="仿宋" w:hAnsi="仿宋" w:eastAsia="仿宋" w:cs="仿宋"/>
                <w:color w:val="000000"/>
                <w:sz w:val="18"/>
                <w:szCs w:val="18"/>
              </w:rPr>
            </w:pPr>
          </w:p>
        </w:tc>
      </w:tr>
      <w:tr>
        <w:trPr>
          <w:trHeight w:val="204" w:hRule="atLeast"/>
          <w:jc w:val="center"/>
        </w:trPr>
        <w:tc>
          <w:tcPr>
            <w:tcW w:w="1454" w:type="dxa"/>
            <w:vMerge w:val="continue"/>
            <w:vAlign w:val="center"/>
          </w:tcPr>
          <w:p>
            <w:pPr>
              <w:snapToGrid w:val="false"/>
              <w:spacing w:line="240" w:lineRule="exact"/>
              <w:rPr>
                <w:rFonts w:ascii="仿宋" w:hAnsi="仿宋" w:eastAsia="仿宋" w:cs="仿宋"/>
                <w:b/>
                <w:bCs/>
                <w:color w:val="000000"/>
                <w:sz w:val="18"/>
                <w:szCs w:val="18"/>
              </w:rPr>
            </w:pPr>
          </w:p>
        </w:tc>
        <w:tc>
          <w:tcPr>
            <w:tcW w:w="1337" w:type="dxa"/>
            <w:vMerge w:val="continue"/>
            <w:vAlign w:val="center"/>
          </w:tcPr>
          <w:p>
            <w:pPr>
              <w:snapToGrid w:val="false"/>
              <w:spacing w:line="240" w:lineRule="exact"/>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Merge w:val="continue"/>
            <w:vAlign w:val="center"/>
          </w:tcPr>
          <w:p>
            <w:pPr>
              <w:snapToGrid w:val="false"/>
              <w:spacing w:line="240" w:lineRule="exact"/>
              <w:rPr>
                <w:rFonts w:ascii="仿宋" w:hAnsi="仿宋" w:eastAsia="仿宋" w:cs="仿宋"/>
                <w:color w:val="000000"/>
                <w:sz w:val="18"/>
                <w:szCs w:val="18"/>
              </w:rPr>
            </w:pPr>
          </w:p>
        </w:tc>
        <w:tc>
          <w:tcPr>
            <w:tcW w:w="1280" w:type="dxa"/>
            <w:vMerge w:val="continue"/>
            <w:vAlign w:val="center"/>
          </w:tcPr>
          <w:p>
            <w:pPr>
              <w:snapToGrid w:val="false"/>
              <w:spacing w:line="240" w:lineRule="exact"/>
              <w:rPr>
                <w:rFonts w:ascii="仿宋" w:hAnsi="仿宋" w:eastAsia="仿宋" w:cs="仿宋"/>
                <w:color w:val="000000"/>
                <w:sz w:val="18"/>
                <w:szCs w:val="18"/>
              </w:rPr>
            </w:pPr>
          </w:p>
        </w:tc>
        <w:tc>
          <w:tcPr>
            <w:tcW w:w="1136" w:type="dxa"/>
            <w:vMerge w:val="continue"/>
            <w:vAlign w:val="center"/>
          </w:tcPr>
          <w:p>
            <w:pPr>
              <w:snapToGrid w:val="false"/>
              <w:spacing w:line="240" w:lineRule="exact"/>
              <w:rPr>
                <w:rFonts w:ascii="仿宋" w:hAnsi="仿宋" w:eastAsia="仿宋" w:cs="仿宋"/>
                <w:color w:val="000000"/>
                <w:sz w:val="18"/>
                <w:szCs w:val="18"/>
              </w:rPr>
            </w:pPr>
          </w:p>
        </w:tc>
        <w:tc>
          <w:tcPr>
            <w:tcW w:w="1135" w:type="dxa"/>
            <w:vMerge w:val="continue"/>
            <w:vAlign w:val="center"/>
          </w:tcPr>
          <w:p>
            <w:pPr>
              <w:snapToGrid w:val="false"/>
              <w:spacing w:line="240" w:lineRule="exact"/>
              <w:rPr>
                <w:rFonts w:ascii="仿宋" w:hAnsi="仿宋" w:eastAsia="仿宋" w:cs="仿宋"/>
                <w:color w:val="000000"/>
                <w:sz w:val="18"/>
                <w:szCs w:val="18"/>
              </w:rPr>
            </w:pPr>
          </w:p>
        </w:tc>
      </w:tr>
      <w:tr>
        <w:trPr>
          <w:trHeight w:val="204" w:hRule="atLeast"/>
          <w:jc w:val="center"/>
        </w:trPr>
        <w:tc>
          <w:tcPr>
            <w:tcW w:w="1454" w:type="dxa"/>
            <w:vMerge w:val="continue"/>
            <w:vAlign w:val="center"/>
          </w:tcPr>
          <w:p>
            <w:pPr>
              <w:snapToGrid w:val="false"/>
              <w:spacing w:line="240" w:lineRule="exact"/>
              <w:rPr>
                <w:rFonts w:ascii="仿宋" w:hAnsi="仿宋" w:eastAsia="仿宋" w:cs="仿宋"/>
                <w:b/>
                <w:bCs/>
                <w:color w:val="000000"/>
                <w:sz w:val="18"/>
                <w:szCs w:val="18"/>
              </w:rPr>
            </w:pPr>
          </w:p>
        </w:tc>
        <w:tc>
          <w:tcPr>
            <w:tcW w:w="1337" w:type="dxa"/>
            <w:vMerge w:val="continue"/>
            <w:vAlign w:val="center"/>
          </w:tcPr>
          <w:p>
            <w:pPr>
              <w:snapToGrid w:val="false"/>
              <w:spacing w:line="240" w:lineRule="exact"/>
              <w:rPr>
                <w:rFonts w:ascii="仿宋" w:hAnsi="仿宋" w:eastAsia="仿宋" w:cs="仿宋"/>
                <w:color w:val="000000"/>
                <w:sz w:val="18"/>
                <w:szCs w:val="18"/>
              </w:rPr>
            </w:pP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Merge w:val="continue"/>
            <w:vAlign w:val="center"/>
          </w:tcPr>
          <w:p>
            <w:pPr>
              <w:snapToGrid w:val="false"/>
              <w:spacing w:line="240" w:lineRule="exact"/>
              <w:rPr>
                <w:rFonts w:ascii="仿宋" w:hAnsi="仿宋" w:eastAsia="仿宋" w:cs="仿宋"/>
                <w:color w:val="000000"/>
                <w:sz w:val="18"/>
                <w:szCs w:val="18"/>
              </w:rPr>
            </w:pPr>
          </w:p>
        </w:tc>
        <w:tc>
          <w:tcPr>
            <w:tcW w:w="1280" w:type="dxa"/>
            <w:vMerge w:val="continue"/>
            <w:vAlign w:val="center"/>
          </w:tcPr>
          <w:p>
            <w:pPr>
              <w:snapToGrid w:val="false"/>
              <w:spacing w:line="240" w:lineRule="exact"/>
              <w:rPr>
                <w:rFonts w:ascii="仿宋" w:hAnsi="仿宋" w:eastAsia="仿宋" w:cs="仿宋"/>
                <w:color w:val="000000"/>
                <w:sz w:val="18"/>
                <w:szCs w:val="18"/>
              </w:rPr>
            </w:pPr>
          </w:p>
        </w:tc>
        <w:tc>
          <w:tcPr>
            <w:tcW w:w="1136" w:type="dxa"/>
            <w:vMerge w:val="continue"/>
            <w:vAlign w:val="center"/>
          </w:tcPr>
          <w:p>
            <w:pPr>
              <w:snapToGrid w:val="false"/>
              <w:spacing w:line="240" w:lineRule="exact"/>
              <w:rPr>
                <w:rFonts w:ascii="仿宋" w:hAnsi="仿宋" w:eastAsia="仿宋" w:cs="仿宋"/>
                <w:color w:val="000000"/>
                <w:sz w:val="18"/>
                <w:szCs w:val="18"/>
              </w:rPr>
            </w:pPr>
          </w:p>
        </w:tc>
        <w:tc>
          <w:tcPr>
            <w:tcW w:w="1135" w:type="dxa"/>
            <w:vMerge w:val="continue"/>
            <w:vAlign w:val="center"/>
          </w:tcPr>
          <w:p>
            <w:pPr>
              <w:snapToGrid w:val="false"/>
              <w:spacing w:line="240" w:lineRule="exact"/>
              <w:rPr>
                <w:rFonts w:ascii="仿宋" w:hAnsi="仿宋" w:eastAsia="仿宋" w:cs="仿宋"/>
                <w:color w:val="000000"/>
                <w:sz w:val="18"/>
                <w:szCs w:val="18"/>
              </w:rPr>
            </w:pPr>
          </w:p>
        </w:tc>
      </w:tr>
      <w:tr>
        <w:trPr>
          <w:trHeight w:val="211" w:hRule="atLeast"/>
          <w:jc w:val="center"/>
        </w:trPr>
        <w:tc>
          <w:tcPr>
            <w:tcW w:w="1454" w:type="dxa"/>
            <w:vAlign w:val="center"/>
          </w:tcPr>
          <w:p>
            <w:pPr>
              <w:snapToGrid w:val="false"/>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337"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合计</w:t>
            </w:r>
          </w:p>
        </w:tc>
        <w:tc>
          <w:tcPr>
            <w:tcW w:w="1209" w:type="dxa"/>
            <w:vAlign w:val="center"/>
          </w:tcPr>
          <w:p>
            <w:pPr>
              <w:snapToGrid w:val="false"/>
              <w:spacing w:line="240" w:lineRule="exact"/>
              <w:jc w:val="center"/>
              <w:rPr>
                <w:rFonts w:ascii="仿宋" w:hAnsi="仿宋" w:eastAsia="仿宋" w:cs="仿宋"/>
                <w:color w:val="000000"/>
                <w:sz w:val="18"/>
                <w:szCs w:val="18"/>
              </w:rPr>
            </w:pPr>
          </w:p>
        </w:tc>
        <w:tc>
          <w:tcPr>
            <w:tcW w:w="1982" w:type="dxa"/>
            <w:vAlign w:val="center"/>
          </w:tcPr>
          <w:p>
            <w:pPr>
              <w:snapToGrid w:val="false"/>
              <w:spacing w:line="240" w:lineRule="exact"/>
              <w:jc w:val="center"/>
              <w:rPr>
                <w:rFonts w:ascii="仿宋" w:hAnsi="仿宋" w:eastAsia="仿宋" w:cs="仿宋"/>
                <w:color w:val="000000"/>
                <w:sz w:val="18"/>
                <w:szCs w:val="18"/>
              </w:rPr>
            </w:pPr>
          </w:p>
        </w:tc>
        <w:tc>
          <w:tcPr>
            <w:tcW w:w="1182"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280"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6" w:type="dxa"/>
            <w:vAlign w:val="center"/>
          </w:tcPr>
          <w:p>
            <w:pPr>
              <w:snapToGrid w:val="false"/>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5" w:type="dxa"/>
            <w:vAlign w:val="center"/>
          </w:tcPr>
          <w:p>
            <w:pPr>
              <w:snapToGrid w:val="false"/>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GB" w:eastAsia="zh-CN"/>
        </w:rPr>
        <w:t>（2）土地</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005"/>
        <w:gridCol w:w="696"/>
        <w:gridCol w:w="1984"/>
        <w:gridCol w:w="993"/>
        <w:gridCol w:w="850"/>
        <w:gridCol w:w="992"/>
        <w:gridCol w:w="1134"/>
        <w:gridCol w:w="876"/>
      </w:tblGrid>
      <w:tr>
        <w:trPr>
          <w:trHeight w:val="578" w:hRule="atLeast"/>
          <w:tblHeader/>
          <w:jc w:val="center"/>
        </w:trPr>
        <w:tc>
          <w:tcPr>
            <w:tcW w:w="1101"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992"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亩数</w:t>
            </w:r>
          </w:p>
        </w:tc>
        <w:tc>
          <w:tcPr>
            <w:tcW w:w="1005" w:type="dxa"/>
            <w:tcBorders>
              <w:tl2br w:val="nil"/>
              <w:tr2bl w:val="nil"/>
            </w:tcBorders>
            <w:shd w:val="clear" w:color="auto" w:fill="auto"/>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市场估价（万）</w:t>
            </w:r>
          </w:p>
        </w:tc>
        <w:tc>
          <w:tcPr>
            <w:tcW w:w="696"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用地性质</w:t>
            </w:r>
          </w:p>
        </w:tc>
        <w:tc>
          <w:tcPr>
            <w:tcW w:w="1984"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位置</w:t>
            </w:r>
          </w:p>
        </w:tc>
        <w:tc>
          <w:tcPr>
            <w:tcW w:w="993"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取得价值（万）</w:t>
            </w:r>
          </w:p>
        </w:tc>
        <w:tc>
          <w:tcPr>
            <w:tcW w:w="850"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992"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4" w:type="dxa"/>
            <w:tcBorders>
              <w:tl2br w:val="nil"/>
              <w:tr2bl w:val="nil"/>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876" w:type="dxa"/>
            <w:tcBorders>
              <w:tl2br w:val="nil"/>
              <w:tr2bl w:val="nil"/>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融资余额（万）</w:t>
            </w:r>
          </w:p>
        </w:tc>
      </w:tr>
      <w:tr>
        <w:trPr>
          <w:trHeight w:val="576" w:hRule="atLeast"/>
          <w:jc w:val="center"/>
        </w:trPr>
        <w:tc>
          <w:tcPr>
            <w:tcW w:w="1101"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p>
        </w:tc>
        <w:tc>
          <w:tcPr>
            <w:tcW w:w="992"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p>
        </w:tc>
        <w:tc>
          <w:tcPr>
            <w:tcW w:w="1005" w:type="dxa"/>
            <w:tcBorders>
              <w:tl2br w:val="nil"/>
              <w:tr2bl w:val="nil"/>
            </w:tcBorders>
            <w:shd w:val="clear" w:color="auto" w:fill="auto"/>
            <w:vAlign w:val="center"/>
          </w:tcPr>
          <w:p>
            <w:pPr>
              <w:spacing w:line="240" w:lineRule="exact"/>
              <w:jc w:val="center"/>
              <w:rPr>
                <w:rFonts w:ascii="仿宋" w:hAnsi="仿宋" w:eastAsia="仿宋" w:cs="仿宋"/>
                <w:color w:val="000000"/>
                <w:sz w:val="18"/>
                <w:szCs w:val="18"/>
              </w:rPr>
            </w:pPr>
          </w:p>
        </w:tc>
        <w:tc>
          <w:tcPr>
            <w:tcW w:w="696"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p>
        </w:tc>
        <w:tc>
          <w:tcPr>
            <w:tcW w:w="1984"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p>
        </w:tc>
        <w:tc>
          <w:tcPr>
            <w:tcW w:w="993"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850"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992"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1134" w:type="dxa"/>
            <w:tcBorders>
              <w:tl2br w:val="nil"/>
              <w:tr2bl w:val="nil"/>
            </w:tcBorders>
            <w:vAlign w:val="center"/>
          </w:tcPr>
          <w:p>
            <w:pPr>
              <w:spacing w:line="240" w:lineRule="exact"/>
              <w:rPr>
                <w:rFonts w:ascii="仿宋" w:hAnsi="仿宋" w:eastAsia="仿宋" w:cs="仿宋"/>
                <w:color w:val="000000"/>
                <w:sz w:val="18"/>
                <w:szCs w:val="18"/>
              </w:rPr>
            </w:pPr>
          </w:p>
        </w:tc>
        <w:tc>
          <w:tcPr>
            <w:tcW w:w="876" w:type="dxa"/>
            <w:tcBorders>
              <w:tl2br w:val="nil"/>
              <w:tr2bl w:val="nil"/>
            </w:tcBorders>
            <w:vAlign w:val="center"/>
          </w:tcPr>
          <w:p>
            <w:pPr>
              <w:spacing w:line="240" w:lineRule="exact"/>
              <w:jc w:val="right"/>
              <w:rPr>
                <w:rFonts w:ascii="仿宋" w:hAnsi="仿宋" w:eastAsia="仿宋" w:cs="仿宋"/>
                <w:color w:val="000000"/>
                <w:sz w:val="18"/>
                <w:szCs w:val="18"/>
              </w:rPr>
            </w:pPr>
          </w:p>
        </w:tc>
      </w:tr>
      <w:tr>
        <w:trPr>
          <w:trHeight w:val="312" w:hRule="atLeast"/>
          <w:jc w:val="center"/>
        </w:trPr>
        <w:tc>
          <w:tcPr>
            <w:tcW w:w="1101" w:type="dxa"/>
            <w:tcBorders>
              <w:tl2br w:val="nil"/>
              <w:tr2bl w:val="nil"/>
            </w:tcBorders>
            <w:shd w:val="clear" w:color="000000" w:fill="FFFFFF"/>
            <w:vAlign w:val="center"/>
          </w:tcPr>
          <w:p>
            <w:pPr>
              <w:spacing w:line="240" w:lineRule="exact"/>
              <w:jc w:val="center"/>
              <w:rPr>
                <w:rFonts w:ascii="仿宋" w:hAnsi="仿宋" w:eastAsia="仿宋" w:cs="仿宋"/>
                <w:color w:val="000000"/>
                <w:sz w:val="18"/>
                <w:szCs w:val="18"/>
              </w:rPr>
            </w:pPr>
          </w:p>
        </w:tc>
        <w:tc>
          <w:tcPr>
            <w:tcW w:w="992"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1005"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696"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1984"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993"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850"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992"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1134" w:type="dxa"/>
            <w:tcBorders>
              <w:tl2br w:val="nil"/>
              <w:tr2bl w:val="nil"/>
            </w:tcBorders>
            <w:vAlign w:val="center"/>
          </w:tcPr>
          <w:p>
            <w:pPr>
              <w:spacing w:line="240" w:lineRule="exact"/>
              <w:rPr>
                <w:rFonts w:ascii="仿宋" w:hAnsi="仿宋" w:eastAsia="仿宋" w:cs="仿宋"/>
                <w:color w:val="000000"/>
                <w:sz w:val="18"/>
                <w:szCs w:val="18"/>
              </w:rPr>
            </w:pPr>
          </w:p>
        </w:tc>
        <w:tc>
          <w:tcPr>
            <w:tcW w:w="876" w:type="dxa"/>
            <w:tcBorders>
              <w:tl2br w:val="nil"/>
              <w:tr2bl w:val="nil"/>
            </w:tcBorders>
            <w:vAlign w:val="center"/>
          </w:tcPr>
          <w:p>
            <w:pPr>
              <w:spacing w:line="240" w:lineRule="exact"/>
              <w:jc w:val="right"/>
              <w:rPr>
                <w:rFonts w:ascii="仿宋" w:hAnsi="仿宋" w:eastAsia="仿宋" w:cs="仿宋"/>
                <w:color w:val="000000"/>
                <w:sz w:val="18"/>
                <w:szCs w:val="18"/>
              </w:rPr>
            </w:pPr>
          </w:p>
        </w:tc>
      </w:tr>
      <w:tr>
        <w:trPr>
          <w:trHeight w:val="288" w:hRule="atLeast"/>
          <w:jc w:val="center"/>
        </w:trPr>
        <w:tc>
          <w:tcPr>
            <w:tcW w:w="1101"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总计</w:t>
            </w:r>
          </w:p>
        </w:tc>
        <w:tc>
          <w:tcPr>
            <w:tcW w:w="992"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1005" w:type="dxa"/>
            <w:tcBorders>
              <w:tl2br w:val="nil"/>
              <w:tr2bl w:val="nil"/>
            </w:tcBorders>
            <w:vAlign w:val="center"/>
          </w:tcPr>
          <w:p>
            <w:pPr>
              <w:spacing w:line="240" w:lineRule="exact"/>
              <w:jc w:val="center"/>
              <w:rPr>
                <w:rFonts w:ascii="仿宋" w:hAnsi="仿宋" w:eastAsia="仿宋" w:cs="仿宋"/>
                <w:color w:val="000000"/>
                <w:sz w:val="18"/>
                <w:szCs w:val="18"/>
              </w:rPr>
            </w:pPr>
          </w:p>
        </w:tc>
        <w:tc>
          <w:tcPr>
            <w:tcW w:w="696"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984"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3" w:type="dxa"/>
            <w:tcBorders>
              <w:tl2br w:val="nil"/>
              <w:tr2bl w:val="nil"/>
            </w:tcBorders>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50" w:type="dxa"/>
            <w:tcBorders>
              <w:tl2br w:val="nil"/>
              <w:tr2bl w:val="nil"/>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2" w:type="dxa"/>
            <w:tcBorders>
              <w:tl2br w:val="nil"/>
              <w:tr2bl w:val="nil"/>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4" w:type="dxa"/>
            <w:tcBorders>
              <w:tl2br w:val="nil"/>
              <w:tr2bl w:val="nil"/>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76" w:type="dxa"/>
            <w:tcBorders>
              <w:tl2br w:val="nil"/>
              <w:tr2bl w:val="nil"/>
            </w:tcBorders>
            <w:vAlign w:val="center"/>
          </w:tcPr>
          <w:p>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sz w:val="24"/>
          <w:u w:val="none"/>
          <w:lang w:val="en-US" w:eastAsia="zh-CN"/>
        </w:rPr>
        <w:t>（3）</w:t>
      </w:r>
      <w:r>
        <w:rPr>
          <w:rFonts w:hint="eastAsia" w:ascii="仿宋" w:hAnsi="仿宋" w:eastAsia="仿宋" w:cs="仿宋"/>
          <w:i w:val="false"/>
          <w:strike w:val="false"/>
          <w:color w:val="000000"/>
          <w:sz w:val="24"/>
          <w:u w:val="none"/>
          <w:lang w:val="en-GB" w:eastAsia="zh-CN"/>
        </w:rPr>
        <w:t>股权质押</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480" w:firstLineChars="200"/>
        <w:jc w:val="both"/>
        <w:textAlignment w:val="auto"/>
        <w:rPr>
          <w:rFonts w:hint="eastAsia" w:ascii="仿宋" w:hAnsi="仿宋" w:eastAsia="仿宋" w:cs="仿宋"/>
          <w:i w:val="false"/>
          <w:strike w:val="false"/>
          <w:color w:val="000000"/>
          <w:sz w:val="24"/>
          <w:u w:val="none"/>
          <w:lang w:val="en-GB" w:eastAsia="zh-CN"/>
        </w:rPr>
      </w:pP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sz w:val="24"/>
          <w:u w:val="none"/>
          <w:lang w:val="en-GB" w:eastAsia="zh-CN"/>
        </w:rPr>
      </w:pPr>
      <w:r>
        <w:rPr>
          <w:rFonts w:hint="eastAsia" w:ascii="仿宋" w:hAnsi="仿宋" w:eastAsia="仿宋" w:cs="仿宋"/>
          <w:i w:val="false"/>
          <w:strike w:val="false"/>
          <w:color w:val="000000"/>
          <w:kern w:val="2"/>
          <w:sz w:val="24"/>
          <w:szCs w:val="22"/>
          <w:lang w:val="en-GB" w:eastAsia="zh-CN" w:bidi="ar-SA"/>
        </w:rPr>
        <w:t>（4）</w:t>
      </w:r>
      <w:r>
        <w:rPr>
          <w:rFonts w:hint="eastAsia" w:ascii="仿宋" w:hAnsi="仿宋" w:eastAsia="仿宋" w:cs="仿宋"/>
          <w:i w:val="false"/>
          <w:strike w:val="false"/>
          <w:color w:val="000000"/>
          <w:sz w:val="24"/>
          <w:u w:val="none"/>
          <w:lang w:val="en-GB" w:eastAsia="zh-CN"/>
        </w:rPr>
        <w:t>其他资产</w:t>
      </w:r>
    </w:p>
    <w:p>
      <w:pPr>
        <w:keepNext w:val="false"/>
        <w:keepLines w:val="false"/>
        <w:pageBreakBefore w:val="false"/>
        <w:widowControl w:val="false"/>
        <w:numPr>
          <w:numId w:val="0"/>
        </w:numPr>
        <w:tabs>
          <w:tab w:val="left" w:pos="142"/>
        </w:tabs>
        <w:kinsoku/>
        <w:wordWrap/>
        <w:overflowPunct/>
        <w:topLinePunct/>
        <w:autoSpaceDE w:val="false"/>
        <w:autoSpaceDN/>
        <w:bidi w:val="false"/>
        <w:adjustRightInd/>
        <w:snapToGrid/>
        <w:spacing w:before="157" w:beforeLines="50" w:after="157" w:afterLines="50" w:line="440" w:lineRule="exact"/>
        <w:ind w:leftChars="200" w:right="0" w:rightChars="0"/>
        <w:jc w:val="both"/>
        <w:textAlignment w:val="auto"/>
        <w:rPr>
          <w:rFonts w:hint="eastAsia" w:ascii="仿宋" w:hAnsi="仿宋" w:eastAsia="仿宋" w:cs="仿宋"/>
          <w:i w:val="false"/>
          <w:strike w:val="false"/>
          <w:color w:val="000000"/>
          <w:sz w:val="24"/>
          <w:u w:val="none"/>
          <w:lang w:val="en-GB" w:eastAsia="zh-CN"/>
        </w:rPr>
      </w:pP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（五）申请人财务分析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经与申请人沟通了解，目前暂无实质性经营，故暂无实质性财务数据。</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US" w:eastAsia="zh-CN" w:bidi="ar-SA"/>
        </w:rPr>
        <w:t>1</w:t>
      </w:r>
      <w:r>
        <w:rPr>
          <w:rFonts w:hint="eastAsia" w:ascii="仿宋" w:hAnsi="仿宋" w:eastAsia="仿宋" w:cs="仿宋"/>
          <w:i w:val="false"/>
          <w:strike w:val="false"/>
          <w:color w:val="000000"/>
          <w:kern w:val="2"/>
          <w:sz w:val="24"/>
          <w:szCs w:val="22"/>
          <w:lang w:val="en-US" w:eastAsia="zh-CN" w:bidi="ar-SA"/>
        </w:rPr>
        <w:t>、</w:t>
      </w:r>
      <w:r>
        <w:rPr>
          <w:rFonts w:hint="eastAsia" w:ascii="仿宋" w:hAnsi="仿宋" w:eastAsia="仿宋" w:cs="仿宋"/>
          <w:i w:val="false"/>
          <w:strike w:val="false"/>
          <w:color w:val="000000"/>
          <w:kern w:val="2"/>
          <w:sz w:val="24"/>
          <w:szCs w:val="22"/>
          <w:lang w:val="en-GB" w:eastAsia="zh-CN" w:bidi="ar-SA"/>
        </w:rPr>
        <w:t>财务报表说明</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时间</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2022年末（前三年） </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2023年末（前二年） </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2024年末（前一年） </w:t>
            </w:r>
          </w:p>
        </w:tc>
        <w:tc>
          <w:tcPr>
            <w:tcW w:w="2283"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2025年3月（最近一期） </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报表类型 </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283"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是否审计 </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283"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审计单位 </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审计意见类型 </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提供的三年报表是否前后连续</w:t>
            </w:r>
          </w:p>
        </w:tc>
        <w:tc>
          <w:tcPr>
            <w:tcW w:w="8475" w:type="dxa"/>
            <w:gridSpan w:val="4"/>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□连续       □不连续及原因： </w:t>
            </w:r>
          </w:p>
        </w:tc>
      </w:tr>
      <w:tr>
        <w:trPr>
          <w:jc w:val="center"/>
        </w:trPr>
        <w:tc>
          <w:tcPr>
            <w:tcW w:w="1947" w:type="dxa"/>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备注</w:t>
            </w:r>
          </w:p>
        </w:tc>
        <w:tc>
          <w:tcPr>
            <w:tcW w:w="8475" w:type="dxa"/>
            <w:gridSpan w:val="4"/>
            <w:shd w:val="clear" w:color="auto" w:fill="auto"/>
          </w:tcPr>
          <w:p>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若会计师事务所变更，请说明原因。</w:t>
            </w: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US" w:eastAsia="zh-CN" w:bidi="ar-SA"/>
        </w:rPr>
        <w:t>2</w:t>
      </w:r>
      <w:r>
        <w:rPr>
          <w:rFonts w:hint="eastAsia" w:ascii="仿宋" w:hAnsi="仿宋" w:eastAsia="仿宋" w:cs="仿宋"/>
          <w:i w:val="false"/>
          <w:strike w:val="false"/>
          <w:color w:val="000000"/>
          <w:kern w:val="2"/>
          <w:sz w:val="24"/>
          <w:szCs w:val="22"/>
          <w:lang w:val="en-US" w:eastAsia="zh-CN" w:bidi="ar-SA"/>
        </w:rPr>
        <w:t>、</w:t>
      </w:r>
      <w:r>
        <w:rPr>
          <w:rFonts w:hint="eastAsia" w:ascii="仿宋" w:hAnsi="仿宋" w:eastAsia="仿宋" w:cs="仿宋"/>
          <w:i w:val="false"/>
          <w:strike w:val="false"/>
          <w:color w:val="000000"/>
          <w:kern w:val="2"/>
          <w:sz w:val="24"/>
          <w:szCs w:val="22"/>
          <w:lang w:val="en-GB" w:eastAsia="zh-CN" w:bidi="ar-SA"/>
        </w:rPr>
        <w:t>财务报表分析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目前暂无实质性经营，故暂无实质性财务数据。</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b/>
          <w:bCs/>
          <w:i w:val="false"/>
          <w:strike w:val="false"/>
          <w:color w:val="000000"/>
          <w:sz w:val="24"/>
          <w:u w:val="none"/>
          <w:lang w:val="en-GB" w:eastAsia="zh-CN"/>
        </w:rPr>
      </w:pPr>
      <w:r>
        <w:rPr>
          <w:rFonts w:hint="eastAsia" w:ascii="仿宋" w:hAnsi="仿宋" w:eastAsia="仿宋" w:cs="仿宋"/>
          <w:b/>
          <w:bCs/>
          <w:i w:val="false"/>
          <w:strike w:val="false"/>
          <w:color w:val="000000"/>
          <w:sz w:val="24"/>
          <w:u w:val="none"/>
          <w:lang w:val="en-GB" w:eastAsia="zh-CN"/>
        </w:rPr>
        <w:t>资产负债表</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trPr>
          <w:trHeight w:val="113" w:hRule="atLeast"/>
          <w:tblHeader/>
          <w:jc w:val="center"/>
        </w:trPr>
        <w:tc>
          <w:tcPr>
            <w:tcW w:w="1854" w:type="dxa"/>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科目</w:t>
            </w:r>
          </w:p>
        </w:tc>
        <w:tc>
          <w:tcPr>
            <w:tcW w:w="1810"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2022年末（前三年）</w:t>
            </w:r>
          </w:p>
        </w:tc>
        <w:tc>
          <w:tcPr>
            <w:tcW w:w="1812"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2023年末（前二年）</w:t>
            </w:r>
          </w:p>
        </w:tc>
        <w:tc>
          <w:tcPr>
            <w:tcW w:w="1810"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2024年末（前一年）</w:t>
            </w:r>
          </w:p>
        </w:tc>
        <w:tc>
          <w:tcPr>
            <w:tcW w:w="2100" w:type="dxa"/>
            <w:gridSpan w:val="2"/>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2025年3月（最近一期）</w:t>
            </w:r>
          </w:p>
        </w:tc>
      </w:tr>
      <w:tr>
        <w:trPr>
          <w:trHeight w:val="113" w:hRule="atLeast"/>
          <w:tblHeader/>
          <w:jc w:val="center"/>
        </w:trPr>
        <w:tc>
          <w:tcPr>
            <w:tcW w:w="1854" w:type="dxa"/>
            <w:vMerge w:val="continue"/>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金额</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占比</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总资产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false"/>
                <w:strike w:val="false"/>
                <w:color w:val="000000"/>
                <w:spacing w:val="0"/>
                <w:sz w:val="20"/>
                <w:u w:val="none"/>
              </w:rPr>
              <w:t>960.62</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false"/>
                <w:strike w:val="false"/>
                <w:color w:val="000000"/>
                <w:spacing w:val="0"/>
                <w:sz w:val="20"/>
                <w:u w:val="none"/>
              </w:rPr>
              <w:t>100.00%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false"/>
                <w:strike w:val="false"/>
                <w:color w:val="000000"/>
                <w:spacing w:val="0"/>
                <w:sz w:val="20"/>
                <w:u w:val="none"/>
              </w:rPr>
              <w:t>960.59</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22"/>
              </w:rPr>
            </w:pPr>
            <w:r>
              <w:rPr>
                <w:rFonts w:hint="eastAsia" w:ascii="仿宋" w:hAnsi="仿宋" w:eastAsia="仿宋" w:cs="仿宋"/>
                <w:i w:val="false"/>
                <w:strike w:val="false"/>
                <w:color w:val="000000"/>
                <w:spacing w:val="0"/>
                <w:sz w:val="20"/>
                <w:u w:val="none"/>
              </w:rPr>
              <w:t>100.00%</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流动资产合计</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960.62</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100.00%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960.59</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100.00%</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货币资金</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0.62</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0.06%</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0.59</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0.06%</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交易性金融资产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应收票据</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应收账款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合同资产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预付账款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应收利息</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应收股利</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其他应收款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99.94%</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坏账准备</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存货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其他流动资产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一年内到期的非流动资产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非流动资产合计</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960.59</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b/>
                <w:color w:val="000000"/>
                <w:sz w:val="22"/>
              </w:rPr>
            </w:pPr>
            <w:r>
              <w:rPr>
                <w:rFonts w:hint="eastAsia" w:ascii="仿宋" w:hAnsi="仿宋" w:eastAsia="仿宋" w:cs="仿宋"/>
                <w:b/>
                <w:color w:val="000000"/>
                <w:kern w:val="0"/>
                <w:sz w:val="22"/>
              </w:rPr>
              <w:t>100%</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债权投资</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其他债权投资</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长期股权投资</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投资性房地产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长期应收款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固定资产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在建工程</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无形资产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商誉</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长期待摊费用</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递延所得税资产</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总负债</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pBdr>
                <w:bottom w:val="none" w:color="auto" w:sz="0" w:space="0"/>
              </w:pBdr>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975.00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101.56%</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978.00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101.81%</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978.00</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101.81%</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流动负债合计</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pBdr>
                <w:bottom w:val="none" w:color="auto" w:sz="0" w:space="0"/>
              </w:pBdr>
              <w:jc w:val="center"/>
              <w:textAlignment w:val="center"/>
              <w:rPr>
                <w:rFonts w:hint="eastAsia" w:ascii="仿宋" w:hAnsi="仿宋" w:eastAsia="仿宋" w:cs="仿宋"/>
                <w:b/>
                <w:color w:val="000000"/>
                <w:kern w:val="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i w:val="false"/>
                <w:strike w:val="false"/>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18.00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1.87%</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18.00</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1.87%</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短期借款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交易性金融负债</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应付票据</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应付账款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预收账款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合同负债</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应付职工薪酬</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应交税费</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应付股利</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应付利息</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其他应付款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pPr>
              <w:widowControl/>
              <w:pBdr>
                <w:bottom w:val="none" w:color="auto" w:sz="0" w:space="0"/>
              </w:pBdr>
              <w:jc w:val="center"/>
              <w:textAlignment w:val="center"/>
              <w:rPr>
                <w:rFonts w:hint="eastAsia" w:ascii="仿宋" w:hAnsi="仿宋" w:eastAsia="仿宋" w:cs="仿宋"/>
                <w:b/>
                <w:color w:val="000000"/>
                <w:sz w:val="22"/>
              </w:rPr>
            </w:pPr>
            <w:r>
              <w:rPr>
                <w:rFonts w:hint="eastAsia" w:ascii="仿宋" w:hAnsi="仿宋" w:eastAsia="仿宋" w:cs="仿宋"/>
                <w:b/>
                <w:i w:val="false"/>
                <w:strike w:val="false"/>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18.00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1.87%</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18.00</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1.87%</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一年内到期的非流动负债</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非流动负债合计</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960.00</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99.94%</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长期借款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b/>
                <w:color w:val="000000"/>
                <w:kern w:val="0"/>
                <w:sz w:val="22"/>
              </w:rPr>
              <w:t>100%</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99.94%</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960.00</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99.94%</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应付债券</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长期应付款</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递延所得税负债</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color w:val="000000"/>
                <w:kern w:val="0"/>
                <w:sz w:val="22"/>
              </w:rPr>
              <w:t>所有者权益</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i w:val="false"/>
                <w:strike w:val="false"/>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-17.39</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-1.81%</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-17.41</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b/>
                <w:color w:val="000000"/>
                <w:sz w:val="22"/>
              </w:rPr>
            </w:pPr>
            <w:r>
              <w:rPr>
                <w:rFonts w:hint="eastAsia" w:ascii="仿宋" w:hAnsi="仿宋" w:eastAsia="仿宋" w:cs="仿宋"/>
                <w:i w:val="false"/>
                <w:strike w:val="false"/>
                <w:color w:val="000000"/>
                <w:spacing w:val="0"/>
                <w:sz w:val="20"/>
                <w:u w:val="none"/>
              </w:rPr>
              <w:t>-1.81%</w:t>
            </w: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实收资本</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其他权益工具</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资本公积</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库存股</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盈余公积</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p>
        </w:tc>
      </w:tr>
      <w:tr>
        <w:trPr>
          <w:trHeight w:val="113" w:hRule="atLeast"/>
          <w:jc w:val="center"/>
        </w:trPr>
        <w:tc>
          <w:tcPr>
            <w:tcW w:w="185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rPr>
              <w:t>未分配利润</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-15.00</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b/>
                <w:color w:val="000000"/>
                <w:sz w:val="22"/>
              </w:rPr>
            </w:pPr>
            <w:r>
              <w:rPr>
                <w:rFonts w:hint="eastAsia" w:ascii="仿宋" w:hAnsi="仿宋" w:eastAsia="仿宋" w:cs="仿宋"/>
                <w:b/>
                <w:i w:val="false"/>
                <w:strike w:val="false"/>
                <w:color w:val="000000"/>
                <w:spacing w:val="0"/>
                <w:sz w:val="20"/>
                <w:u w:val="none"/>
              </w:rPr>
              <w:t>-1.56%</w:t>
            </w:r>
          </w:p>
        </w:tc>
        <w:tc>
          <w:tcPr>
            <w:tcW w:w="904"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-17.39</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-1.81%</w:t>
            </w:r>
          </w:p>
        </w:tc>
        <w:tc>
          <w:tcPr>
            <w:tcW w:w="90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-17.41</w:t>
            </w:r>
          </w:p>
        </w:tc>
        <w:tc>
          <w:tcPr>
            <w:tcW w:w="1194" w:type="dxa"/>
            <w:tcBorders>
              <w:tl2br w:val="nil"/>
              <w:tr2bl w:val="nil"/>
            </w:tcBorders>
            <w:shd w:val="clear" w:color="auto" w:fill="auto"/>
            <w:tcMar>
              <w:top w:w="15" w:type="dxa"/>
              <w:left w:w="15" w:type="dxa"/>
              <w:right w:w="15" w:type="dxa"/>
            </w:tcMar>
            <w:vAlign w:val="center"/>
          </w:tcPr>
          <w:p>
            <w:pPr>
              <w:widowControl/>
              <w:jc w:val="center"/>
              <w:textAlignment w:val="bottom"/>
              <w:rPr>
                <w:rFonts w:hint="eastAsia" w:ascii="仿宋" w:hAnsi="仿宋" w:eastAsia="仿宋" w:cs="仿宋"/>
                <w:color w:val="000000"/>
                <w:sz w:val="22"/>
              </w:rPr>
            </w:pPr>
            <w:r>
              <w:rPr>
                <w:rFonts w:hint="eastAsia" w:ascii="仿宋" w:hAnsi="仿宋" w:eastAsia="仿宋" w:cs="仿宋"/>
                <w:i w:val="false"/>
                <w:strike w:val="false"/>
                <w:color w:val="000000"/>
                <w:spacing w:val="0"/>
                <w:sz w:val="20"/>
                <w:u w:val="none"/>
              </w:rPr>
              <w:t>-1.81%</w:t>
            </w: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b/>
          <w:bCs/>
          <w:i w:val="false"/>
          <w:strike w:val="false"/>
          <w:color w:val="000000"/>
          <w:sz w:val="24"/>
          <w:u w:val="none"/>
          <w:lang w:val="en-GB" w:eastAsia="zh-CN"/>
        </w:rPr>
      </w:pPr>
      <w:r>
        <w:rPr>
          <w:rFonts w:hint="eastAsia" w:ascii="仿宋" w:hAnsi="仿宋" w:eastAsia="仿宋" w:cs="仿宋"/>
          <w:b/>
          <w:bCs/>
          <w:i w:val="false"/>
          <w:strike w:val="false"/>
          <w:color w:val="000000"/>
          <w:sz w:val="24"/>
          <w:u w:val="none"/>
          <w:lang w:val="en-GB" w:eastAsia="zh-CN"/>
        </w:rPr>
        <w:t>利润表</w:t>
      </w:r>
    </w:p>
    <w:tbl>
      <w:tblPr>
        <w:tblStyle w:val="000015"/>
        <w:tblW w:w="0" w:type="auto"/>
        <w:jc w:val="center"/>
        <w:tblLayout w:type="fixed"/>
        <w:tblCellMar>
          <w:top w:w="0" w:type="dxa"/>
          <w:left w:w="108" w:type="dxa"/>
          <w:bottom w:w="0" w:type="dxa"/>
          <w:right w:w="108" w:type="dxa"/>
        </w:tblCellMar>
      </w:tblPr>
      <w:tblGrid>
        <w:gridCol w:w="2360"/>
        <w:gridCol w:w="1160"/>
        <w:gridCol w:w="1160"/>
        <w:gridCol w:w="1160"/>
        <w:gridCol w:w="1160"/>
        <w:gridCol w:w="1160"/>
        <w:gridCol w:w="1160"/>
        <w:gridCol w:w="1160"/>
        <w:gridCol w:w="1160"/>
      </w:tblGrid>
      <w:tr>
        <w:trPr>
          <w:trHeight w:val="283" w:hRule="atLeast"/>
          <w:tblHeader/>
          <w:jc w:val="center"/>
        </w:trPr>
        <w:tc>
          <w:tcPr>
            <w:tcW w:w="23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科目</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2022年末（前三年）</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2023年末（前二年）</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2024年末（前一年）</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color w:val="000000"/>
                <w:kern w:val="0"/>
                <w:sz w:val="22"/>
              </w:rPr>
              <w:t>2025年3月（最近一期）</w:t>
            </w:r>
          </w:p>
        </w:tc>
      </w:tr>
      <w:tr>
        <w:trPr>
          <w:trHeight w:val="283" w:hRule="atLeast"/>
          <w:tblHeader/>
          <w:jc w:val="center"/>
        </w:trPr>
        <w:tc>
          <w:tcPr>
            <w:tcW w:w="2360"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占比</w:t>
            </w: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一、营业总收入</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减：营业成本</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营业税金及附加</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销售费用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2.00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管理费用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0.30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财务费用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研发费用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加：其他收益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投资收益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资产减值损失（损失以-号列）</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信用减值损失（损失以-号列）</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公允价值变动净收益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汇兑净收益</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二、营业利润</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-2.38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加：营业外收入</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减：营业外支出</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三、利润总额</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-2.38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减：所得税费用</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p>
        </w:tc>
      </w:tr>
      <w:tr>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四、净利润</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-2.38</w:t>
            </w: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color w:val="000000"/>
                <w:kern w:val="0"/>
                <w:sz w:val="22"/>
              </w:rPr>
            </w:pP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left="0" w:right="0" w:firstLine="0" w:firstLineChars="0"/>
        <w:jc w:val="center"/>
        <w:textAlignment w:val="auto"/>
        <w:rPr>
          <w:rFonts w:hint="eastAsia" w:ascii="仿宋" w:hAnsi="仿宋" w:eastAsia="仿宋" w:cs="仿宋"/>
          <w:b/>
          <w:bCs/>
          <w:i w:val="false"/>
          <w:strike w:val="false"/>
          <w:color w:val="000000"/>
          <w:sz w:val="24"/>
          <w:u w:val="none"/>
          <w:lang w:val="en-GB" w:eastAsia="zh-CN"/>
        </w:rPr>
      </w:pPr>
      <w:r>
        <w:rPr>
          <w:rFonts w:hint="eastAsia" w:ascii="仿宋" w:hAnsi="仿宋" w:eastAsia="仿宋" w:cs="仿宋"/>
          <w:b/>
          <w:bCs/>
          <w:i w:val="false"/>
          <w:strike w:val="false"/>
          <w:color w:val="000000"/>
          <w:sz w:val="24"/>
          <w:u w:val="none"/>
          <w:lang w:val="en-GB" w:eastAsia="zh-CN"/>
        </w:rPr>
        <w:t>现金流量表</w:t>
      </w:r>
    </w:p>
    <w:tbl>
      <w:tblPr>
        <w:tblStyle w:val="000015"/>
        <w:tblW w:w="0" w:type="auto"/>
        <w:jc w:val="center"/>
        <w:tblLayout w:type="fixed"/>
        <w:tblCellMar>
          <w:top w:w="0" w:type="dxa"/>
          <w:left w:w="108" w:type="dxa"/>
          <w:bottom w:w="0" w:type="dxa"/>
          <w:right w:w="108" w:type="dxa"/>
        </w:tblCellMar>
      </w:tblPr>
      <w:tblGrid>
        <w:gridCol w:w="2843"/>
        <w:gridCol w:w="1722"/>
        <w:gridCol w:w="1722"/>
        <w:gridCol w:w="1722"/>
        <w:gridCol w:w="1877"/>
      </w:tblGrid>
      <w:tr>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科目</w:t>
            </w:r>
          </w:p>
        </w:tc>
        <w:tc>
          <w:tcPr>
            <w:tcW w:w="17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2022年末（前三年）</w:t>
            </w:r>
          </w:p>
        </w:tc>
        <w:tc>
          <w:tcPr>
            <w:tcW w:w="17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2023年末（前二年）</w:t>
            </w:r>
          </w:p>
        </w:tc>
        <w:tc>
          <w:tcPr>
            <w:tcW w:w="17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2024年末（前一年）</w:t>
            </w:r>
          </w:p>
        </w:tc>
        <w:tc>
          <w:tcPr>
            <w:tcW w:w="18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b/>
                <w:color w:val="000000"/>
                <w:kern w:val="0"/>
                <w:sz w:val="22"/>
              </w:rPr>
              <w:t>2025年3月（最近一期）</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经营活动现金流入小计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26.52</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1,029.84</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1,029.84</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13.56</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经营活动现金流出小计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986.52</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1,029.22</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kern w:val="0"/>
                <w:szCs w:val="21"/>
              </w:rPr>
            </w:pPr>
            <w:r>
              <w:rPr>
                <w:rFonts w:hint="eastAsia" w:ascii="仿宋" w:hAnsi="仿宋" w:eastAsia="仿宋" w:cs="仿宋"/>
                <w:i w:val="false"/>
                <w:strike w:val="false"/>
                <w:color w:val="000000"/>
                <w:spacing w:val="0"/>
                <w:sz w:val="20"/>
                <w:u w:val="none"/>
              </w:rPr>
              <w:t>13.58</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经营活动产生现金流净额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i w:val="false"/>
                <w:strike w:val="false"/>
                <w:color w:val="000000"/>
                <w:spacing w:val="0"/>
                <w:sz w:val="20"/>
                <w:u w:val="none"/>
              </w:rPr>
              <w:t>1,029.84</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i w:val="false"/>
                <w:strike w:val="false"/>
                <w:color w:val="000000"/>
                <w:spacing w:val="0"/>
                <w:sz w:val="20"/>
                <w:u w:val="none"/>
              </w:rPr>
              <w:t>0.61</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i w:val="false"/>
                <w:strike w:val="false"/>
                <w:color w:val="000000"/>
                <w:spacing w:val="0"/>
                <w:sz w:val="20"/>
                <w:u w:val="none"/>
              </w:rPr>
              <w:t>-0.02</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投资活动现金流入小计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投资活动现金流出小计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投资活动现金流量净额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筹资活动现金流入小计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筹资活动现金流出小计</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筹资活动现金流量净额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i w:val="false"/>
                <w:strike w:val="false"/>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c>
          <w:tcPr>
            <w:tcW w:w="1877"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0</w:t>
            </w:r>
          </w:p>
        </w:tc>
      </w:tr>
      <w:tr>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现金及现金等价物净增加额</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0</w:t>
            </w:r>
          </w:p>
        </w:tc>
        <w:tc>
          <w:tcPr>
            <w:tcW w:w="172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Cs w:val="21"/>
              </w:rPr>
            </w:pPr>
            <w:r>
              <w:rPr>
                <w:rFonts w:hint="eastAsia" w:ascii="仿宋" w:hAnsi="仿宋" w:eastAsia="仿宋" w:cs="仿宋"/>
                <w:i w:val="false"/>
                <w:strike w:val="false"/>
                <w:color w:val="000000"/>
                <w:spacing w:val="0"/>
                <w:sz w:val="20"/>
                <w:u w:val="none"/>
              </w:rPr>
              <w:t>0.62</w:t>
            </w:r>
          </w:p>
        </w:tc>
        <w:tc>
          <w:tcPr>
            <w:tcW w:w="187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kern w:val="0"/>
                <w:sz w:val="22"/>
              </w:rPr>
            </w:pPr>
            <w:r>
              <w:rPr>
                <w:rFonts w:hint="eastAsia" w:ascii="仿宋" w:hAnsi="仿宋" w:eastAsia="仿宋" w:cs="仿宋"/>
                <w:i w:val="false"/>
                <w:strike w:val="false"/>
                <w:color w:val="000000"/>
                <w:spacing w:val="0"/>
                <w:sz w:val="20"/>
                <w:u w:val="none"/>
              </w:rPr>
              <w:t>-0.02</w:t>
            </w: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US" w:eastAsia="zh-CN" w:bidi="ar-SA"/>
        </w:rPr>
        <w:t>(1)</w:t>
      </w:r>
      <w:r>
        <w:rPr>
          <w:rFonts w:hint="eastAsia" w:ascii="仿宋" w:hAnsi="仿宋" w:eastAsia="仿宋" w:cs="仿宋"/>
          <w:i w:val="false"/>
          <w:strike w:val="false"/>
          <w:color w:val="000000"/>
          <w:kern w:val="2"/>
          <w:sz w:val="24"/>
          <w:szCs w:val="22"/>
          <w:lang w:val="en-GB" w:eastAsia="zh-CN" w:bidi="ar-SA"/>
        </w:rPr>
        <w:t>资产负债表分析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根据资产负债表的数据，分析该企业的整体资产、负债及所有者权益变动趋势，变动较大的科目及变动原因，并说明是否符合企业的生产经营模式。</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2025年3月财务明细入下：</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US" w:eastAsia="zh-CN" w:bidi="ar-SA"/>
        </w:rPr>
        <w:t>①</w:t>
      </w:r>
      <w:r>
        <w:rPr>
          <w:rFonts w:hint="eastAsia" w:ascii="仿宋" w:hAnsi="仿宋" w:eastAsia="仿宋" w:cs="仿宋"/>
          <w:i w:val="false"/>
          <w:strike w:val="false"/>
          <w:color w:val="000000"/>
          <w:kern w:val="2"/>
          <w:sz w:val="24"/>
          <w:szCs w:val="22"/>
          <w:lang w:val="en-GB" w:eastAsia="zh-CN" w:bidi="ar-SA"/>
        </w:rPr>
        <w:t>货币资金分析（单位：万元）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2134"/>
        <w:gridCol w:w="2338"/>
        <w:gridCol w:w="2327"/>
      </w:tblGrid>
      <w:tr>
        <w:trPr>
          <w:trHeight w:val="499" w:hRule="atLeast"/>
          <w:jc w:val="center"/>
        </w:trPr>
        <w:tc>
          <w:tcPr>
            <w:tcW w:w="2487" w:type="dxa"/>
            <w:shd w:val="clear" w:color="auto" w:fill="FFFFFF"/>
            <w:vAlign w:val="center"/>
          </w:tcPr>
          <w:p>
            <w:pPr>
              <w:jc w:val="center"/>
              <w:rPr>
                <w:rFonts w:hint="eastAsia" w:ascii="仿宋" w:hAnsi="仿宋" w:eastAsia="仿宋" w:cs="仿宋"/>
                <w:b/>
                <w:bCs/>
                <w:sz w:val="22"/>
                <w:szCs w:val="22"/>
              </w:rPr>
            </w:pPr>
            <w:r>
              <w:rPr>
                <w:rFonts w:hint="eastAsia" w:ascii="仿宋" w:hAnsi="仿宋" w:eastAsia="仿宋" w:cs="仿宋"/>
                <w:b/>
                <w:bCs/>
                <w:sz w:val="22"/>
                <w:szCs w:val="22"/>
              </w:rPr>
              <w:t>存款类型</w:t>
            </w:r>
          </w:p>
        </w:tc>
        <w:tc>
          <w:tcPr>
            <w:tcW w:w="2134" w:type="dxa"/>
            <w:shd w:val="clear" w:color="auto" w:fill="FFFFFF"/>
            <w:vAlign w:val="center"/>
          </w:tcPr>
          <w:p>
            <w:pPr>
              <w:jc w:val="center"/>
              <w:rPr>
                <w:rFonts w:hint="eastAsia" w:ascii="仿宋" w:hAnsi="仿宋" w:eastAsia="仿宋" w:cs="仿宋"/>
                <w:b/>
                <w:bCs/>
                <w:sz w:val="22"/>
                <w:szCs w:val="22"/>
              </w:rPr>
            </w:pPr>
            <w:r>
              <w:rPr>
                <w:rFonts w:hint="eastAsia" w:ascii="仿宋" w:hAnsi="仿宋" w:eastAsia="仿宋" w:cs="仿宋"/>
                <w:b/>
                <w:bCs/>
                <w:sz w:val="22"/>
                <w:szCs w:val="22"/>
              </w:rPr>
              <w:t>期末值</w:t>
            </w:r>
          </w:p>
        </w:tc>
        <w:tc>
          <w:tcPr>
            <w:tcW w:w="2338" w:type="dxa"/>
            <w:shd w:val="clear" w:color="auto" w:fill="FFFFFF"/>
            <w:vAlign w:val="center"/>
          </w:tcPr>
          <w:p>
            <w:pPr>
              <w:jc w:val="center"/>
              <w:rPr>
                <w:rFonts w:hint="eastAsia" w:ascii="仿宋" w:hAnsi="仿宋" w:eastAsia="仿宋" w:cs="仿宋"/>
                <w:b/>
                <w:bCs/>
                <w:sz w:val="22"/>
                <w:szCs w:val="22"/>
              </w:rPr>
            </w:pPr>
            <w:r>
              <w:rPr>
                <w:rFonts w:hint="eastAsia" w:ascii="仿宋" w:hAnsi="仿宋" w:eastAsia="仿宋" w:cs="仿宋"/>
                <w:b/>
                <w:bCs/>
                <w:sz w:val="22"/>
                <w:szCs w:val="22"/>
              </w:rPr>
              <w:t>年初值</w:t>
            </w:r>
          </w:p>
        </w:tc>
        <w:tc>
          <w:tcPr>
            <w:tcW w:w="2327" w:type="dxa"/>
            <w:shd w:val="clear" w:color="auto" w:fill="FFFFFF"/>
            <w:vAlign w:val="center"/>
          </w:tcPr>
          <w:p>
            <w:pPr>
              <w:jc w:val="center"/>
              <w:rPr>
                <w:rFonts w:hint="eastAsia" w:ascii="仿宋" w:hAnsi="仿宋" w:eastAsia="仿宋" w:cs="仿宋"/>
                <w:b/>
                <w:bCs/>
                <w:sz w:val="22"/>
                <w:szCs w:val="22"/>
              </w:rPr>
            </w:pPr>
            <w:r>
              <w:rPr>
                <w:rFonts w:hint="eastAsia" w:ascii="仿宋" w:hAnsi="仿宋" w:eastAsia="仿宋" w:cs="仿宋"/>
                <w:b/>
                <w:bCs/>
                <w:sz w:val="22"/>
                <w:szCs w:val="22"/>
              </w:rPr>
              <w:t>增减额</w:t>
            </w:r>
          </w:p>
        </w:tc>
      </w:tr>
      <w:tr>
        <w:trPr>
          <w:trHeight w:val="499" w:hRule="atLeast"/>
          <w:jc w:val="center"/>
        </w:trPr>
        <w:tc>
          <w:tcPr>
            <w:tcW w:w="248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银行存款</w:t>
            </w:r>
          </w:p>
        </w:tc>
        <w:tc>
          <w:tcPr>
            <w:tcW w:w="2134"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0.59</w:t>
            </w:r>
          </w:p>
        </w:tc>
        <w:tc>
          <w:tcPr>
            <w:tcW w:w="2338"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0.62</w:t>
            </w:r>
          </w:p>
        </w:tc>
        <w:tc>
          <w:tcPr>
            <w:tcW w:w="232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-0.03</w:t>
            </w:r>
          </w:p>
        </w:tc>
      </w:tr>
      <w:tr>
        <w:trPr>
          <w:trHeight w:val="499" w:hRule="atLeast"/>
          <w:jc w:val="center"/>
        </w:trPr>
        <w:tc>
          <w:tcPr>
            <w:tcW w:w="248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其中：保证金存款</w:t>
            </w:r>
          </w:p>
        </w:tc>
        <w:tc>
          <w:tcPr>
            <w:tcW w:w="2134" w:type="dxa"/>
            <w:shd w:val="clear" w:color="auto" w:fill="FFFFFF"/>
            <w:vAlign w:val="center"/>
          </w:tcPr>
          <w:p>
            <w:pPr>
              <w:jc w:val="center"/>
              <w:rPr>
                <w:rFonts w:hint="eastAsia" w:ascii="仿宋" w:hAnsi="仿宋" w:eastAsia="仿宋" w:cs="仿宋"/>
                <w:sz w:val="22"/>
                <w:szCs w:val="22"/>
              </w:rPr>
            </w:pPr>
          </w:p>
        </w:tc>
        <w:tc>
          <w:tcPr>
            <w:tcW w:w="2338" w:type="dxa"/>
            <w:shd w:val="clear" w:color="auto" w:fill="FFFFFF"/>
            <w:vAlign w:val="center"/>
          </w:tcPr>
          <w:p>
            <w:pPr>
              <w:jc w:val="center"/>
              <w:rPr>
                <w:rFonts w:hint="eastAsia" w:ascii="仿宋" w:hAnsi="仿宋" w:eastAsia="仿宋" w:cs="仿宋"/>
                <w:sz w:val="22"/>
                <w:szCs w:val="22"/>
              </w:rPr>
            </w:pPr>
          </w:p>
        </w:tc>
        <w:tc>
          <w:tcPr>
            <w:tcW w:w="2327" w:type="dxa"/>
            <w:shd w:val="clear" w:color="auto" w:fill="FFFFFF"/>
            <w:vAlign w:val="center"/>
          </w:tcPr>
          <w:p>
            <w:pPr>
              <w:jc w:val="center"/>
              <w:rPr>
                <w:rFonts w:hint="eastAsia" w:ascii="仿宋" w:hAnsi="仿宋" w:eastAsia="仿宋" w:cs="仿宋"/>
                <w:sz w:val="22"/>
                <w:szCs w:val="22"/>
              </w:rPr>
            </w:pPr>
          </w:p>
        </w:tc>
      </w:tr>
      <w:tr>
        <w:trPr>
          <w:trHeight w:val="499" w:hRule="atLeast"/>
          <w:jc w:val="center"/>
        </w:trPr>
        <w:tc>
          <w:tcPr>
            <w:tcW w:w="248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现金</w:t>
            </w:r>
          </w:p>
        </w:tc>
        <w:tc>
          <w:tcPr>
            <w:tcW w:w="2134" w:type="dxa"/>
            <w:shd w:val="clear" w:color="auto" w:fill="FFFFFF"/>
            <w:vAlign w:val="center"/>
          </w:tcPr>
          <w:p>
            <w:pPr>
              <w:jc w:val="center"/>
              <w:rPr>
                <w:rFonts w:hint="eastAsia" w:ascii="仿宋" w:hAnsi="仿宋" w:eastAsia="仿宋" w:cs="仿宋"/>
                <w:sz w:val="22"/>
                <w:szCs w:val="22"/>
              </w:rPr>
            </w:pPr>
          </w:p>
        </w:tc>
        <w:tc>
          <w:tcPr>
            <w:tcW w:w="2338" w:type="dxa"/>
            <w:shd w:val="clear" w:color="auto" w:fill="FFFFFF"/>
            <w:vAlign w:val="center"/>
          </w:tcPr>
          <w:p>
            <w:pPr>
              <w:jc w:val="center"/>
              <w:rPr>
                <w:rFonts w:hint="eastAsia" w:ascii="仿宋" w:hAnsi="仿宋" w:eastAsia="仿宋" w:cs="仿宋"/>
                <w:sz w:val="22"/>
                <w:szCs w:val="22"/>
              </w:rPr>
            </w:pPr>
          </w:p>
        </w:tc>
        <w:tc>
          <w:tcPr>
            <w:tcW w:w="2327" w:type="dxa"/>
            <w:shd w:val="clear" w:color="auto" w:fill="FFFFFF"/>
            <w:vAlign w:val="center"/>
          </w:tcPr>
          <w:p>
            <w:pPr>
              <w:jc w:val="center"/>
              <w:rPr>
                <w:rFonts w:hint="eastAsia" w:ascii="仿宋" w:hAnsi="仿宋" w:eastAsia="仿宋" w:cs="仿宋"/>
                <w:sz w:val="22"/>
                <w:szCs w:val="22"/>
              </w:rPr>
            </w:pPr>
          </w:p>
        </w:tc>
      </w:tr>
      <w:tr>
        <w:trPr>
          <w:trHeight w:val="499" w:hRule="atLeast"/>
          <w:jc w:val="center"/>
        </w:trPr>
        <w:tc>
          <w:tcPr>
            <w:tcW w:w="248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其他货币资金</w:t>
            </w:r>
          </w:p>
        </w:tc>
        <w:tc>
          <w:tcPr>
            <w:tcW w:w="2134" w:type="dxa"/>
            <w:shd w:val="clear" w:color="auto" w:fill="FFFFFF"/>
            <w:vAlign w:val="center"/>
          </w:tcPr>
          <w:p>
            <w:pPr>
              <w:jc w:val="center"/>
              <w:rPr>
                <w:rFonts w:hint="eastAsia" w:ascii="仿宋" w:hAnsi="仿宋" w:eastAsia="仿宋" w:cs="仿宋"/>
                <w:sz w:val="22"/>
                <w:szCs w:val="22"/>
              </w:rPr>
            </w:pPr>
          </w:p>
        </w:tc>
        <w:tc>
          <w:tcPr>
            <w:tcW w:w="2338" w:type="dxa"/>
            <w:shd w:val="clear" w:color="auto" w:fill="FFFFFF"/>
            <w:vAlign w:val="center"/>
          </w:tcPr>
          <w:p>
            <w:pPr>
              <w:jc w:val="center"/>
              <w:rPr>
                <w:rFonts w:hint="eastAsia" w:ascii="仿宋" w:hAnsi="仿宋" w:eastAsia="仿宋" w:cs="仿宋"/>
                <w:sz w:val="22"/>
                <w:szCs w:val="22"/>
              </w:rPr>
            </w:pPr>
          </w:p>
        </w:tc>
        <w:tc>
          <w:tcPr>
            <w:tcW w:w="2327" w:type="dxa"/>
            <w:shd w:val="clear" w:color="auto" w:fill="FFFFFF"/>
            <w:vAlign w:val="center"/>
          </w:tcPr>
          <w:p>
            <w:pPr>
              <w:jc w:val="center"/>
              <w:rPr>
                <w:rFonts w:hint="eastAsia" w:ascii="仿宋" w:hAnsi="仿宋" w:eastAsia="仿宋" w:cs="仿宋"/>
                <w:sz w:val="22"/>
                <w:szCs w:val="22"/>
              </w:rPr>
            </w:pPr>
          </w:p>
        </w:tc>
      </w:tr>
      <w:tr>
        <w:trPr>
          <w:trHeight w:val="499" w:hRule="atLeast"/>
          <w:jc w:val="center"/>
        </w:trPr>
        <w:tc>
          <w:tcPr>
            <w:tcW w:w="248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合计（折本币）</w:t>
            </w:r>
          </w:p>
        </w:tc>
        <w:tc>
          <w:tcPr>
            <w:tcW w:w="2134"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0.59</w:t>
            </w:r>
          </w:p>
        </w:tc>
        <w:tc>
          <w:tcPr>
            <w:tcW w:w="2338"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0.62</w:t>
            </w:r>
          </w:p>
        </w:tc>
        <w:tc>
          <w:tcPr>
            <w:tcW w:w="2327" w:type="dxa"/>
            <w:shd w:val="clear" w:color="auto" w:fill="FFFFFF"/>
            <w:vAlign w:val="center"/>
          </w:tcPr>
          <w:p>
            <w:pPr>
              <w:jc w:val="center"/>
              <w:rPr>
                <w:rFonts w:hint="eastAsia" w:ascii="仿宋" w:hAnsi="仿宋" w:eastAsia="仿宋" w:cs="仿宋"/>
                <w:sz w:val="22"/>
                <w:szCs w:val="22"/>
              </w:rPr>
            </w:pPr>
            <w:r>
              <w:rPr>
                <w:rFonts w:hint="eastAsia" w:ascii="仿宋" w:hAnsi="仿宋" w:eastAsia="仿宋" w:cs="仿宋"/>
                <w:sz w:val="22"/>
                <w:szCs w:val="22"/>
              </w:rPr>
              <w:t>-0.03</w:t>
            </w: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default" w:ascii="仿宋" w:hAnsi="仿宋" w:eastAsia="仿宋" w:cs="仿宋"/>
          <w:i w:val="false"/>
          <w:strike w:val="false"/>
          <w:color w:val="0000FF"/>
          <w:kern w:val="2"/>
          <w:sz w:val="24"/>
          <w:szCs w:val="22"/>
          <w:lang w:val="en-US" w:eastAsia="zh-CN" w:bidi="ar-SA"/>
        </w:rPr>
      </w:pPr>
      <w:r>
        <w:rPr>
          <w:rFonts w:hint="eastAsia" w:ascii="仿宋" w:hAnsi="仿宋" w:eastAsia="仿宋" w:cs="仿宋"/>
          <w:i w:val="false"/>
          <w:strike w:val="false"/>
          <w:color w:val="0000FF"/>
          <w:kern w:val="2"/>
          <w:sz w:val="24"/>
          <w:szCs w:val="22"/>
          <w:lang w:val="en-US" w:eastAsia="zh-CN" w:bidi="ar-SA"/>
        </w:rPr>
        <w:t>分析货币资金的增减变动情况及原因、银行存款在各家银行分布、保证金构成等。</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default"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②前五大客户的应收应付及预付预收明细</w:t>
      </w:r>
    </w:p>
    <w:tbl>
      <w:tblPr>
        <w:tblStyle w:val="0000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485"/>
        <w:gridCol w:w="997"/>
        <w:gridCol w:w="997"/>
        <w:gridCol w:w="997"/>
        <w:gridCol w:w="997"/>
        <w:gridCol w:w="997"/>
        <w:gridCol w:w="1000"/>
      </w:tblGrid>
      <w:tr>
        <w:trPr>
          <w:trHeight w:val="340" w:hRule="atLeast"/>
          <w:tblHeader/>
        </w:trPr>
        <w:tc>
          <w:tcPr>
            <w:tcW w:w="2728" w:type="dxa"/>
            <w:gridSpan w:val="2"/>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科目</w:t>
            </w:r>
          </w:p>
        </w:tc>
        <w:tc>
          <w:tcPr>
            <w:tcW w:w="997" w:type="dxa"/>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客户1</w:t>
            </w:r>
          </w:p>
        </w:tc>
        <w:tc>
          <w:tcPr>
            <w:tcW w:w="997" w:type="dxa"/>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客户2</w:t>
            </w:r>
          </w:p>
        </w:tc>
        <w:tc>
          <w:tcPr>
            <w:tcW w:w="997" w:type="dxa"/>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客户3</w:t>
            </w:r>
          </w:p>
        </w:tc>
        <w:tc>
          <w:tcPr>
            <w:tcW w:w="997" w:type="dxa"/>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客户4</w:t>
            </w:r>
          </w:p>
        </w:tc>
        <w:tc>
          <w:tcPr>
            <w:tcW w:w="997" w:type="dxa"/>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客户5</w:t>
            </w:r>
          </w:p>
        </w:tc>
        <w:tc>
          <w:tcPr>
            <w:tcW w:w="1000" w:type="dxa"/>
            <w:tcBorders>
              <w:tl2br w:val="nil"/>
              <w:tr2bl w:val="nil"/>
            </w:tcBorders>
            <w:shd w:val="clear" w:color="auto" w:fill="auto"/>
            <w:vAlign w:val="center"/>
          </w:tcPr>
          <w:p>
            <w:pPr>
              <w:widowControl/>
              <w:jc w:val="center"/>
              <w:rPr>
                <w:rFonts w:ascii="仿宋" w:hAnsi="仿宋" w:eastAsia="仿宋" w:cs="宋体"/>
                <w:b/>
                <w:bCs/>
                <w:color w:val="000000"/>
                <w:kern w:val="0"/>
                <w:sz w:val="22"/>
              </w:rPr>
            </w:pPr>
            <w:r>
              <w:rPr>
                <w:rFonts w:hint="eastAsia" w:ascii="仿宋" w:hAnsi="仿宋" w:eastAsia="仿宋" w:cs="宋体"/>
                <w:b/>
                <w:bCs/>
                <w:color w:val="000000"/>
                <w:kern w:val="0"/>
                <w:sz w:val="22"/>
              </w:rPr>
              <w:t>其他客户合计</w:t>
            </w:r>
          </w:p>
        </w:tc>
      </w:tr>
      <w:tr>
        <w:trPr>
          <w:trHeight w:val="340" w:hRule="atLeast"/>
        </w:trPr>
        <w:tc>
          <w:tcPr>
            <w:tcW w:w="1243" w:type="dxa"/>
            <w:vMerge w:val="restart"/>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应收账款</w:t>
            </w: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restart"/>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预收账款</w:t>
            </w: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restart"/>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预付账款</w:t>
            </w: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restart"/>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应付账款</w:t>
            </w: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restart"/>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其他应收账款</w:t>
            </w: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鑫汇洋</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关联公司</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960</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100%</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具体用途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往来款</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restart"/>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其他应付账款</w:t>
            </w: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企业名称</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鑫汇洋</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与客户关系</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关联公司</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18</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占比（%）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100%</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r>
        <w:trPr>
          <w:trHeight w:val="340" w:hRule="atLeast"/>
        </w:trPr>
        <w:tc>
          <w:tcPr>
            <w:tcW w:w="1243" w:type="dxa"/>
            <w:vMerge w:val="continue"/>
            <w:tcBorders>
              <w:tl2br w:val="nil"/>
              <w:tr2bl w:val="nil"/>
            </w:tcBorders>
            <w:vAlign w:val="center"/>
          </w:tcPr>
          <w:p>
            <w:pPr>
              <w:widowControl/>
              <w:jc w:val="center"/>
              <w:rPr>
                <w:rFonts w:ascii="仿宋" w:hAnsi="仿宋" w:eastAsia="仿宋" w:cs="宋体"/>
                <w:color w:val="000000"/>
                <w:kern w:val="0"/>
                <w:sz w:val="22"/>
              </w:rPr>
            </w:pPr>
          </w:p>
        </w:tc>
        <w:tc>
          <w:tcPr>
            <w:tcW w:w="1485"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具体用途</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往来款</w:t>
            </w: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997"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c>
          <w:tcPr>
            <w:tcW w:w="1000" w:type="dxa"/>
            <w:tcBorders>
              <w:tl2br w:val="nil"/>
              <w:tr2bl w:val="nil"/>
            </w:tcBorders>
            <w:shd w:val="clear" w:color="auto" w:fill="auto"/>
            <w:vAlign w:val="center"/>
          </w:tcPr>
          <w:p>
            <w:pPr>
              <w:widowControl/>
              <w:jc w:val="center"/>
              <w:rPr>
                <w:rFonts w:ascii="仿宋" w:hAnsi="仿宋" w:eastAsia="仿宋" w:cs="宋体"/>
                <w:color w:val="000000"/>
                <w:kern w:val="0"/>
                <w:sz w:val="22"/>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A.</w:t>
      </w:r>
      <w:r>
        <w:rPr>
          <w:rFonts w:hint="eastAsia" w:ascii="仿宋" w:hAnsi="仿宋" w:eastAsia="仿宋" w:cs="仿宋"/>
          <w:i w:val="false"/>
          <w:strike w:val="false"/>
          <w:color w:val="000000"/>
          <w:kern w:val="2"/>
          <w:sz w:val="24"/>
          <w:szCs w:val="22"/>
          <w:lang w:val="en-US" w:eastAsia="zh-CN" w:bidi="ar-SA"/>
        </w:rPr>
        <w:t>与上期比较增减变动情况及原因，是否符合企业的生产经营模式（大额交易需补充说明业务背景情况）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B.</w:t>
      </w:r>
      <w:r>
        <w:rPr>
          <w:rFonts w:hint="eastAsia" w:ascii="仿宋" w:hAnsi="仿宋" w:eastAsia="仿宋" w:cs="仿宋"/>
          <w:i w:val="false"/>
          <w:strike w:val="false"/>
          <w:color w:val="000000"/>
          <w:kern w:val="2"/>
          <w:sz w:val="24"/>
          <w:szCs w:val="22"/>
          <w:lang w:val="en-US" w:eastAsia="zh-CN" w:bidi="ar-SA"/>
        </w:rPr>
        <w:t>应收账款占收入比例合理性分析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C.</w:t>
      </w:r>
      <w:r>
        <w:rPr>
          <w:rFonts w:hint="eastAsia" w:ascii="仿宋" w:hAnsi="仿宋" w:eastAsia="仿宋" w:cs="仿宋"/>
          <w:i w:val="false"/>
          <w:strike w:val="false"/>
          <w:color w:val="000000"/>
          <w:kern w:val="2"/>
          <w:sz w:val="24"/>
          <w:szCs w:val="22"/>
          <w:lang w:val="en-US" w:eastAsia="zh-CN" w:bidi="ar-SA"/>
        </w:rPr>
        <w:t>其他应收、其他应付，用途合理性分析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③应收、其他应收账款明细</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1215"/>
        <w:gridCol w:w="1567"/>
        <w:gridCol w:w="1202"/>
        <w:gridCol w:w="1352"/>
        <w:gridCol w:w="1517"/>
      </w:tblGrid>
      <w:tr>
        <w:trPr>
          <w:cantSplit/>
          <w:jc w:val="center"/>
        </w:trPr>
        <w:tc>
          <w:tcPr>
            <w:tcW w:w="9286" w:type="dxa"/>
            <w:gridSpan w:val="6"/>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应收账款明细表</w:t>
            </w: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账龄</w:t>
            </w:r>
          </w:p>
        </w:tc>
        <w:tc>
          <w:tcPr>
            <w:tcW w:w="1215"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笔数</w:t>
            </w:r>
          </w:p>
        </w:tc>
        <w:tc>
          <w:tcPr>
            <w:tcW w:w="1567"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金额</w:t>
            </w:r>
          </w:p>
        </w:tc>
        <w:tc>
          <w:tcPr>
            <w:tcW w:w="1202"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比例（%）</w:t>
            </w:r>
          </w:p>
        </w:tc>
        <w:tc>
          <w:tcPr>
            <w:tcW w:w="1352"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计提坏账准备金</w:t>
            </w:r>
          </w:p>
        </w:tc>
        <w:tc>
          <w:tcPr>
            <w:tcW w:w="1517" w:type="dxa"/>
            <w:tcBorders>
              <w:bottom w:val="single" w:color="auto" w:sz="4" w:space="0"/>
            </w:tcBorders>
            <w:vAlign w:val="center"/>
          </w:tcPr>
          <w:p>
            <w:pPr>
              <w:jc w:val="center"/>
              <w:rPr>
                <w:rFonts w:hint="eastAsia" w:ascii="仿宋" w:hAnsi="仿宋" w:eastAsia="仿宋" w:cs="仿宋"/>
                <w:sz w:val="22"/>
                <w:szCs w:val="22"/>
              </w:rPr>
            </w:pPr>
            <w:r>
              <w:rPr>
                <w:rFonts w:hint="eastAsia" w:ascii="仿宋" w:hAnsi="仿宋" w:eastAsia="仿宋" w:cs="仿宋"/>
                <w:sz w:val="22"/>
                <w:szCs w:val="22"/>
              </w:rPr>
              <w:t>备注</w:t>
            </w: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1年内</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1-2年</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trHeight w:val="175" w:hRule="atLeas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2-3年</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trHeight w:val="175" w:hRule="atLeas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3年以上</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合计</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jc w:val="center"/>
        </w:trPr>
        <w:tc>
          <w:tcPr>
            <w:tcW w:w="9286" w:type="dxa"/>
            <w:gridSpan w:val="6"/>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其应收款明细表</w:t>
            </w: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账龄</w:t>
            </w:r>
          </w:p>
        </w:tc>
        <w:tc>
          <w:tcPr>
            <w:tcW w:w="1215"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笔数</w:t>
            </w:r>
          </w:p>
        </w:tc>
        <w:tc>
          <w:tcPr>
            <w:tcW w:w="1567"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金额</w:t>
            </w:r>
          </w:p>
        </w:tc>
        <w:tc>
          <w:tcPr>
            <w:tcW w:w="1202"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比例（%）</w:t>
            </w:r>
          </w:p>
        </w:tc>
        <w:tc>
          <w:tcPr>
            <w:tcW w:w="1352" w:type="dxa"/>
            <w:tcBorders>
              <w:bottom w:val="single" w:color="auto" w:sz="4" w:space="0"/>
            </w:tcBorders>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计提坏账准备金</w:t>
            </w:r>
          </w:p>
        </w:tc>
        <w:tc>
          <w:tcPr>
            <w:tcW w:w="1517" w:type="dxa"/>
            <w:tcBorders>
              <w:bottom w:val="single" w:color="auto" w:sz="4" w:space="0"/>
            </w:tcBorders>
            <w:vAlign w:val="center"/>
          </w:tcPr>
          <w:p>
            <w:pPr>
              <w:jc w:val="center"/>
              <w:rPr>
                <w:rFonts w:hint="eastAsia" w:ascii="仿宋" w:hAnsi="仿宋" w:eastAsia="仿宋" w:cs="仿宋"/>
                <w:sz w:val="22"/>
                <w:szCs w:val="22"/>
              </w:rPr>
            </w:pPr>
            <w:r>
              <w:rPr>
                <w:rFonts w:hint="eastAsia" w:ascii="仿宋" w:hAnsi="仿宋" w:eastAsia="仿宋" w:cs="仿宋"/>
                <w:sz w:val="22"/>
                <w:szCs w:val="22"/>
              </w:rPr>
              <w:t>备注</w:t>
            </w: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1年内</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1-2年内</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trHeight w:val="141" w:hRule="atLeas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2-3年内</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trHeight w:val="141" w:hRule="atLeas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3年以上</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r>
        <w:trPr>
          <w:cantSplit/>
          <w:jc w:val="center"/>
        </w:trPr>
        <w:tc>
          <w:tcPr>
            <w:tcW w:w="2433" w:type="dxa"/>
            <w:tcMar>
              <w:top w:w="0" w:type="dxa"/>
              <w:left w:w="108" w:type="dxa"/>
              <w:bottom w:w="0" w:type="dxa"/>
              <w:right w:w="108" w:type="dxa"/>
            </w:tcMar>
            <w:vAlign w:val="center"/>
          </w:tcPr>
          <w:p>
            <w:pPr>
              <w:jc w:val="center"/>
              <w:rPr>
                <w:rFonts w:hint="eastAsia" w:ascii="仿宋" w:hAnsi="仿宋" w:eastAsia="仿宋" w:cs="仿宋"/>
                <w:sz w:val="22"/>
                <w:szCs w:val="22"/>
              </w:rPr>
            </w:pPr>
            <w:r>
              <w:rPr>
                <w:rFonts w:hint="eastAsia" w:ascii="仿宋" w:hAnsi="仿宋" w:eastAsia="仿宋" w:cs="仿宋"/>
                <w:sz w:val="22"/>
                <w:szCs w:val="22"/>
              </w:rPr>
              <w:t>合计</w:t>
            </w:r>
          </w:p>
        </w:tc>
        <w:tc>
          <w:tcPr>
            <w:tcW w:w="1215"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67"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20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352" w:type="dxa"/>
            <w:shd w:val="clear" w:color="auto" w:fill="auto"/>
            <w:tcMar>
              <w:top w:w="0" w:type="dxa"/>
              <w:left w:w="108" w:type="dxa"/>
              <w:bottom w:w="0" w:type="dxa"/>
              <w:right w:w="108" w:type="dxa"/>
            </w:tcMar>
            <w:vAlign w:val="center"/>
          </w:tcPr>
          <w:p>
            <w:pPr>
              <w:jc w:val="center"/>
              <w:rPr>
                <w:rFonts w:hint="eastAsia" w:ascii="仿宋" w:hAnsi="仿宋" w:eastAsia="仿宋" w:cs="仿宋"/>
                <w:sz w:val="22"/>
                <w:szCs w:val="22"/>
              </w:rPr>
            </w:pPr>
          </w:p>
        </w:tc>
        <w:tc>
          <w:tcPr>
            <w:tcW w:w="1517" w:type="dxa"/>
            <w:shd w:val="clear" w:color="auto" w:fill="auto"/>
            <w:vAlign w:val="center"/>
          </w:tcPr>
          <w:p>
            <w:pPr>
              <w:jc w:val="center"/>
              <w:rPr>
                <w:rFonts w:hint="eastAsia" w:ascii="仿宋" w:hAnsi="仿宋" w:eastAsia="仿宋" w:cs="仿宋"/>
                <w:sz w:val="22"/>
                <w:szCs w:val="22"/>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与上期比较增减及分布主要变化、有问题的应收产生的原因、清收措施及效果、坏账准备提取合理性、坏账回收的可能性分析等情况。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④应付、其他应付账款账龄明细</w:t>
      </w:r>
    </w:p>
    <w:tbl>
      <w:tblPr>
        <w:tblStyle w:val="0000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7"/>
        <w:gridCol w:w="1858"/>
      </w:tblGrid>
      <w:tr>
        <w:trPr/>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半年内 </w:t>
            </w:r>
          </w:p>
        </w:tc>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半年-1年 </w:t>
            </w:r>
          </w:p>
        </w:tc>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1-3年 </w:t>
            </w:r>
          </w:p>
        </w:tc>
        <w:tc>
          <w:tcPr>
            <w:tcW w:w="1858"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3年以上 </w:t>
            </w:r>
          </w:p>
        </w:tc>
      </w:tr>
      <w:tr>
        <w:trPr/>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应付账款 </w:t>
            </w: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8" w:type="dxa"/>
            <w:shd w:val="clear" w:color="auto" w:fill="auto"/>
          </w:tcPr>
          <w:p>
            <w:pPr>
              <w:widowControl/>
              <w:jc w:val="center"/>
              <w:rPr>
                <w:rFonts w:ascii="仿宋" w:hAnsi="仿宋" w:eastAsia="仿宋" w:cs="宋体"/>
                <w:color w:val="000000"/>
                <w:kern w:val="0"/>
                <w:sz w:val="22"/>
                <w:szCs w:val="21"/>
              </w:rPr>
            </w:pPr>
          </w:p>
        </w:tc>
      </w:tr>
      <w:tr>
        <w:trPr/>
        <w:tc>
          <w:tcPr>
            <w:tcW w:w="1857" w:type="dxa"/>
            <w:shd w:val="clear" w:color="auto" w:fill="auto"/>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其他应付账款 </w:t>
            </w: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7" w:type="dxa"/>
            <w:shd w:val="clear" w:color="auto" w:fill="auto"/>
          </w:tcPr>
          <w:p>
            <w:pPr>
              <w:widowControl/>
              <w:jc w:val="center"/>
              <w:rPr>
                <w:rFonts w:ascii="仿宋" w:hAnsi="仿宋" w:eastAsia="仿宋" w:cs="宋体"/>
                <w:color w:val="000000"/>
                <w:kern w:val="0"/>
                <w:sz w:val="22"/>
                <w:szCs w:val="21"/>
              </w:rPr>
            </w:pPr>
          </w:p>
        </w:tc>
        <w:tc>
          <w:tcPr>
            <w:tcW w:w="1858" w:type="dxa"/>
            <w:shd w:val="clear" w:color="auto" w:fill="auto"/>
          </w:tcPr>
          <w:p>
            <w:pPr>
              <w:widowControl/>
              <w:jc w:val="center"/>
              <w:rPr>
                <w:rFonts w:ascii="仿宋" w:hAnsi="仿宋" w:eastAsia="仿宋" w:cs="宋体"/>
                <w:color w:val="000000"/>
                <w:kern w:val="0"/>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A.</w:t>
      </w:r>
      <w:r>
        <w:rPr>
          <w:rFonts w:hint="eastAsia" w:ascii="仿宋" w:hAnsi="仿宋" w:eastAsia="仿宋" w:cs="仿宋"/>
          <w:i w:val="false"/>
          <w:strike w:val="false"/>
          <w:color w:val="000000"/>
          <w:kern w:val="2"/>
          <w:sz w:val="24"/>
          <w:szCs w:val="22"/>
          <w:lang w:val="en-US" w:eastAsia="zh-CN" w:bidi="ar-SA"/>
        </w:rPr>
        <w:t>与上期比较合计数及分布主要变化、影响分析（账龄异常需补充说明业务背景情况）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B.</w:t>
      </w:r>
      <w:r>
        <w:rPr>
          <w:rFonts w:hint="eastAsia" w:ascii="仿宋" w:hAnsi="仿宋" w:eastAsia="仿宋" w:cs="仿宋"/>
          <w:i w:val="false"/>
          <w:strike w:val="false"/>
          <w:color w:val="000000"/>
          <w:kern w:val="2"/>
          <w:sz w:val="24"/>
          <w:szCs w:val="22"/>
          <w:lang w:val="en-US" w:eastAsia="zh-CN" w:bidi="ar-SA"/>
        </w:rPr>
        <w:t>一年以上账龄大额资金稳定性分析，大额资金流出的流动性风险</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⑤存货分析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2177"/>
        <w:gridCol w:w="1807"/>
        <w:gridCol w:w="1352"/>
        <w:gridCol w:w="1517"/>
      </w:tblGrid>
      <w:tr>
        <w:trPr>
          <w:cantSplit/>
          <w:jc w:val="center"/>
        </w:trPr>
        <w:tc>
          <w:tcPr>
            <w:tcW w:w="9286" w:type="dxa"/>
            <w:gridSpan w:val="5"/>
            <w:tcMar>
              <w:top w:w="0" w:type="dxa"/>
              <w:left w:w="108" w:type="dxa"/>
              <w:bottom w:w="0" w:type="dxa"/>
              <w:right w:w="108" w:type="dxa"/>
            </w:tcMa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存货明细表</w:t>
            </w:r>
          </w:p>
        </w:tc>
      </w:tr>
      <w:tr>
        <w:trPr>
          <w:cantSplit/>
          <w:trHeight w:val="321" w:hRule="atLeast"/>
          <w:jc w:val="center"/>
        </w:trPr>
        <w:tc>
          <w:tcPr>
            <w:tcW w:w="2433" w:type="dxa"/>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项目</w:t>
            </w:r>
          </w:p>
        </w:tc>
        <w:tc>
          <w:tcPr>
            <w:tcW w:w="2177" w:type="dxa"/>
            <w:tcBorders>
              <w:bottom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807"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计提跌价准备金</w:t>
            </w:r>
          </w:p>
        </w:tc>
        <w:tc>
          <w:tcPr>
            <w:tcW w:w="1517" w:type="dxa"/>
            <w:tcBorders>
              <w:bottom w:val="single" w:color="auto" w:sz="4" w:space="0"/>
            </w:tcBorders>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trPr>
          <w:cantSpli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原材料</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在产品</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41" w:hRule="atLeas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产成品</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pPr>
              <w:widowControl/>
              <w:jc w:val="center"/>
              <w:rPr>
                <w:rFonts w:ascii="仿宋" w:hAnsi="仿宋" w:eastAsia="仿宋" w:cs="宋体"/>
                <w:color w:val="000000"/>
                <w:kern w:val="0"/>
                <w:sz w:val="22"/>
              </w:rPr>
            </w:pPr>
            <w:r>
              <w:rPr>
                <w:rFonts w:eastAsia="仿宋" w:cs="Calibri"/>
                <w:color w:val="000000"/>
                <w:kern w:val="0"/>
                <w:sz w:val="22"/>
              </w:rPr>
              <w:t> </w:t>
            </w:r>
          </w:p>
        </w:tc>
      </w:tr>
      <w:tr>
        <w:trPr>
          <w:cantSplit/>
          <w:trHeight w:val="141" w:hRule="atLeas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p>
        </w:tc>
      </w:tr>
      <w:tr>
        <w:trPr>
          <w:cantSplit/>
          <w:trHeight w:val="141" w:hRule="atLeast"/>
          <w:jc w:val="center"/>
        </w:trPr>
        <w:tc>
          <w:tcPr>
            <w:tcW w:w="2433" w:type="dxa"/>
            <w:vAlign w:val="bottom"/>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2177" w:type="dxa"/>
            <w:shd w:val="clear" w:color="auto" w:fill="auto"/>
          </w:tcPr>
          <w:p>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pPr>
              <w:widowControl/>
              <w:jc w:val="center"/>
              <w:rPr>
                <w:rFonts w:ascii="仿宋" w:hAnsi="仿宋" w:eastAsia="仿宋" w:cs="宋体"/>
                <w:color w:val="000000"/>
                <w:kern w:val="0"/>
                <w:sz w:val="22"/>
              </w:rPr>
            </w:pPr>
          </w:p>
        </w:tc>
        <w:tc>
          <w:tcPr>
            <w:tcW w:w="1517" w:type="dxa"/>
            <w:shd w:val="clear" w:color="auto" w:fill="auto"/>
          </w:tcPr>
          <w:p>
            <w:pPr>
              <w:widowControl/>
              <w:jc w:val="center"/>
              <w:rPr>
                <w:rFonts w:ascii="仿宋" w:hAnsi="仿宋" w:eastAsia="仿宋" w:cs="宋体"/>
                <w:color w:val="000000"/>
                <w:kern w:val="0"/>
                <w:sz w:val="22"/>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A.</w:t>
      </w:r>
      <w:r>
        <w:rPr>
          <w:rFonts w:hint="eastAsia" w:ascii="仿宋" w:hAnsi="仿宋" w:eastAsia="仿宋" w:cs="仿宋"/>
          <w:i w:val="false"/>
          <w:strike w:val="false"/>
          <w:color w:val="000000"/>
          <w:kern w:val="2"/>
          <w:sz w:val="24"/>
          <w:szCs w:val="22"/>
          <w:lang w:val="en-US" w:eastAsia="zh-CN" w:bidi="ar-SA"/>
        </w:rPr>
        <w:t>较上期增减变动、分布变化、原因分析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B.</w:t>
      </w:r>
      <w:r>
        <w:rPr>
          <w:rFonts w:hint="eastAsia" w:ascii="仿宋" w:hAnsi="仿宋" w:eastAsia="仿宋" w:cs="仿宋"/>
          <w:i w:val="false"/>
          <w:strike w:val="false"/>
          <w:color w:val="000000"/>
          <w:kern w:val="2"/>
          <w:sz w:val="24"/>
          <w:szCs w:val="22"/>
          <w:lang w:val="en-US" w:eastAsia="zh-CN" w:bidi="ar-SA"/>
        </w:rPr>
        <w:t>存货分布结构与企业所处行业生产流程的匹配性分析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C.</w:t>
      </w:r>
      <w:r>
        <w:rPr>
          <w:rFonts w:hint="eastAsia" w:ascii="仿宋" w:hAnsi="仿宋" w:eastAsia="仿宋" w:cs="仿宋"/>
          <w:i w:val="false"/>
          <w:strike w:val="false"/>
          <w:color w:val="000000"/>
          <w:kern w:val="2"/>
          <w:sz w:val="24"/>
          <w:szCs w:val="22"/>
          <w:lang w:val="en-US" w:eastAsia="zh-CN" w:bidi="ar-SA"/>
        </w:rPr>
        <w:t>计提跌价准备金比例的合理性分析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⑥固定资产分析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774"/>
        <w:gridCol w:w="1330"/>
        <w:gridCol w:w="1382"/>
        <w:gridCol w:w="1562"/>
        <w:gridCol w:w="1499"/>
      </w:tblGrid>
      <w:tr>
        <w:trPr>
          <w:trHeight w:val="330" w:hRule="atLeast"/>
          <w:jc w:val="center"/>
        </w:trPr>
        <w:tc>
          <w:tcPr>
            <w:tcW w:w="1739" w:type="dxa"/>
            <w:vAlign w:val="center"/>
          </w:tcPr>
          <w:p>
            <w:pPr>
              <w:pStyle w:val="00002e"/>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固定资产名称</w:t>
            </w:r>
          </w:p>
        </w:tc>
        <w:tc>
          <w:tcPr>
            <w:tcW w:w="1774" w:type="dxa"/>
            <w:vAlign w:val="center"/>
          </w:tcPr>
          <w:p>
            <w:pPr>
              <w:pStyle w:val="00002e"/>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固定资产类型</w:t>
            </w:r>
          </w:p>
        </w:tc>
        <w:tc>
          <w:tcPr>
            <w:tcW w:w="1330" w:type="dxa"/>
            <w:vAlign w:val="center"/>
          </w:tcPr>
          <w:p>
            <w:pPr>
              <w:pStyle w:val="00002e"/>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入账价值</w:t>
            </w:r>
          </w:p>
        </w:tc>
        <w:tc>
          <w:tcPr>
            <w:tcW w:w="1382" w:type="dxa"/>
            <w:vAlign w:val="center"/>
          </w:tcPr>
          <w:p>
            <w:pPr>
              <w:pStyle w:val="00002e"/>
              <w:spacing w:line="440" w:lineRule="exact"/>
              <w:ind w:firstLine="316" w:firstLineChars="144"/>
              <w:rPr>
                <w:rFonts w:ascii="仿宋" w:hAnsi="仿宋" w:eastAsia="仿宋" w:cs="Arial"/>
                <w:sz w:val="22"/>
                <w:szCs w:val="21"/>
              </w:rPr>
            </w:pPr>
            <w:r>
              <w:rPr>
                <w:rFonts w:hint="eastAsia" w:ascii="仿宋" w:hAnsi="仿宋" w:eastAsia="仿宋" w:cs="Arial"/>
                <w:sz w:val="22"/>
                <w:szCs w:val="21"/>
              </w:rPr>
              <w:t>占比</w:t>
            </w:r>
          </w:p>
        </w:tc>
        <w:tc>
          <w:tcPr>
            <w:tcW w:w="1562" w:type="dxa"/>
            <w:vAlign w:val="center"/>
          </w:tcPr>
          <w:p>
            <w:pPr>
              <w:pStyle w:val="00002e"/>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资产净值</w:t>
            </w:r>
          </w:p>
        </w:tc>
        <w:tc>
          <w:tcPr>
            <w:tcW w:w="1499" w:type="dxa"/>
            <w:vAlign w:val="center"/>
          </w:tcPr>
          <w:p>
            <w:pPr>
              <w:pStyle w:val="00002e"/>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折旧方法</w:t>
            </w:r>
          </w:p>
        </w:tc>
      </w:tr>
      <w:tr>
        <w:trPr>
          <w:trHeight w:val="330" w:hRule="atLeast"/>
          <w:jc w:val="center"/>
        </w:trPr>
        <w:tc>
          <w:tcPr>
            <w:tcW w:w="1739" w:type="dxa"/>
            <w:vAlign w:val="center"/>
          </w:tcPr>
          <w:p>
            <w:pPr>
              <w:pStyle w:val="00002e"/>
              <w:spacing w:line="440" w:lineRule="exact"/>
              <w:ind w:firstLine="0" w:firstLineChars="0"/>
              <w:rPr>
                <w:rFonts w:ascii="仿宋" w:hAnsi="仿宋" w:eastAsia="仿宋" w:cs="Arial"/>
                <w:sz w:val="22"/>
                <w:szCs w:val="21"/>
              </w:rPr>
            </w:pPr>
          </w:p>
        </w:tc>
        <w:tc>
          <w:tcPr>
            <w:tcW w:w="1774" w:type="dxa"/>
            <w:vAlign w:val="center"/>
          </w:tcPr>
          <w:p>
            <w:pPr>
              <w:pStyle w:val="00002e"/>
              <w:spacing w:line="440" w:lineRule="exact"/>
              <w:ind w:firstLine="0" w:firstLineChars="0"/>
              <w:rPr>
                <w:rFonts w:ascii="仿宋" w:hAnsi="仿宋" w:eastAsia="仿宋" w:cs="Arial"/>
                <w:sz w:val="22"/>
                <w:szCs w:val="21"/>
              </w:rPr>
            </w:pPr>
          </w:p>
        </w:tc>
        <w:tc>
          <w:tcPr>
            <w:tcW w:w="1330" w:type="dxa"/>
            <w:vAlign w:val="center"/>
          </w:tcPr>
          <w:p>
            <w:pPr>
              <w:pStyle w:val="00002e"/>
              <w:spacing w:line="440" w:lineRule="exact"/>
              <w:ind w:firstLine="0" w:firstLineChars="0"/>
              <w:rPr>
                <w:rFonts w:ascii="仿宋" w:hAnsi="仿宋" w:eastAsia="仿宋" w:cs="Arial"/>
                <w:sz w:val="22"/>
                <w:szCs w:val="21"/>
              </w:rPr>
            </w:pPr>
          </w:p>
        </w:tc>
        <w:tc>
          <w:tcPr>
            <w:tcW w:w="1382" w:type="dxa"/>
            <w:vAlign w:val="center"/>
          </w:tcPr>
          <w:p>
            <w:pPr>
              <w:pStyle w:val="00002e"/>
              <w:spacing w:line="440" w:lineRule="exact"/>
              <w:ind w:firstLine="0" w:firstLineChars="0"/>
              <w:rPr>
                <w:rFonts w:ascii="仿宋" w:hAnsi="仿宋" w:eastAsia="仿宋" w:cs="Arial"/>
                <w:sz w:val="22"/>
                <w:szCs w:val="21"/>
              </w:rPr>
            </w:pPr>
          </w:p>
        </w:tc>
        <w:tc>
          <w:tcPr>
            <w:tcW w:w="1562" w:type="dxa"/>
            <w:vAlign w:val="center"/>
          </w:tcPr>
          <w:p>
            <w:pPr>
              <w:pStyle w:val="00002e"/>
              <w:spacing w:line="440" w:lineRule="exact"/>
              <w:ind w:firstLine="0" w:firstLineChars="0"/>
              <w:rPr>
                <w:rFonts w:ascii="仿宋" w:hAnsi="仿宋" w:eastAsia="仿宋" w:cs="Arial"/>
                <w:sz w:val="22"/>
                <w:szCs w:val="21"/>
              </w:rPr>
            </w:pPr>
          </w:p>
        </w:tc>
        <w:tc>
          <w:tcPr>
            <w:tcW w:w="1499" w:type="dxa"/>
            <w:vAlign w:val="center"/>
          </w:tcPr>
          <w:p>
            <w:pPr>
              <w:pStyle w:val="00002e"/>
              <w:spacing w:line="440" w:lineRule="exact"/>
              <w:ind w:firstLine="0" w:firstLineChars="0"/>
              <w:rPr>
                <w:rFonts w:ascii="仿宋" w:hAnsi="仿宋" w:eastAsia="仿宋" w:cs="Arial"/>
                <w:sz w:val="22"/>
                <w:szCs w:val="21"/>
              </w:rPr>
            </w:pPr>
          </w:p>
        </w:tc>
      </w:tr>
      <w:tr>
        <w:trPr>
          <w:trHeight w:val="330" w:hRule="atLeast"/>
          <w:jc w:val="center"/>
        </w:trPr>
        <w:tc>
          <w:tcPr>
            <w:tcW w:w="1739" w:type="dxa"/>
            <w:vAlign w:val="center"/>
          </w:tcPr>
          <w:p>
            <w:pPr>
              <w:pStyle w:val="00002e"/>
              <w:spacing w:line="440" w:lineRule="exact"/>
              <w:ind w:right="360" w:firstLine="440"/>
              <w:rPr>
                <w:rFonts w:ascii="仿宋" w:hAnsi="仿宋" w:eastAsia="仿宋" w:cs="Arial"/>
                <w:sz w:val="22"/>
                <w:szCs w:val="21"/>
              </w:rPr>
            </w:pPr>
            <w:r>
              <w:rPr>
                <w:rFonts w:hint="eastAsia" w:ascii="仿宋" w:hAnsi="仿宋" w:eastAsia="仿宋" w:cs="Arial"/>
                <w:sz w:val="22"/>
                <w:szCs w:val="21"/>
              </w:rPr>
              <w:t>合计</w:t>
            </w:r>
          </w:p>
        </w:tc>
        <w:tc>
          <w:tcPr>
            <w:tcW w:w="1774" w:type="dxa"/>
            <w:vAlign w:val="center"/>
          </w:tcPr>
          <w:p>
            <w:pPr>
              <w:pStyle w:val="00002e"/>
              <w:spacing w:line="440" w:lineRule="exact"/>
              <w:ind w:right="360" w:firstLine="440"/>
              <w:rPr>
                <w:rFonts w:ascii="仿宋" w:hAnsi="仿宋" w:eastAsia="仿宋" w:cs="Arial"/>
                <w:sz w:val="22"/>
                <w:szCs w:val="21"/>
              </w:rPr>
            </w:pPr>
          </w:p>
        </w:tc>
        <w:tc>
          <w:tcPr>
            <w:tcW w:w="5773" w:type="dxa"/>
            <w:gridSpan w:val="4"/>
            <w:vAlign w:val="center"/>
          </w:tcPr>
          <w:p>
            <w:pPr>
              <w:pStyle w:val="00002e"/>
              <w:spacing w:line="440" w:lineRule="exact"/>
              <w:ind w:right="360" w:firstLine="440"/>
              <w:rPr>
                <w:rFonts w:ascii="仿宋" w:hAnsi="仿宋" w:eastAsia="仿宋" w:cs="Arial"/>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分析固定资产构成、增减情况、变动原因</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⑦无形资产分析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2177"/>
        <w:gridCol w:w="2340"/>
        <w:gridCol w:w="2284"/>
      </w:tblGrid>
      <w:tr>
        <w:trPr>
          <w:trHeight w:val="330" w:hRule="atLeast"/>
          <w:jc w:val="center"/>
        </w:trPr>
        <w:tc>
          <w:tcPr>
            <w:tcW w:w="2485" w:type="dxa"/>
            <w:vAlign w:val="center"/>
          </w:tcPr>
          <w:p>
            <w:pPr>
              <w:pStyle w:val="000030"/>
              <w:spacing w:line="440" w:lineRule="exact"/>
              <w:jc w:val="center"/>
              <w:rPr>
                <w:rFonts w:ascii="仿宋" w:hAnsi="仿宋" w:eastAsia="仿宋" w:cs="Arial"/>
                <w:sz w:val="22"/>
                <w:szCs w:val="21"/>
              </w:rPr>
            </w:pPr>
            <w:r>
              <w:rPr>
                <w:rFonts w:hint="eastAsia" w:ascii="仿宋" w:hAnsi="仿宋" w:eastAsia="仿宋" w:cs="Arial"/>
                <w:sz w:val="22"/>
                <w:szCs w:val="21"/>
              </w:rPr>
              <w:t>无形资产名称</w:t>
            </w:r>
          </w:p>
        </w:tc>
        <w:tc>
          <w:tcPr>
            <w:tcW w:w="2177" w:type="dxa"/>
            <w:vAlign w:val="center"/>
          </w:tcPr>
          <w:p>
            <w:pPr>
              <w:pStyle w:val="000030"/>
              <w:spacing w:line="440" w:lineRule="exact"/>
              <w:jc w:val="center"/>
              <w:rPr>
                <w:rFonts w:ascii="仿宋" w:hAnsi="仿宋" w:eastAsia="仿宋" w:cs="Arial"/>
                <w:sz w:val="22"/>
                <w:szCs w:val="21"/>
              </w:rPr>
            </w:pPr>
            <w:r>
              <w:rPr>
                <w:rFonts w:hint="eastAsia" w:ascii="仿宋" w:hAnsi="仿宋" w:eastAsia="仿宋" w:cs="Arial"/>
                <w:sz w:val="22"/>
                <w:szCs w:val="21"/>
              </w:rPr>
              <w:t>无形资产类型</w:t>
            </w:r>
          </w:p>
        </w:tc>
        <w:tc>
          <w:tcPr>
            <w:tcW w:w="2340" w:type="dxa"/>
            <w:vAlign w:val="center"/>
          </w:tcPr>
          <w:p>
            <w:pPr>
              <w:pStyle w:val="000030"/>
              <w:spacing w:line="440" w:lineRule="exact"/>
              <w:jc w:val="center"/>
              <w:rPr>
                <w:rFonts w:ascii="仿宋" w:hAnsi="仿宋" w:eastAsia="仿宋" w:cs="Arial"/>
                <w:sz w:val="22"/>
                <w:szCs w:val="21"/>
              </w:rPr>
            </w:pPr>
            <w:r>
              <w:rPr>
                <w:rFonts w:hint="eastAsia" w:ascii="仿宋" w:hAnsi="仿宋" w:eastAsia="仿宋" w:cs="Arial"/>
                <w:sz w:val="22"/>
                <w:szCs w:val="21"/>
              </w:rPr>
              <w:t>入账价值</w:t>
            </w:r>
          </w:p>
        </w:tc>
        <w:tc>
          <w:tcPr>
            <w:tcW w:w="2284" w:type="dxa"/>
            <w:vAlign w:val="center"/>
          </w:tcPr>
          <w:p>
            <w:pPr>
              <w:pStyle w:val="000030"/>
              <w:spacing w:line="440" w:lineRule="exact"/>
              <w:jc w:val="center"/>
              <w:rPr>
                <w:rFonts w:ascii="仿宋" w:hAnsi="仿宋" w:eastAsia="仿宋" w:cs="Arial"/>
                <w:sz w:val="22"/>
                <w:szCs w:val="21"/>
              </w:rPr>
            </w:pPr>
            <w:r>
              <w:rPr>
                <w:rFonts w:hint="eastAsia" w:ascii="仿宋" w:hAnsi="仿宋" w:eastAsia="仿宋" w:cs="Arial"/>
                <w:sz w:val="22"/>
                <w:szCs w:val="21"/>
              </w:rPr>
              <w:t>认证机构</w:t>
            </w:r>
          </w:p>
        </w:tc>
      </w:tr>
      <w:tr>
        <w:trPr>
          <w:trHeight w:val="330" w:hRule="atLeast"/>
          <w:jc w:val="center"/>
        </w:trPr>
        <w:tc>
          <w:tcPr>
            <w:tcW w:w="2485" w:type="dxa"/>
            <w:vAlign w:val="center"/>
          </w:tcPr>
          <w:p>
            <w:pPr>
              <w:pStyle w:val="000030"/>
              <w:spacing w:line="440" w:lineRule="exact"/>
              <w:jc w:val="center"/>
              <w:rPr>
                <w:rFonts w:ascii="仿宋" w:hAnsi="仿宋" w:eastAsia="仿宋" w:cs="Arial"/>
                <w:sz w:val="22"/>
                <w:szCs w:val="21"/>
              </w:rPr>
            </w:pPr>
          </w:p>
        </w:tc>
        <w:tc>
          <w:tcPr>
            <w:tcW w:w="2177" w:type="dxa"/>
            <w:vAlign w:val="center"/>
          </w:tcPr>
          <w:p>
            <w:pPr>
              <w:pStyle w:val="000030"/>
              <w:spacing w:line="440" w:lineRule="exact"/>
              <w:jc w:val="center"/>
              <w:rPr>
                <w:rFonts w:ascii="仿宋" w:hAnsi="仿宋" w:eastAsia="仿宋" w:cs="Arial"/>
                <w:sz w:val="22"/>
                <w:szCs w:val="21"/>
              </w:rPr>
            </w:pPr>
          </w:p>
        </w:tc>
        <w:tc>
          <w:tcPr>
            <w:tcW w:w="2340" w:type="dxa"/>
            <w:vAlign w:val="center"/>
          </w:tcPr>
          <w:p>
            <w:pPr>
              <w:pStyle w:val="000030"/>
              <w:spacing w:line="440" w:lineRule="exact"/>
              <w:jc w:val="center"/>
              <w:rPr>
                <w:rFonts w:ascii="仿宋" w:hAnsi="仿宋" w:eastAsia="仿宋" w:cs="Arial"/>
                <w:sz w:val="22"/>
                <w:szCs w:val="21"/>
              </w:rPr>
            </w:pPr>
          </w:p>
        </w:tc>
        <w:tc>
          <w:tcPr>
            <w:tcW w:w="2284" w:type="dxa"/>
            <w:vAlign w:val="center"/>
          </w:tcPr>
          <w:p>
            <w:pPr>
              <w:pStyle w:val="000030"/>
              <w:spacing w:line="440" w:lineRule="exact"/>
              <w:jc w:val="center"/>
              <w:rPr>
                <w:rFonts w:ascii="仿宋" w:hAnsi="仿宋" w:eastAsia="仿宋" w:cs="Arial"/>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分析无形资产构成、增减情况、变动原因</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⑧负债规模合理性分析</w:t>
      </w:r>
    </w:p>
    <w:tbl>
      <w:tblPr>
        <w:tblStyle w:val="000015"/>
        <w:tblW w:w="0" w:type="auto"/>
        <w:tblInd w:w="108" w:type="dxa"/>
        <w:tblLayout w:type="fixed"/>
        <w:tblCellMar>
          <w:top w:w="0" w:type="dxa"/>
          <w:left w:w="108" w:type="dxa"/>
          <w:bottom w:w="0" w:type="dxa"/>
          <w:right w:w="108" w:type="dxa"/>
        </w:tblCellMar>
      </w:tblPr>
      <w:tblGrid>
        <w:gridCol w:w="5056"/>
        <w:gridCol w:w="1017"/>
        <w:gridCol w:w="1018"/>
        <w:gridCol w:w="1018"/>
        <w:gridCol w:w="1069"/>
      </w:tblGrid>
      <w:tr>
        <w:trPr>
          <w:trHeight w:val="20" w:hRule="atLeast"/>
        </w:trPr>
        <w:tc>
          <w:tcPr>
            <w:tcW w:w="50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科目</w:t>
            </w:r>
          </w:p>
        </w:tc>
        <w:tc>
          <w:tcPr>
            <w:tcW w:w="10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2022年末（前三年） </w:t>
            </w:r>
          </w:p>
        </w:tc>
        <w:tc>
          <w:tcPr>
            <w:tcW w:w="10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2023年末（前二年） </w:t>
            </w:r>
          </w:p>
        </w:tc>
        <w:tc>
          <w:tcPr>
            <w:tcW w:w="10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2024年末（前一年） </w:t>
            </w:r>
          </w:p>
        </w:tc>
        <w:tc>
          <w:tcPr>
            <w:tcW w:w="10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2025年3月（最近一期）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①短期借款</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②应付票据</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③保证金存款（参考货币资金明细里保证金存款）</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④一年内到期的长期负债</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⑤长期借款</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⑥应付债券</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⑦长期应付款中的融资租赁借款</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刚性</w:t>
            </w:r>
            <w:r>
              <w:rPr>
                <w:rFonts w:ascii="仿宋" w:hAnsi="仿宋" w:eastAsia="仿宋" w:cs="宋体"/>
                <w:color w:val="000000"/>
                <w:kern w:val="0"/>
                <w:sz w:val="22"/>
              </w:rPr>
              <w:t>负债</w:t>
            </w:r>
            <w:r>
              <w:rPr>
                <w:rFonts w:hint="eastAsia" w:ascii="仿宋" w:hAnsi="仿宋" w:eastAsia="仿宋" w:cs="宋体"/>
                <w:color w:val="000000"/>
                <w:kern w:val="0"/>
                <w:sz w:val="22"/>
              </w:rPr>
              <w:t>=①+②-③+④+⑤+⑥+⑦</w:t>
            </w:r>
          </w:p>
        </w:tc>
        <w:tc>
          <w:tcPr>
            <w:tcW w:w="10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A.</w:t>
      </w:r>
      <w:r>
        <w:rPr>
          <w:rFonts w:hint="eastAsia" w:ascii="仿宋" w:hAnsi="仿宋" w:eastAsia="仿宋" w:cs="仿宋"/>
          <w:i w:val="false"/>
          <w:strike w:val="false"/>
          <w:color w:val="000000"/>
          <w:kern w:val="2"/>
          <w:sz w:val="24"/>
          <w:szCs w:val="22"/>
          <w:lang w:val="en-US" w:eastAsia="zh-CN" w:bidi="ar-SA"/>
        </w:rPr>
        <w:t>负债趋势分析：分析负债规模、结构的变化趋势及原因，判断风险变动情况。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B.</w:t>
      </w:r>
      <w:r>
        <w:rPr>
          <w:rFonts w:hint="eastAsia" w:ascii="仿宋" w:hAnsi="仿宋" w:eastAsia="仿宋" w:cs="仿宋"/>
          <w:i w:val="false"/>
          <w:strike w:val="false"/>
          <w:color w:val="000000"/>
          <w:kern w:val="2"/>
          <w:sz w:val="24"/>
          <w:szCs w:val="22"/>
          <w:lang w:val="en-US" w:eastAsia="zh-CN" w:bidi="ar-SA"/>
        </w:rPr>
        <w:t>负债规模合理性分析：结合客户的经营规模、行业负债平均水平、偿债周期、同类企业负债情况，分析客户负债规模是否合理。</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C.</w:t>
      </w:r>
      <w:r>
        <w:rPr>
          <w:rFonts w:hint="eastAsia" w:ascii="仿宋" w:hAnsi="仿宋" w:eastAsia="仿宋" w:cs="仿宋"/>
          <w:i w:val="false"/>
          <w:strike w:val="false"/>
          <w:color w:val="000000"/>
          <w:kern w:val="2"/>
          <w:sz w:val="24"/>
          <w:szCs w:val="22"/>
          <w:lang w:val="en-US" w:eastAsia="zh-CN" w:bidi="ar-SA"/>
        </w:rPr>
        <w:t>负债成本分析：分析财务费用占融资规模的比例，财务费用占营业利润、利润总额的比重及近几年比例变化情况。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⑨存贷情况</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866"/>
        <w:gridCol w:w="1316"/>
      </w:tblGrid>
      <w:tr>
        <w:trPr>
          <w:trHeight w:val="578" w:hRule="atLeast"/>
          <w:tblHeader/>
          <w:jc w:val="center"/>
        </w:trPr>
        <w:tc>
          <w:tcPr>
            <w:tcW w:w="1866"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货币资金/总资产</w:t>
            </w:r>
          </w:p>
        </w:tc>
        <w:tc>
          <w:tcPr>
            <w:tcW w:w="1866"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有息负债/总负债</w:t>
            </w:r>
          </w:p>
        </w:tc>
        <w:tc>
          <w:tcPr>
            <w:tcW w:w="1316"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比较基准值</w:t>
            </w:r>
          </w:p>
        </w:tc>
      </w:tr>
      <w:tr>
        <w:trPr>
          <w:trHeight w:val="288" w:hRule="atLeast"/>
          <w:jc w:val="center"/>
        </w:trPr>
        <w:tc>
          <w:tcPr>
            <w:tcW w:w="1866"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ascii="Arial" w:hAnsi="Arial" w:cs="Arial"/>
                <w:i w:val="false"/>
                <w:strike w:val="false"/>
                <w:color w:val="000000"/>
                <w:spacing w:val="0"/>
                <w:sz w:val="20"/>
                <w:u w:val="none"/>
              </w:rPr>
              <w:t>0.06%</w:t>
            </w:r>
          </w:p>
        </w:tc>
        <w:tc>
          <w:tcPr>
            <w:tcW w:w="1866"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ascii="仿宋" w:hAnsi="仿宋" w:eastAsia="仿宋" w:cs="宋体"/>
                <w:color w:val="000000"/>
                <w:kern w:val="0"/>
                <w:sz w:val="22"/>
              </w:rPr>
              <w:t>98.16%</w:t>
            </w:r>
          </w:p>
        </w:tc>
        <w:tc>
          <w:tcPr>
            <w:tcW w:w="1316" w:type="dxa"/>
            <w:tcBorders>
              <w:tl2br w:val="nil"/>
              <w:tr2bl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&gt;20%</w:t>
            </w: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若存在“存贷双高”情形，需分析原因。</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若集团和母公司均存在“存贷”双高的情况，需说明集团整体资金管理模式（包括但不限于资金是否归集、下属公司融资权限、本部代融资的利息支付及偿还资金来源等）。</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⑩所有者权益情况分析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若存在增资情况，需说明增资背景，核实资金到位情况；近三年利润分配情况等。</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⑪其他需要补充说明的科目</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对其他需要补充说明的资产科目进行说明：</w:t>
      </w:r>
    </w:p>
    <w:tbl>
      <w:tblPr>
        <w:tblStyle w:val="000015"/>
        <w:tblW w:w="0" w:type="auto"/>
        <w:tblInd w:w="108" w:type="dxa"/>
        <w:tblLayout w:type="fixed"/>
        <w:tblCellMar>
          <w:top w:w="0" w:type="dxa"/>
          <w:left w:w="108" w:type="dxa"/>
          <w:bottom w:w="0" w:type="dxa"/>
          <w:right w:w="108" w:type="dxa"/>
        </w:tblCellMar>
      </w:tblPr>
      <w:tblGrid>
        <w:gridCol w:w="2127"/>
        <w:gridCol w:w="1842"/>
        <w:gridCol w:w="5103"/>
      </w:tblGrid>
      <w:tr>
        <w:trPr>
          <w:trHeight w:val="20" w:hRule="atLeast"/>
        </w:trPr>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指标名称</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异常情况</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原因分析</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金额较大</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金额为负</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变动幅度较大</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（2）利润表分析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目前暂无实质性经营，故暂无实质性财务数据。</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①</w:t>
      </w:r>
      <w:r>
        <w:rPr>
          <w:rFonts w:hint="eastAsia" w:ascii="仿宋" w:hAnsi="仿宋" w:eastAsia="仿宋" w:cs="仿宋"/>
          <w:i w:val="false"/>
          <w:strike w:val="false"/>
          <w:color w:val="000000"/>
          <w:kern w:val="2"/>
          <w:sz w:val="24"/>
          <w:szCs w:val="22"/>
          <w:lang w:val="en-US" w:eastAsia="zh-CN" w:bidi="ar-SA"/>
        </w:rPr>
        <w:t>说明收入、利润核实的过程，是否与报表一致。</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②</w:t>
      </w:r>
      <w:r>
        <w:rPr>
          <w:rFonts w:hint="eastAsia" w:ascii="仿宋" w:hAnsi="仿宋" w:eastAsia="仿宋" w:cs="仿宋"/>
          <w:i w:val="false"/>
          <w:strike w:val="false"/>
          <w:color w:val="000000"/>
          <w:kern w:val="2"/>
          <w:sz w:val="24"/>
          <w:szCs w:val="22"/>
          <w:lang w:val="en-US" w:eastAsia="zh-CN" w:bidi="ar-SA"/>
        </w:rPr>
        <w:t>说明收入、利润是否与增值税、所得税纳税申报表一致。</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③</w:t>
      </w:r>
      <w:r>
        <w:rPr>
          <w:rFonts w:hint="eastAsia" w:ascii="仿宋" w:hAnsi="仿宋" w:eastAsia="仿宋" w:cs="仿宋"/>
          <w:i w:val="false"/>
          <w:strike w:val="false"/>
          <w:color w:val="000000"/>
          <w:kern w:val="2"/>
          <w:sz w:val="24"/>
          <w:szCs w:val="22"/>
          <w:lang w:val="en-US" w:eastAsia="zh-CN" w:bidi="ar-SA"/>
        </w:rPr>
        <w:t>对收入、毛利率、期间费用、投资收益、资产减值等占比较大、变动幅度较大的科目进行分析，并说明变动的原因。</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④</w:t>
      </w:r>
      <w:r>
        <w:rPr>
          <w:rFonts w:hint="eastAsia" w:ascii="仿宋" w:hAnsi="仿宋" w:eastAsia="仿宋" w:cs="仿宋"/>
          <w:i w:val="false"/>
          <w:strike w:val="false"/>
          <w:color w:val="000000"/>
          <w:kern w:val="2"/>
          <w:sz w:val="24"/>
          <w:szCs w:val="22"/>
          <w:lang w:val="en-US" w:eastAsia="zh-CN" w:bidi="ar-SA"/>
        </w:rPr>
        <w:t>有其他利润来源的分析其他利润来源的原因及稳定性。</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（3）现金流量表分析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目前暂无实质性经营，故暂无实质性财务数据。</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①</w:t>
      </w:r>
      <w:r>
        <w:rPr>
          <w:rFonts w:hint="eastAsia" w:ascii="仿宋" w:hAnsi="仿宋" w:eastAsia="仿宋" w:cs="仿宋"/>
          <w:i w:val="false"/>
          <w:strike w:val="false"/>
          <w:color w:val="000000"/>
          <w:kern w:val="2"/>
          <w:sz w:val="24"/>
          <w:szCs w:val="22"/>
          <w:lang w:val="en-US" w:eastAsia="zh-CN" w:bidi="ar-SA"/>
        </w:rPr>
        <w:t>经营性净现金流分析：若经营性净现金流为负、经营性净现金流小于净利润、经营性净现金流下降幅度较大，请进行合理性说明。</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②</w:t>
      </w:r>
      <w:r>
        <w:rPr>
          <w:rFonts w:hint="eastAsia" w:ascii="仿宋" w:hAnsi="仿宋" w:eastAsia="仿宋" w:cs="仿宋"/>
          <w:i w:val="false"/>
          <w:strike w:val="false"/>
          <w:color w:val="000000"/>
          <w:kern w:val="2"/>
          <w:sz w:val="24"/>
          <w:szCs w:val="22"/>
          <w:lang w:val="en-US" w:eastAsia="zh-CN" w:bidi="ar-SA"/>
        </w:rPr>
        <w:t>投资性净现金流分析：是否与企业的固定资产投入/处置、理财产品的购买/赎回、股权投资等活动相匹配，大额异常情况需说明背景信息。</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default" w:ascii="仿宋" w:hAnsi="仿宋" w:eastAsia="仿宋" w:cs="仿宋"/>
          <w:i w:val="false"/>
          <w:strike w:val="false"/>
          <w:color w:val="000000"/>
          <w:kern w:val="2"/>
          <w:sz w:val="24"/>
          <w:szCs w:val="22"/>
          <w:lang w:val="en-US" w:eastAsia="zh-CN" w:bidi="ar-SA"/>
        </w:rPr>
        <w:t>③</w:t>
      </w:r>
      <w:r>
        <w:rPr>
          <w:rFonts w:hint="eastAsia" w:ascii="仿宋" w:hAnsi="仿宋" w:eastAsia="仿宋" w:cs="仿宋"/>
          <w:i w:val="false"/>
          <w:strike w:val="false"/>
          <w:color w:val="000000"/>
          <w:kern w:val="2"/>
          <w:sz w:val="24"/>
          <w:szCs w:val="22"/>
          <w:lang w:val="en-US" w:eastAsia="zh-CN" w:bidi="ar-SA"/>
        </w:rPr>
        <w:t>筹资性净现金流分析：是否与实收资本/股本增加、债务增减、利润分配等活动相匹配，若持续净流入，说明企业是处于高速扩张期，还是主营业务出现恶化，大额异常情况需说明背景信息。</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3、财务指标分析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目前暂无实质性经营，故暂无实质性财务数据。</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（1）短期偿债能力分析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1857"/>
        <w:gridCol w:w="1859"/>
        <w:gridCol w:w="1857"/>
        <w:gridCol w:w="1861"/>
      </w:tblGrid>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57"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1859"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857"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61"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流动比率</w:t>
            </w:r>
          </w:p>
        </w:tc>
        <w:tc>
          <w:tcPr>
            <w:tcW w:w="1857" w:type="dxa"/>
            <w:vAlign w:val="center"/>
          </w:tcPr>
          <w:p>
            <w:pPr>
              <w:widowControl/>
              <w:jc w:val="center"/>
              <w:rPr>
                <w:rFonts w:ascii="仿宋" w:hAnsi="仿宋" w:eastAsia="仿宋" w:cs="宋体"/>
                <w:color w:val="000000"/>
                <w:kern w:val="0"/>
                <w:sz w:val="22"/>
                <w:szCs w:val="21"/>
              </w:rPr>
            </w:pPr>
          </w:p>
        </w:tc>
        <w:tc>
          <w:tcPr>
            <w:tcW w:w="1859" w:type="dxa"/>
            <w:vAlign w:val="center"/>
          </w:tcPr>
          <w:p>
            <w:pPr>
              <w:widowControl/>
              <w:jc w:val="center"/>
              <w:rPr>
                <w:rFonts w:ascii="仿宋" w:hAnsi="仿宋" w:eastAsia="仿宋" w:cs="宋体"/>
                <w:color w:val="000000"/>
                <w:kern w:val="0"/>
                <w:sz w:val="22"/>
                <w:szCs w:val="21"/>
              </w:rPr>
            </w:pPr>
          </w:p>
        </w:tc>
        <w:tc>
          <w:tcPr>
            <w:tcW w:w="1857" w:type="dxa"/>
            <w:vAlign w:val="center"/>
          </w:tcPr>
          <w:p>
            <w:pPr>
              <w:widowControl/>
              <w:jc w:val="center"/>
              <w:rPr>
                <w:rFonts w:ascii="仿宋" w:hAnsi="仿宋" w:eastAsia="仿宋" w:cs="宋体"/>
                <w:color w:val="000000"/>
                <w:kern w:val="0"/>
                <w:sz w:val="22"/>
                <w:szCs w:val="21"/>
              </w:rPr>
            </w:pPr>
          </w:p>
        </w:tc>
        <w:tc>
          <w:tcPr>
            <w:tcW w:w="186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速动比率</w:t>
            </w:r>
          </w:p>
        </w:tc>
        <w:tc>
          <w:tcPr>
            <w:tcW w:w="1857" w:type="dxa"/>
            <w:vAlign w:val="center"/>
          </w:tcPr>
          <w:p>
            <w:pPr>
              <w:widowControl/>
              <w:jc w:val="center"/>
              <w:rPr>
                <w:rFonts w:ascii="仿宋" w:hAnsi="仿宋" w:eastAsia="仿宋" w:cs="宋体"/>
                <w:color w:val="000000"/>
                <w:kern w:val="0"/>
                <w:sz w:val="22"/>
                <w:szCs w:val="21"/>
              </w:rPr>
            </w:pPr>
          </w:p>
        </w:tc>
        <w:tc>
          <w:tcPr>
            <w:tcW w:w="1859" w:type="dxa"/>
            <w:vAlign w:val="center"/>
          </w:tcPr>
          <w:p>
            <w:pPr>
              <w:widowControl/>
              <w:jc w:val="center"/>
              <w:rPr>
                <w:rFonts w:ascii="仿宋" w:hAnsi="仿宋" w:eastAsia="仿宋" w:cs="宋体"/>
                <w:color w:val="000000"/>
                <w:kern w:val="0"/>
                <w:sz w:val="22"/>
                <w:szCs w:val="21"/>
              </w:rPr>
            </w:pPr>
          </w:p>
        </w:tc>
        <w:tc>
          <w:tcPr>
            <w:tcW w:w="1857" w:type="dxa"/>
            <w:vAlign w:val="center"/>
          </w:tcPr>
          <w:p>
            <w:pPr>
              <w:widowControl/>
              <w:jc w:val="center"/>
              <w:rPr>
                <w:rFonts w:ascii="仿宋" w:hAnsi="仿宋" w:eastAsia="仿宋" w:cs="宋体"/>
                <w:color w:val="000000"/>
                <w:kern w:val="0"/>
                <w:sz w:val="22"/>
                <w:szCs w:val="21"/>
              </w:rPr>
            </w:pPr>
          </w:p>
        </w:tc>
        <w:tc>
          <w:tcPr>
            <w:tcW w:w="186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现金比率</w:t>
            </w:r>
          </w:p>
        </w:tc>
        <w:tc>
          <w:tcPr>
            <w:tcW w:w="1857" w:type="dxa"/>
            <w:vAlign w:val="center"/>
          </w:tcPr>
          <w:p>
            <w:pPr>
              <w:widowControl/>
              <w:jc w:val="center"/>
              <w:rPr>
                <w:rFonts w:ascii="仿宋" w:hAnsi="仿宋" w:eastAsia="仿宋" w:cs="宋体"/>
                <w:color w:val="000000"/>
                <w:kern w:val="0"/>
                <w:sz w:val="22"/>
                <w:szCs w:val="21"/>
              </w:rPr>
            </w:pPr>
          </w:p>
        </w:tc>
        <w:tc>
          <w:tcPr>
            <w:tcW w:w="1859" w:type="dxa"/>
            <w:vAlign w:val="center"/>
          </w:tcPr>
          <w:p>
            <w:pPr>
              <w:widowControl/>
              <w:jc w:val="center"/>
              <w:rPr>
                <w:rFonts w:ascii="仿宋" w:hAnsi="仿宋" w:eastAsia="仿宋" w:cs="宋体"/>
                <w:color w:val="000000"/>
                <w:kern w:val="0"/>
                <w:sz w:val="22"/>
                <w:szCs w:val="21"/>
              </w:rPr>
            </w:pPr>
          </w:p>
        </w:tc>
        <w:tc>
          <w:tcPr>
            <w:tcW w:w="1857" w:type="dxa"/>
            <w:vAlign w:val="center"/>
          </w:tcPr>
          <w:p>
            <w:pPr>
              <w:widowControl/>
              <w:jc w:val="center"/>
              <w:rPr>
                <w:rFonts w:ascii="仿宋" w:hAnsi="仿宋" w:eastAsia="仿宋" w:cs="宋体"/>
                <w:color w:val="000000"/>
                <w:kern w:val="0"/>
                <w:sz w:val="22"/>
                <w:szCs w:val="21"/>
              </w:rPr>
            </w:pPr>
          </w:p>
        </w:tc>
        <w:tc>
          <w:tcPr>
            <w:tcW w:w="1861" w:type="dxa"/>
            <w:vAlign w:val="center"/>
          </w:tcPr>
          <w:p>
            <w:pPr>
              <w:widowControl/>
              <w:jc w:val="center"/>
              <w:rPr>
                <w:rFonts w:ascii="仿宋" w:hAnsi="仿宋" w:eastAsia="仿宋" w:cs="宋体"/>
                <w:color w:val="000000"/>
                <w:kern w:val="0"/>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短期偿债能力变动趋势及原因，与行业内平均水平对比分析。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（2）长期偿债能力分析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910"/>
        <w:gridCol w:w="2052"/>
        <w:gridCol w:w="2112"/>
        <w:gridCol w:w="1486"/>
      </w:tblGrid>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910"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05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2112"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48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资产负债率</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ascii="仿宋" w:hAnsi="仿宋" w:eastAsia="仿宋" w:cs="宋体"/>
                <w:color w:val="000000"/>
                <w:kern w:val="0"/>
                <w:sz w:val="22"/>
                <w:szCs w:val="21"/>
              </w:rPr>
              <w:t>息税前利润利息保障倍数</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产权比率</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726"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有形净值债务率</w:t>
            </w:r>
          </w:p>
        </w:tc>
        <w:tc>
          <w:tcPr>
            <w:tcW w:w="1910" w:type="dxa"/>
            <w:vAlign w:val="center"/>
          </w:tcPr>
          <w:p>
            <w:pPr>
              <w:widowControl/>
              <w:jc w:val="center"/>
              <w:rPr>
                <w:rFonts w:ascii="仿宋" w:hAnsi="仿宋" w:eastAsia="仿宋" w:cs="宋体"/>
                <w:color w:val="000000"/>
                <w:kern w:val="0"/>
                <w:sz w:val="22"/>
                <w:szCs w:val="21"/>
              </w:rPr>
            </w:pPr>
          </w:p>
        </w:tc>
        <w:tc>
          <w:tcPr>
            <w:tcW w:w="2052" w:type="dxa"/>
            <w:vAlign w:val="center"/>
          </w:tcPr>
          <w:p>
            <w:pPr>
              <w:widowControl/>
              <w:jc w:val="center"/>
              <w:rPr>
                <w:rFonts w:ascii="仿宋" w:hAnsi="仿宋" w:eastAsia="仿宋" w:cs="宋体"/>
                <w:color w:val="000000"/>
                <w:kern w:val="0"/>
                <w:sz w:val="22"/>
                <w:szCs w:val="21"/>
              </w:rPr>
            </w:pPr>
          </w:p>
        </w:tc>
        <w:tc>
          <w:tcPr>
            <w:tcW w:w="2112" w:type="dxa"/>
            <w:vAlign w:val="center"/>
          </w:tcPr>
          <w:p>
            <w:pPr>
              <w:widowControl/>
              <w:jc w:val="center"/>
              <w:rPr>
                <w:rFonts w:ascii="仿宋" w:hAnsi="仿宋" w:eastAsia="仿宋" w:cs="宋体"/>
                <w:color w:val="000000"/>
                <w:kern w:val="0"/>
                <w:sz w:val="22"/>
                <w:szCs w:val="21"/>
              </w:rPr>
            </w:pPr>
          </w:p>
        </w:tc>
        <w:tc>
          <w:tcPr>
            <w:tcW w:w="1486" w:type="dxa"/>
            <w:vAlign w:val="center"/>
          </w:tcPr>
          <w:p>
            <w:pPr>
              <w:widowControl/>
              <w:jc w:val="center"/>
              <w:rPr>
                <w:rFonts w:ascii="仿宋" w:hAnsi="仿宋" w:eastAsia="仿宋" w:cs="宋体"/>
                <w:color w:val="000000"/>
                <w:kern w:val="0"/>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长期偿债能力变动趋势及原因，与行业内平均水平对比分析。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（3）盈利能力分析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811"/>
        <w:gridCol w:w="2388"/>
        <w:gridCol w:w="1478"/>
        <w:gridCol w:w="1781"/>
      </w:tblGrid>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11"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38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7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781"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净利润增长率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销售利润率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成本费用利润率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息税前营业利润率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总资产收益率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净资产收益率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1828"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净利润率</w:t>
            </w:r>
          </w:p>
        </w:tc>
        <w:tc>
          <w:tcPr>
            <w:tcW w:w="1811" w:type="dxa"/>
            <w:vAlign w:val="center"/>
          </w:tcPr>
          <w:p>
            <w:pPr>
              <w:widowControl/>
              <w:jc w:val="center"/>
              <w:rPr>
                <w:rFonts w:ascii="仿宋" w:hAnsi="仿宋" w:eastAsia="仿宋" w:cs="宋体"/>
                <w:color w:val="000000"/>
                <w:kern w:val="0"/>
                <w:sz w:val="22"/>
                <w:szCs w:val="21"/>
              </w:rPr>
            </w:pPr>
          </w:p>
        </w:tc>
        <w:tc>
          <w:tcPr>
            <w:tcW w:w="2388" w:type="dxa"/>
            <w:vAlign w:val="center"/>
          </w:tcPr>
          <w:p>
            <w:pPr>
              <w:widowControl/>
              <w:jc w:val="center"/>
              <w:rPr>
                <w:rFonts w:ascii="仿宋" w:hAnsi="仿宋" w:eastAsia="仿宋" w:cs="宋体"/>
                <w:color w:val="000000"/>
                <w:kern w:val="0"/>
                <w:sz w:val="22"/>
                <w:szCs w:val="21"/>
              </w:rPr>
            </w:pPr>
          </w:p>
        </w:tc>
        <w:tc>
          <w:tcPr>
            <w:tcW w:w="1478" w:type="dxa"/>
            <w:vAlign w:val="center"/>
          </w:tcPr>
          <w:p>
            <w:pPr>
              <w:widowControl/>
              <w:jc w:val="center"/>
              <w:rPr>
                <w:rFonts w:ascii="仿宋" w:hAnsi="仿宋" w:eastAsia="仿宋" w:cs="宋体"/>
                <w:color w:val="000000"/>
                <w:kern w:val="0"/>
                <w:sz w:val="22"/>
                <w:szCs w:val="21"/>
              </w:rPr>
            </w:pPr>
          </w:p>
        </w:tc>
        <w:tc>
          <w:tcPr>
            <w:tcW w:w="1781" w:type="dxa"/>
            <w:vAlign w:val="center"/>
          </w:tcPr>
          <w:p>
            <w:pPr>
              <w:widowControl/>
              <w:jc w:val="center"/>
              <w:rPr>
                <w:rFonts w:ascii="仿宋" w:hAnsi="仿宋" w:eastAsia="仿宋" w:cs="宋体"/>
                <w:color w:val="000000"/>
                <w:kern w:val="0"/>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盈利能力变动趋势及原因，与行业内平均水平对比分析。</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（4）经营周转能力分析</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605"/>
        <w:gridCol w:w="2424"/>
        <w:gridCol w:w="1415"/>
        <w:gridCol w:w="1807"/>
      </w:tblGrid>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60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424"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1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07"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存货周转天数</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应收账款周转天数</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应付账款周转天数</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净营业周期</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总资产周转率</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r>
        <w:trPr>
          <w:trHeight w:val="330" w:hRule="atLeast"/>
          <w:jc w:val="center"/>
        </w:trPr>
        <w:tc>
          <w:tcPr>
            <w:tcW w:w="2035" w:type="dxa"/>
            <w:vAlign w:val="center"/>
          </w:tcPr>
          <w:p>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固定资产周转率</w:t>
            </w:r>
          </w:p>
        </w:tc>
        <w:tc>
          <w:tcPr>
            <w:tcW w:w="1605" w:type="dxa"/>
            <w:vAlign w:val="center"/>
          </w:tcPr>
          <w:p>
            <w:pPr>
              <w:widowControl/>
              <w:jc w:val="center"/>
              <w:rPr>
                <w:rFonts w:ascii="仿宋" w:hAnsi="仿宋" w:eastAsia="仿宋" w:cs="宋体"/>
                <w:color w:val="000000"/>
                <w:kern w:val="0"/>
                <w:sz w:val="22"/>
                <w:szCs w:val="21"/>
              </w:rPr>
            </w:pPr>
          </w:p>
        </w:tc>
        <w:tc>
          <w:tcPr>
            <w:tcW w:w="2424" w:type="dxa"/>
            <w:vAlign w:val="center"/>
          </w:tcPr>
          <w:p>
            <w:pPr>
              <w:widowControl/>
              <w:jc w:val="center"/>
              <w:rPr>
                <w:rFonts w:ascii="仿宋" w:hAnsi="仿宋" w:eastAsia="仿宋" w:cs="宋体"/>
                <w:color w:val="000000"/>
                <w:kern w:val="0"/>
                <w:sz w:val="22"/>
                <w:szCs w:val="21"/>
              </w:rPr>
            </w:pPr>
          </w:p>
        </w:tc>
        <w:tc>
          <w:tcPr>
            <w:tcW w:w="1415" w:type="dxa"/>
            <w:vAlign w:val="center"/>
          </w:tcPr>
          <w:p>
            <w:pPr>
              <w:widowControl/>
              <w:jc w:val="center"/>
              <w:rPr>
                <w:rFonts w:ascii="仿宋" w:hAnsi="仿宋" w:eastAsia="仿宋" w:cs="宋体"/>
                <w:color w:val="000000"/>
                <w:kern w:val="0"/>
                <w:sz w:val="22"/>
                <w:szCs w:val="21"/>
              </w:rPr>
            </w:pPr>
          </w:p>
        </w:tc>
        <w:tc>
          <w:tcPr>
            <w:tcW w:w="1807" w:type="dxa"/>
            <w:vAlign w:val="center"/>
          </w:tcPr>
          <w:p>
            <w:pPr>
              <w:widowControl/>
              <w:jc w:val="center"/>
              <w:rPr>
                <w:rFonts w:ascii="仿宋" w:hAnsi="仿宋" w:eastAsia="仿宋" w:cs="宋体"/>
                <w:color w:val="000000"/>
                <w:kern w:val="0"/>
                <w:sz w:val="22"/>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经营周转能力变动趋势及原因，与行业内平均水平对比分析。</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（六）信用资信情况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1</w:t>
      </w:r>
      <w:r>
        <w:rPr>
          <w:rFonts w:hint="eastAsia" w:ascii="仿宋" w:hAnsi="仿宋" w:eastAsia="仿宋" w:cs="仿宋"/>
          <w:i w:val="false"/>
          <w:strike w:val="false"/>
          <w:color w:val="000000"/>
          <w:kern w:val="2"/>
          <w:sz w:val="24"/>
          <w:szCs w:val="22"/>
          <w:lang w:val="en-GB" w:eastAsia="zh-CN" w:bidi="ar-SA"/>
        </w:rPr>
        <w:t>、信用状况综合评价</w:t>
      </w:r>
    </w:p>
    <w:tbl>
      <w:tblPr>
        <w:tblStyle w:val="00002b"/>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330"/>
        <w:gridCol w:w="960"/>
        <w:gridCol w:w="960"/>
      </w:tblGrid>
      <w:tr>
        <w:trPr>
          <w:trHeight w:val="288" w:hRule="atLeast"/>
        </w:trPr>
        <w:tc>
          <w:tcPr>
            <w:tcW w:w="555" w:type="dxa"/>
            <w:vMerge w:val="restart"/>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1"/>
                <w:u w:val="none"/>
                <w:vertAlign w:val="baseline"/>
              </w:rPr>
              <w:t>企业资信及重大声誉风险事项</w:t>
            </w:r>
          </w:p>
        </w:tc>
        <w:tc>
          <w:tcPr>
            <w:tcW w:w="633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1. 借款人是否被列入银监会逃废债企业名单</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2. 借款人是否被列入我行内控客户名单或银监会大额不良客户名单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3. 借款人以往是否存在以造假、欺诈手段骗取银行贷款的行为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4. 借款人是否存在利用银行债务违规从事股票、期货等高风险投机行为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5. 借款人出现负面新闻披露</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6. 借款人被监管或行政部门处罚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7. 借款人主动或被动地卷入重大法律诉讼（诉讼标的达到净资产的30％）</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8. 借款人是否触犯刑律，依法受到制裁，被国家行政或司法机关宣布对其财产的没收及其处分权的限制等</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9. 借款人是否纳入人民法院失信被执行人名单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864"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10. 借款人是否存在涉黑涉恶犯罪活动，信贷资金是否流向涉黑涉恶组织和个人以及非法高利贷、“套路贷”等非法金融放贷领域</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☑否</w:t>
            </w:r>
          </w:p>
        </w:tc>
      </w:tr>
      <w:tr>
        <w:trPr>
          <w:trHeight w:val="1214"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line="240" w:lineRule="auto"/>
              <w:rPr/>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left"/>
              <w:rPr/>
            </w:pPr>
            <w:r>
              <w:rPr>
                <w:rFonts w:ascii="仿宋" w:hAnsi="仿宋" w:eastAsia="仿宋" w:cs="仿宋"/>
                <w:i w:val="false"/>
                <w:strike w:val="false"/>
                <w:color w:val="000000"/>
                <w:spacing w:val="0"/>
                <w:sz w:val="21"/>
                <w:u w:val="none"/>
                <w:vertAlign w:val="baseline"/>
              </w:rPr>
              <w:t>上述问题如选择“是”，请逐一在此栏进行说明：</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both"/>
              <w:rPr/>
            </w:pPr>
            <w:r>
              <w:rPr>
                <w:rFonts w:ascii="仿宋" w:hAnsi="仿宋" w:eastAsia="仿宋" w:cs="仿宋"/>
                <w:i w:val="false"/>
                <w:strike w:val="false"/>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both"/>
              <w:rPr/>
            </w:pPr>
            <w:r>
              <w:rPr>
                <w:rFonts w:ascii="仿宋" w:hAnsi="仿宋" w:eastAsia="仿宋" w:cs="仿宋"/>
                <w:i w:val="false"/>
                <w:strike w:val="false"/>
                <w:color w:val="000000"/>
                <w:spacing w:val="0"/>
                <w:sz w:val="21"/>
                <w:u w:val="none"/>
              </w:rPr>
              <w:t> </w:t>
            </w:r>
          </w:p>
        </w:tc>
      </w:tr>
      <w:tr>
        <w:trPr>
          <w:trHeight w:val="288" w:hRule="atLeast"/>
        </w:trPr>
        <w:tc>
          <w:tcPr>
            <w:tcW w:w="555" w:type="dxa"/>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1"/>
                <w:u w:val="none"/>
                <w:vertAlign w:val="baseline"/>
              </w:rPr>
              <w:t>其他</w:t>
            </w: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both"/>
              <w:rPr/>
            </w:pPr>
            <w:r>
              <w:rPr>
                <w:rFonts w:ascii="仿宋" w:hAnsi="仿宋" w:eastAsia="仿宋" w:cs="仿宋"/>
                <w:i w:val="false"/>
                <w:strike w:val="false"/>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ind w:left="0" w:right="0"/>
              <w:jc w:val="both"/>
              <w:rPr/>
            </w:pPr>
            <w:r>
              <w:rPr>
                <w:rFonts w:ascii="仿宋" w:hAnsi="仿宋" w:eastAsia="仿宋" w:cs="仿宋"/>
                <w:i w:val="false"/>
                <w:strike w:val="false"/>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pPr>
              <w:snapToGrid/>
              <w:spacing w:before="0" w:after="0" w:line="240" w:lineRule="auto"/>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2</w:t>
      </w:r>
      <w:r>
        <w:rPr>
          <w:rFonts w:hint="eastAsia" w:ascii="仿宋" w:hAnsi="仿宋" w:eastAsia="仿宋" w:cs="仿宋"/>
          <w:i w:val="false"/>
          <w:strike w:val="false"/>
          <w:color w:val="000000"/>
          <w:kern w:val="2"/>
          <w:sz w:val="24"/>
          <w:szCs w:val="22"/>
          <w:lang w:val="en-GB" w:eastAsia="zh-CN" w:bidi="ar-SA"/>
        </w:rPr>
        <w:t>、贷后管理发现的问题及整改情况综述</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新客户</w:t>
      </w:r>
    </w:p>
    <w:tbl>
      <w:tblPr>
        <w:tblStyle w:val="000015"/>
        <w:tblW w:w="0" w:type="auto"/>
        <w:tblInd w:w="-1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27"/>
        <w:gridCol w:w="3027"/>
        <w:gridCol w:w="3026"/>
      </w:tblGrid>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贷后管理事项</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问题描述</w:t>
            </w: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整改措施</w:t>
            </w: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客户经营管理财务情况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债项履约情况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担保人、抵（质）押品情况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r>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其他情况</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Cs w:val="21"/>
                <w:lang w:bidi="ar"/>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3</w:t>
      </w:r>
      <w:r>
        <w:rPr>
          <w:rFonts w:hint="eastAsia" w:ascii="仿宋" w:hAnsi="仿宋" w:eastAsia="仿宋" w:cs="仿宋"/>
          <w:i w:val="false"/>
          <w:strike w:val="false"/>
          <w:color w:val="000000"/>
          <w:kern w:val="2"/>
          <w:sz w:val="24"/>
          <w:szCs w:val="22"/>
          <w:lang w:val="en-GB" w:eastAsia="zh-CN" w:bidi="ar-SA"/>
        </w:rPr>
        <w:t>、内外部审计及监管检查发现问题、处理意见以及整改情况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无，新客户</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（七）申请人与金融同业整体合作情况</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both"/>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 xml:space="preserve">银企关键信息表 </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right"/>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GB" w:eastAsia="zh-CN" w:bidi="ar-SA"/>
        </w:rPr>
        <w:t>截止时间： 2025年6月    单位：万元</w:t>
      </w:r>
      <w:r>
        <w:rPr>
          <w:rFonts w:hint="eastAsia" w:ascii="仿宋" w:hAnsi="仿宋" w:eastAsia="仿宋" w:cs="仿宋"/>
          <w:i w:val="false"/>
          <w:strike w:val="false"/>
          <w:color w:val="000000"/>
          <w:kern w:val="2"/>
          <w:sz w:val="24"/>
          <w:szCs w:val="22"/>
          <w:lang w:val="en-US" w:eastAsia="zh-CN" w:bidi="ar-SA"/>
        </w:rPr>
        <w:t xml:space="preserve"> </w:t>
      </w:r>
    </w:p>
    <w:tbl>
      <w:tblPr>
        <w:tblStyle w:val="000015"/>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5"/>
        <w:gridCol w:w="808"/>
        <w:gridCol w:w="808"/>
        <w:gridCol w:w="808"/>
        <w:gridCol w:w="808"/>
        <w:gridCol w:w="808"/>
        <w:gridCol w:w="958"/>
        <w:gridCol w:w="817"/>
        <w:gridCol w:w="1142"/>
      </w:tblGrid>
      <w:tr>
        <w:trPr>
          <w:trHeight w:val="797"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项目 </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958"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17"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1142"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合计</w:t>
            </w: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账户类型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日均存款余额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存款占比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授信额度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主要授信品种</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其中：敞口类余额</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授信余额占比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主要担保措施 </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r>
        <w:trPr>
          <w:trHeight w:val="406" w:hRule="atLeast"/>
          <w:tblCellSpacing w:w="0" w:type="dxa"/>
        </w:trPr>
        <w:tc>
          <w:tcPr>
            <w:tcW w:w="1805" w:type="dxa"/>
            <w:vAlign w:val="center"/>
          </w:tcPr>
          <w:p>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批复有效期</w:t>
            </w: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vAlign w:val="center"/>
          </w:tcPr>
          <w:p>
            <w:pPr>
              <w:widowControl/>
              <w:spacing w:line="440" w:lineRule="exact"/>
              <w:ind w:firstLine="105" w:firstLineChars="50"/>
              <w:jc w:val="center"/>
              <w:rPr>
                <w:rFonts w:ascii="仿宋" w:hAnsi="仿宋" w:eastAsia="仿宋" w:cs="宋体"/>
                <w:kern w:val="0"/>
                <w:szCs w:val="21"/>
              </w:rPr>
            </w:pPr>
          </w:p>
        </w:tc>
        <w:tc>
          <w:tcPr>
            <w:tcW w:w="808" w:type="dxa"/>
          </w:tcPr>
          <w:p>
            <w:pPr>
              <w:widowControl/>
              <w:spacing w:line="440" w:lineRule="exact"/>
              <w:ind w:firstLine="105" w:firstLineChars="50"/>
              <w:jc w:val="center"/>
              <w:rPr>
                <w:rFonts w:ascii="仿宋" w:hAnsi="仿宋" w:eastAsia="仿宋" w:cs="宋体"/>
                <w:kern w:val="0"/>
                <w:szCs w:val="21"/>
              </w:rPr>
            </w:pPr>
          </w:p>
        </w:tc>
        <w:tc>
          <w:tcPr>
            <w:tcW w:w="958" w:type="dxa"/>
          </w:tcPr>
          <w:p>
            <w:pPr>
              <w:widowControl/>
              <w:spacing w:line="440" w:lineRule="exact"/>
              <w:ind w:firstLine="105" w:firstLineChars="50"/>
              <w:jc w:val="center"/>
              <w:rPr>
                <w:rFonts w:ascii="仿宋" w:hAnsi="仿宋" w:eastAsia="仿宋" w:cs="宋体"/>
                <w:kern w:val="0"/>
                <w:szCs w:val="21"/>
              </w:rPr>
            </w:pPr>
          </w:p>
        </w:tc>
        <w:tc>
          <w:tcPr>
            <w:tcW w:w="817" w:type="dxa"/>
            <w:vAlign w:val="center"/>
          </w:tcPr>
          <w:p>
            <w:pPr>
              <w:widowControl/>
              <w:spacing w:line="440" w:lineRule="exact"/>
              <w:ind w:firstLine="105" w:firstLineChars="50"/>
              <w:jc w:val="center"/>
              <w:rPr>
                <w:rFonts w:ascii="仿宋" w:hAnsi="仿宋" w:eastAsia="仿宋" w:cs="宋体"/>
                <w:kern w:val="0"/>
                <w:szCs w:val="21"/>
              </w:rPr>
            </w:pPr>
          </w:p>
        </w:tc>
        <w:tc>
          <w:tcPr>
            <w:tcW w:w="1142" w:type="dxa"/>
          </w:tcPr>
          <w:p>
            <w:pPr>
              <w:widowControl/>
              <w:spacing w:line="440" w:lineRule="exact"/>
              <w:ind w:firstLine="105" w:firstLineChars="50"/>
              <w:jc w:val="center"/>
              <w:rPr>
                <w:rFonts w:ascii="仿宋" w:hAnsi="仿宋" w:eastAsia="仿宋" w:cs="宋体"/>
                <w:kern w:val="0"/>
                <w:szCs w:val="21"/>
              </w:rPr>
            </w:pPr>
          </w:p>
        </w:tc>
      </w:tr>
    </w:tbl>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目前申请人暂无银行授信。</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注：1、按照国有银行、股份制银行、城商行、农信社等顺序填写；</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2、与上年度相比变化情况及原因。</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【编辑框*******1000字】</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left"/>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US" w:eastAsia="zh-CN" w:bidi="ar-SA"/>
        </w:rPr>
        <w:t>1</w:t>
      </w:r>
      <w:r>
        <w:rPr>
          <w:rFonts w:hint="eastAsia" w:ascii="仿宋" w:hAnsi="仿宋" w:eastAsia="仿宋" w:cs="仿宋"/>
          <w:i w:val="false"/>
          <w:strike w:val="false"/>
          <w:color w:val="000000"/>
          <w:kern w:val="2"/>
          <w:sz w:val="24"/>
          <w:szCs w:val="22"/>
          <w:lang w:val="en-US" w:eastAsia="zh-CN" w:bidi="ar-SA"/>
        </w:rPr>
        <w:t>、</w:t>
      </w:r>
      <w:r>
        <w:rPr>
          <w:rFonts w:hint="eastAsia" w:ascii="仿宋" w:hAnsi="仿宋" w:eastAsia="仿宋" w:cs="仿宋"/>
          <w:i w:val="false"/>
          <w:strike w:val="false"/>
          <w:color w:val="000000"/>
          <w:kern w:val="2"/>
          <w:sz w:val="24"/>
          <w:szCs w:val="22"/>
          <w:lang w:val="en-GB" w:eastAsia="zh-CN" w:bidi="ar-SA"/>
        </w:rPr>
        <w:t>申请人及集团成员企业（关联企业）授信情况分析（截止征信查询日）  单位：万元</w:t>
      </w:r>
    </w:p>
    <w:tbl>
      <w:tblPr>
        <w:tblStyle w:val="000015"/>
        <w:tblW w:w="0" w:type="auto"/>
        <w:jc w:val="center"/>
        <w:tblLayout w:type="fixed"/>
        <w:tblCellMar>
          <w:top w:w="0" w:type="dxa"/>
          <w:left w:w="108" w:type="dxa"/>
          <w:bottom w:w="0" w:type="dxa"/>
          <w:right w:w="108" w:type="dxa"/>
        </w:tblCellMar>
      </w:tblPr>
      <w:tblGrid>
        <w:gridCol w:w="939"/>
        <w:gridCol w:w="939"/>
        <w:gridCol w:w="939"/>
        <w:gridCol w:w="939"/>
        <w:gridCol w:w="759"/>
        <w:gridCol w:w="759"/>
        <w:gridCol w:w="759"/>
        <w:gridCol w:w="939"/>
        <w:gridCol w:w="759"/>
        <w:gridCol w:w="1301"/>
        <w:gridCol w:w="939"/>
      </w:tblGrid>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金融机构</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融资人</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p>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pP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23"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r>
    </w:tbl>
    <w:p>
      <w:pPr>
        <w:rPr>
          <w:rFonts w:ascii="仿宋" w:hAnsi="仿宋" w:eastAsia="仿宋" w:cs="Arial"/>
          <w:szCs w:val="21"/>
          <w:lang w:val="en-GB"/>
        </w:rPr>
      </w:pPr>
    </w:p>
    <w:tbl>
      <w:tblPr>
        <w:tblStyle w:val="000015"/>
        <w:tblW w:w="0" w:type="auto"/>
        <w:jc w:val="center"/>
        <w:tblLayout w:type="fixed"/>
        <w:tblCellMar>
          <w:top w:w="0" w:type="dxa"/>
          <w:left w:w="108" w:type="dxa"/>
          <w:bottom w:w="0" w:type="dxa"/>
          <w:right w:w="108" w:type="dxa"/>
        </w:tblCellMar>
      </w:tblPr>
      <w:tblGrid>
        <w:gridCol w:w="771"/>
        <w:gridCol w:w="951"/>
        <w:gridCol w:w="951"/>
        <w:gridCol w:w="951"/>
        <w:gridCol w:w="773"/>
        <w:gridCol w:w="773"/>
        <w:gridCol w:w="951"/>
        <w:gridCol w:w="952"/>
        <w:gridCol w:w="774"/>
        <w:gridCol w:w="1313"/>
        <w:gridCol w:w="952"/>
      </w:tblGrid>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融资人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金融机构</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主体一</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主体二</w:t>
            </w:r>
          </w:p>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主体三</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rPr>
          <w:trHeight w:val="470"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r>
    </w:tbl>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2</w:t>
      </w:r>
      <w:r>
        <w:rPr>
          <w:rFonts w:hint="eastAsia" w:ascii="仿宋" w:hAnsi="仿宋" w:eastAsia="仿宋" w:cs="仿宋"/>
          <w:i w:val="false"/>
          <w:strike w:val="false"/>
          <w:color w:val="000000"/>
          <w:kern w:val="2"/>
          <w:sz w:val="24"/>
          <w:szCs w:val="22"/>
          <w:lang w:val="en-GB" w:eastAsia="zh-CN" w:bidi="ar-SA"/>
        </w:rPr>
        <w:t>、或有负债分析</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目前申请人暂无或有负债</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480" w:firstLineChars="200"/>
        <w:jc w:val="righ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46"/>
        <w:gridCol w:w="1033"/>
        <w:gridCol w:w="1031"/>
        <w:gridCol w:w="1031"/>
        <w:gridCol w:w="1033"/>
        <w:gridCol w:w="1031"/>
        <w:gridCol w:w="1031"/>
        <w:gridCol w:w="1033"/>
      </w:tblGrid>
      <w:tr>
        <w:trPr>
          <w:trHeight w:val="680" w:hRule="atLeast"/>
          <w:jc w:val="center"/>
        </w:trPr>
        <w:tc>
          <w:tcPr>
            <w:tcW w:w="817" w:type="dxa"/>
            <w:vAlign w:val="center"/>
          </w:tcPr>
          <w:p>
            <w:pPr>
              <w:pStyle w:val="00002e"/>
              <w:spacing w:line="440" w:lineRule="exact"/>
              <w:ind w:firstLine="0" w:firstLineChars="0"/>
              <w:rPr>
                <w:rFonts w:ascii="仿宋" w:hAnsi="仿宋" w:eastAsia="仿宋"/>
                <w:kern w:val="0"/>
                <w:szCs w:val="21"/>
              </w:rPr>
            </w:pPr>
            <w:r>
              <w:rPr>
                <w:rFonts w:hint="eastAsia" w:ascii="仿宋" w:hAnsi="仿宋" w:eastAsia="仿宋"/>
                <w:kern w:val="0"/>
                <w:szCs w:val="21"/>
              </w:rPr>
              <w:t>序号</w:t>
            </w:r>
          </w:p>
        </w:tc>
        <w:tc>
          <w:tcPr>
            <w:tcW w:w="1246" w:type="dxa"/>
            <w:vAlign w:val="center"/>
          </w:tcPr>
          <w:p>
            <w:pPr>
              <w:pStyle w:val="00002e"/>
              <w:spacing w:line="440" w:lineRule="exact"/>
              <w:ind w:firstLine="0" w:firstLineChars="0"/>
              <w:rPr>
                <w:rFonts w:ascii="仿宋" w:hAnsi="仿宋" w:eastAsia="仿宋"/>
                <w:kern w:val="0"/>
                <w:szCs w:val="21"/>
              </w:rPr>
            </w:pPr>
            <w:r>
              <w:rPr>
                <w:rFonts w:hint="eastAsia" w:ascii="仿宋" w:hAnsi="仿宋" w:eastAsia="仿宋"/>
                <w:kern w:val="0"/>
                <w:szCs w:val="21"/>
              </w:rPr>
              <w:t>担保对象</w:t>
            </w:r>
          </w:p>
        </w:tc>
        <w:tc>
          <w:tcPr>
            <w:tcW w:w="1033"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关联方</w:t>
            </w:r>
            <w:r>
              <w:rPr>
                <w:rFonts w:hint="eastAsia" w:ascii="仿宋" w:hAnsi="仿宋" w:eastAsia="仿宋" w:cs="宋体"/>
                <w:kern w:val="0"/>
                <w:szCs w:val="21"/>
              </w:rPr>
              <w:t>担保</w:t>
            </w:r>
          </w:p>
        </w:tc>
        <w:tc>
          <w:tcPr>
            <w:tcW w:w="1031"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担保余额</w:t>
            </w:r>
          </w:p>
        </w:tc>
        <w:tc>
          <w:tcPr>
            <w:tcW w:w="1031" w:type="dxa"/>
            <w:vAlign w:val="center"/>
          </w:tcPr>
          <w:p>
            <w:pPr>
              <w:pStyle w:val="00002e"/>
              <w:spacing w:line="440" w:lineRule="exact"/>
              <w:ind w:firstLine="0" w:firstLineChars="0"/>
              <w:rPr>
                <w:rFonts w:ascii="仿宋" w:hAnsi="仿宋" w:eastAsia="仿宋"/>
                <w:kern w:val="0"/>
                <w:szCs w:val="21"/>
              </w:rPr>
            </w:pPr>
            <w:r>
              <w:rPr>
                <w:rFonts w:hint="eastAsia" w:ascii="仿宋" w:hAnsi="仿宋" w:eastAsia="仿宋"/>
                <w:kern w:val="0"/>
                <w:szCs w:val="21"/>
              </w:rPr>
              <w:t>到期日</w:t>
            </w:r>
          </w:p>
        </w:tc>
        <w:tc>
          <w:tcPr>
            <w:tcW w:w="1033"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信贷</w:t>
            </w:r>
            <w:r>
              <w:rPr>
                <w:rFonts w:hint="eastAsia" w:ascii="仿宋" w:hAnsi="仿宋" w:eastAsia="仿宋" w:cs="宋体"/>
                <w:kern w:val="0"/>
                <w:szCs w:val="21"/>
              </w:rPr>
              <w:t>品种</w:t>
            </w:r>
          </w:p>
        </w:tc>
        <w:tc>
          <w:tcPr>
            <w:tcW w:w="1031" w:type="dxa"/>
            <w:vAlign w:val="center"/>
          </w:tcPr>
          <w:p>
            <w:pPr>
              <w:widowControl/>
              <w:spacing w:line="280" w:lineRule="exact"/>
              <w:rPr>
                <w:rFonts w:ascii="仿宋" w:hAnsi="仿宋" w:eastAsia="仿宋" w:cs="宋体"/>
                <w:kern w:val="0"/>
                <w:szCs w:val="21"/>
              </w:rPr>
            </w:pPr>
            <w:r>
              <w:rPr>
                <w:rFonts w:hint="eastAsia" w:ascii="仿宋" w:hAnsi="仿宋" w:eastAsia="仿宋" w:cs="宋体"/>
                <w:kern w:val="0"/>
                <w:szCs w:val="21"/>
              </w:rPr>
              <w:t>担保方式</w:t>
            </w:r>
          </w:p>
        </w:tc>
        <w:tc>
          <w:tcPr>
            <w:tcW w:w="1031"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授信银行</w:t>
            </w:r>
          </w:p>
        </w:tc>
        <w:tc>
          <w:tcPr>
            <w:tcW w:w="1033" w:type="dxa"/>
            <w:vAlign w:val="center"/>
          </w:tcPr>
          <w:p>
            <w:pPr>
              <w:widowControl/>
              <w:spacing w:line="280" w:lineRule="exact"/>
              <w:rPr>
                <w:rFonts w:ascii="仿宋" w:hAnsi="仿宋" w:eastAsia="仿宋"/>
                <w:kern w:val="0"/>
                <w:szCs w:val="21"/>
              </w:rPr>
            </w:pPr>
            <w:r>
              <w:rPr>
                <w:rFonts w:hint="eastAsia" w:ascii="仿宋" w:hAnsi="仿宋" w:eastAsia="仿宋"/>
                <w:kern w:val="0"/>
                <w:szCs w:val="21"/>
              </w:rPr>
              <w:t>垫款可能性</w:t>
            </w:r>
          </w:p>
        </w:tc>
      </w:tr>
      <w:tr>
        <w:trPr>
          <w:trHeight w:val="680" w:hRule="atLeast"/>
          <w:jc w:val="center"/>
        </w:trPr>
        <w:tc>
          <w:tcPr>
            <w:tcW w:w="817" w:type="dxa"/>
            <w:vAlign w:val="center"/>
          </w:tcPr>
          <w:p>
            <w:pPr>
              <w:pStyle w:val="00002e"/>
              <w:spacing w:line="440" w:lineRule="exact"/>
              <w:ind w:firstLine="0" w:firstLineChars="0"/>
              <w:rPr>
                <w:rFonts w:ascii="仿宋" w:hAnsi="仿宋" w:eastAsia="仿宋"/>
                <w:kern w:val="0"/>
                <w:szCs w:val="21"/>
              </w:rPr>
            </w:pPr>
          </w:p>
        </w:tc>
        <w:tc>
          <w:tcPr>
            <w:tcW w:w="1246" w:type="dxa"/>
            <w:vAlign w:val="center"/>
          </w:tcPr>
          <w:p>
            <w:pPr>
              <w:pStyle w:val="00002e"/>
              <w:spacing w:line="440" w:lineRule="exact"/>
              <w:ind w:firstLine="0" w:firstLineChars="0"/>
              <w:rPr>
                <w:rFonts w:ascii="仿宋" w:hAnsi="仿宋" w:eastAsia="仿宋"/>
                <w:kern w:val="0"/>
                <w:szCs w:val="21"/>
              </w:rPr>
            </w:pPr>
          </w:p>
        </w:tc>
        <w:tc>
          <w:tcPr>
            <w:tcW w:w="1033" w:type="dxa"/>
            <w:vAlign w:val="center"/>
          </w:tcPr>
          <w:p>
            <w:pPr>
              <w:pStyle w:val="00002e"/>
              <w:spacing w:line="440" w:lineRule="exact"/>
              <w:ind w:firstLine="0" w:firstLineChars="0"/>
              <w:rPr>
                <w:rFonts w:ascii="仿宋" w:hAnsi="仿宋" w:eastAsia="仿宋"/>
                <w:kern w:val="0"/>
                <w:szCs w:val="21"/>
              </w:rPr>
            </w:pPr>
          </w:p>
        </w:tc>
        <w:tc>
          <w:tcPr>
            <w:tcW w:w="1031" w:type="dxa"/>
            <w:vAlign w:val="center"/>
          </w:tcPr>
          <w:p>
            <w:pPr>
              <w:pStyle w:val="00002e"/>
              <w:spacing w:line="440" w:lineRule="exact"/>
              <w:ind w:firstLine="0" w:firstLineChars="0"/>
              <w:rPr>
                <w:rFonts w:ascii="仿宋" w:hAnsi="仿宋" w:eastAsia="仿宋"/>
                <w:kern w:val="0"/>
                <w:szCs w:val="21"/>
              </w:rPr>
            </w:pPr>
          </w:p>
        </w:tc>
        <w:tc>
          <w:tcPr>
            <w:tcW w:w="1031" w:type="dxa"/>
            <w:vAlign w:val="center"/>
          </w:tcPr>
          <w:p>
            <w:pPr>
              <w:pStyle w:val="00002e"/>
              <w:spacing w:line="440" w:lineRule="exact"/>
              <w:ind w:firstLine="0" w:firstLineChars="0"/>
              <w:rPr>
                <w:rFonts w:ascii="仿宋" w:hAnsi="仿宋" w:eastAsia="仿宋"/>
                <w:kern w:val="0"/>
                <w:szCs w:val="21"/>
              </w:rPr>
            </w:pPr>
          </w:p>
        </w:tc>
        <w:tc>
          <w:tcPr>
            <w:tcW w:w="1033" w:type="dxa"/>
            <w:vAlign w:val="center"/>
          </w:tcPr>
          <w:p>
            <w:pPr>
              <w:pStyle w:val="00002e"/>
              <w:spacing w:line="440" w:lineRule="exact"/>
              <w:ind w:firstLine="0" w:firstLineChars="0"/>
              <w:rPr>
                <w:rFonts w:ascii="仿宋" w:hAnsi="仿宋" w:eastAsia="仿宋"/>
                <w:kern w:val="0"/>
                <w:szCs w:val="21"/>
              </w:rPr>
            </w:pPr>
          </w:p>
        </w:tc>
        <w:tc>
          <w:tcPr>
            <w:tcW w:w="1031" w:type="dxa"/>
            <w:vAlign w:val="center"/>
          </w:tcPr>
          <w:p>
            <w:pPr>
              <w:pStyle w:val="00002e"/>
              <w:spacing w:line="440" w:lineRule="exact"/>
              <w:ind w:firstLine="0" w:firstLineChars="0"/>
              <w:rPr>
                <w:rFonts w:ascii="仿宋" w:hAnsi="仿宋" w:eastAsia="仿宋"/>
                <w:kern w:val="0"/>
                <w:szCs w:val="21"/>
              </w:rPr>
            </w:pPr>
          </w:p>
        </w:tc>
        <w:tc>
          <w:tcPr>
            <w:tcW w:w="1031" w:type="dxa"/>
            <w:vAlign w:val="center"/>
          </w:tcPr>
          <w:p>
            <w:pPr>
              <w:pStyle w:val="00002e"/>
              <w:spacing w:line="440" w:lineRule="exact"/>
              <w:ind w:firstLine="0" w:firstLineChars="0"/>
              <w:rPr>
                <w:rFonts w:ascii="仿宋" w:hAnsi="仿宋" w:eastAsia="仿宋"/>
                <w:kern w:val="0"/>
                <w:szCs w:val="21"/>
              </w:rPr>
            </w:pPr>
          </w:p>
        </w:tc>
        <w:tc>
          <w:tcPr>
            <w:tcW w:w="1033" w:type="dxa"/>
            <w:vAlign w:val="center"/>
          </w:tcPr>
          <w:p>
            <w:pPr>
              <w:pStyle w:val="00002e"/>
              <w:spacing w:line="440" w:lineRule="exact"/>
              <w:ind w:firstLine="0" w:firstLineChars="0"/>
              <w:rPr>
                <w:rFonts w:ascii="仿宋" w:hAnsi="仿宋" w:eastAsia="仿宋"/>
                <w:kern w:val="0"/>
                <w:szCs w:val="21"/>
              </w:rPr>
            </w:pPr>
          </w:p>
        </w:tc>
      </w:tr>
    </w:tbl>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简述客户为其他企业的银行授信提供担保的情况，被担保企业简况（与客户的关系、市场地位、经营状况、资金实力、资信情况、前景等），分析和判断对外担保的质量、代偿的可能性。对外担保合法合规性，有无或有负债演变为现实负债的历史记录；目前有无因对外担保而产生的纠纷。</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【编辑框*******1000字】</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3</w:t>
      </w:r>
      <w:r>
        <w:rPr>
          <w:rFonts w:hint="eastAsia" w:ascii="仿宋" w:hAnsi="仿宋" w:eastAsia="仿宋" w:cs="仿宋"/>
          <w:i w:val="false"/>
          <w:strike w:val="false"/>
          <w:color w:val="000000"/>
          <w:kern w:val="2"/>
          <w:sz w:val="24"/>
          <w:szCs w:val="22"/>
          <w:lang w:val="en-GB" w:eastAsia="zh-CN" w:bidi="ar-SA"/>
        </w:rPr>
        <w:t>、征信查询情况</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人民银行信用征信系统查询的结果，如果查询结果与实际结果不一致，请说明原因。</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【编辑框*******1000字】</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4</w:t>
      </w:r>
      <w:r>
        <w:rPr>
          <w:rFonts w:hint="eastAsia" w:ascii="仿宋" w:hAnsi="仿宋" w:eastAsia="仿宋" w:cs="仿宋"/>
          <w:i w:val="false"/>
          <w:strike w:val="false"/>
          <w:color w:val="000000"/>
          <w:kern w:val="2"/>
          <w:sz w:val="24"/>
          <w:szCs w:val="22"/>
          <w:lang w:val="en-GB" w:eastAsia="zh-CN" w:bidi="ar-SA"/>
        </w:rPr>
        <w:t>、长期借款及其他融资情况分析</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说明长期借款、发行的票据、债券在本行、他行构成情况，年内退出银行及金额，与人行征信系统对比情况等。</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【编辑框*******1000字】</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5</w:t>
      </w:r>
      <w:r>
        <w:rPr>
          <w:rFonts w:hint="eastAsia" w:ascii="仿宋" w:hAnsi="仿宋" w:eastAsia="仿宋" w:cs="仿宋"/>
          <w:i w:val="false"/>
          <w:strike w:val="false"/>
          <w:color w:val="000000"/>
          <w:kern w:val="2"/>
          <w:sz w:val="24"/>
          <w:szCs w:val="22"/>
          <w:lang w:val="en-GB" w:eastAsia="zh-CN" w:bidi="ar-SA"/>
        </w:rPr>
        <w:t>、申请人信用状况综合评价</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描述客户的历史信用记录，包括还贷、付息以及是否有逾期记录；对有逃废债和不良信用记录的应充分揭示，综合本行、他行信用记录，评价客户的综合信用状况。</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申请人目前暂无实质性经营，尚未发生银行贷款及付息行为，故无还贷、逾期等信用记录可评估。从公开信息看，暂未发现其存在逃废债或不良信用情形，综合信用状况待实际业务开展后进一步观察。</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【编辑框*******1000字】</w:t>
      </w:r>
    </w:p>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GB" w:eastAsia="zh-CN" w:bidi="ar-SA"/>
        </w:rPr>
        <w:t>6</w:t>
      </w:r>
      <w:r>
        <w:rPr>
          <w:rFonts w:hint="eastAsia" w:ascii="仿宋" w:hAnsi="仿宋" w:eastAsia="仿宋" w:cs="仿宋"/>
          <w:i w:val="false"/>
          <w:strike w:val="false"/>
          <w:color w:val="000000"/>
          <w:kern w:val="2"/>
          <w:sz w:val="24"/>
          <w:szCs w:val="22"/>
          <w:lang w:val="en-GB" w:eastAsia="zh-CN" w:bidi="ar-SA"/>
        </w:rPr>
        <w:t>、近期其他重要银企合作事项说明</w:t>
      </w:r>
    </w:p>
    <w:tbl>
      <w:tblPr>
        <w:tblStyle w:val="000015"/>
        <w:tblW w:w="0" w:type="auto"/>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7421"/>
      </w:tblGrid>
      <w:tr>
        <w:trPr>
          <w:trHeight w:val="395" w:hRule="atLeast"/>
        </w:trPr>
        <w:tc>
          <w:tcPr>
            <w:tcW w:w="1935" w:type="dxa"/>
            <w:vMerge w:val="restart"/>
            <w:vAlign w:val="center"/>
          </w:tcPr>
          <w:p>
            <w:pPr>
              <w:pStyle w:val="00002e"/>
              <w:spacing w:line="440" w:lineRule="exact"/>
              <w:ind w:firstLine="210" w:firstLineChars="100"/>
              <w:rPr>
                <w:rFonts w:ascii="仿宋" w:hAnsi="仿宋" w:eastAsia="仿宋"/>
                <w:kern w:val="0"/>
                <w:szCs w:val="21"/>
              </w:rPr>
            </w:pPr>
            <w:r>
              <w:rPr>
                <w:rFonts w:ascii="仿宋" w:hAnsi="仿宋" w:eastAsia="仿宋"/>
                <w:kern w:val="0"/>
                <w:szCs w:val="21"/>
              </w:rPr>
              <w:t>反洗钱遵循性</w:t>
            </w:r>
          </w:p>
        </w:tc>
        <w:tc>
          <w:tcPr>
            <w:tcW w:w="7421" w:type="dxa"/>
            <w:vAlign w:val="center"/>
          </w:tcPr>
          <w:p>
            <w:pPr>
              <w:pStyle w:val="00002e"/>
              <w:spacing w:line="440" w:lineRule="exact"/>
              <w:ind w:firstLine="420"/>
              <w:rPr>
                <w:rFonts w:ascii="仿宋" w:hAnsi="仿宋" w:eastAsia="仿宋"/>
                <w:kern w:val="0"/>
                <w:szCs w:val="21"/>
              </w:rPr>
            </w:pPr>
            <w:r>
              <w:rPr>
                <w:rFonts w:ascii="仿宋" w:hAnsi="仿宋" w:eastAsia="仿宋"/>
                <w:kern w:val="0"/>
                <w:szCs w:val="21"/>
              </w:rPr>
              <w:t>反洗钱风险评估等级：</w:t>
            </w:r>
          </w:p>
        </w:tc>
      </w:tr>
      <w:tr>
        <w:trPr>
          <w:trHeight w:val="415" w:hRule="atLeast"/>
        </w:trPr>
        <w:tc>
          <w:tcPr>
            <w:tcW w:w="1935" w:type="dxa"/>
            <w:vMerge w:val="continue"/>
            <w:vAlign w:val="center"/>
          </w:tcPr>
          <w:p>
            <w:pPr>
              <w:pStyle w:val="00002e"/>
              <w:spacing w:line="440" w:lineRule="exact"/>
              <w:ind w:firstLine="420"/>
              <w:rPr>
                <w:rFonts w:ascii="仿宋" w:hAnsi="仿宋" w:eastAsia="仿宋"/>
                <w:kern w:val="0"/>
                <w:szCs w:val="21"/>
              </w:rPr>
            </w:pPr>
          </w:p>
        </w:tc>
        <w:tc>
          <w:tcPr>
            <w:tcW w:w="7421" w:type="dxa"/>
            <w:vAlign w:val="center"/>
          </w:tcPr>
          <w:p>
            <w:pPr>
              <w:pStyle w:val="00002e"/>
              <w:spacing w:line="440" w:lineRule="exact"/>
              <w:ind w:firstLine="420"/>
              <w:rPr>
                <w:rFonts w:ascii="仿宋" w:hAnsi="仿宋" w:eastAsia="仿宋"/>
                <w:kern w:val="0"/>
                <w:szCs w:val="21"/>
              </w:rPr>
            </w:pPr>
            <w:r>
              <w:rPr>
                <w:rFonts w:ascii="仿宋" w:hAnsi="仿宋" w:eastAsia="仿宋"/>
                <w:kern w:val="0"/>
                <w:szCs w:val="21"/>
              </w:rPr>
              <w:t>高风险业务申报原因及相关控制措施：</w:t>
            </w:r>
          </w:p>
        </w:tc>
      </w:tr>
      <w:tr>
        <w:trPr>
          <w:trHeight w:val="557" w:hRule="atLeast"/>
        </w:trPr>
        <w:tc>
          <w:tcPr>
            <w:tcW w:w="1935" w:type="dxa"/>
            <w:vMerge w:val="restart"/>
            <w:vAlign w:val="center"/>
          </w:tcPr>
          <w:p>
            <w:pPr>
              <w:pStyle w:val="00002e"/>
              <w:spacing w:line="440" w:lineRule="exact"/>
              <w:ind w:firstLine="0" w:firstLineChars="0"/>
              <w:rPr>
                <w:rFonts w:ascii="仿宋" w:hAnsi="仿宋" w:eastAsia="仿宋"/>
                <w:kern w:val="0"/>
                <w:szCs w:val="21"/>
              </w:rPr>
            </w:pPr>
            <w:r>
              <w:rPr>
                <w:rFonts w:ascii="仿宋" w:hAnsi="仿宋" w:eastAsia="仿宋"/>
                <w:kern w:val="0"/>
                <w:szCs w:val="21"/>
              </w:rPr>
              <w:t>是否存在恐怖融资、金融制裁</w:t>
            </w:r>
          </w:p>
        </w:tc>
        <w:tc>
          <w:tcPr>
            <w:tcW w:w="7421" w:type="dxa"/>
            <w:vAlign w:val="center"/>
          </w:tcPr>
          <w:p>
            <w:pPr>
              <w:pStyle w:val="00002e"/>
              <w:spacing w:line="440" w:lineRule="exact"/>
              <w:ind w:firstLine="420"/>
              <w:rPr>
                <w:rFonts w:ascii="仿宋" w:hAnsi="仿宋" w:eastAsia="仿宋"/>
                <w:kern w:val="0"/>
                <w:szCs w:val="21"/>
              </w:rPr>
            </w:pPr>
            <w:r>
              <w:rPr>
                <w:rFonts w:ascii="仿宋" w:hAnsi="仿宋" w:eastAsia="仿宋"/>
                <w:kern w:val="0"/>
                <w:szCs w:val="21"/>
              </w:rPr>
              <w:t>□是；申报理由及风险控制措施为：</w:t>
            </w:r>
          </w:p>
        </w:tc>
      </w:tr>
      <w:tr>
        <w:trPr>
          <w:trHeight w:val="357" w:hRule="atLeast"/>
        </w:trPr>
        <w:tc>
          <w:tcPr>
            <w:tcW w:w="1935" w:type="dxa"/>
            <w:vMerge w:val="continue"/>
            <w:vAlign w:val="center"/>
          </w:tcPr>
          <w:p>
            <w:pPr>
              <w:pStyle w:val="00002e"/>
              <w:spacing w:line="440" w:lineRule="exact"/>
              <w:ind w:firstLine="420"/>
              <w:rPr>
                <w:rFonts w:ascii="仿宋" w:hAnsi="仿宋" w:eastAsia="仿宋"/>
                <w:kern w:val="0"/>
                <w:szCs w:val="21"/>
              </w:rPr>
            </w:pPr>
          </w:p>
        </w:tc>
        <w:tc>
          <w:tcPr>
            <w:tcW w:w="7421" w:type="dxa"/>
            <w:vAlign w:val="center"/>
          </w:tcPr>
          <w:p>
            <w:pPr>
              <w:pBdr>
                <w:bottom w:val="none" w:color="auto" w:sz="0" w:space="0"/>
              </w:pBdr>
              <w:snapToGrid/>
              <w:spacing w:before="0" w:after="0" w:line="240" w:lineRule="auto"/>
              <w:ind w:left="0" w:right="0"/>
              <w:jc w:val="both"/>
              <w:rPr>
                <w:rFonts w:ascii="仿宋" w:hAnsi="仿宋" w:eastAsia="仿宋"/>
                <w:kern w:val="0"/>
                <w:szCs w:val="21"/>
              </w:rPr>
            </w:pPr>
            <w:r>
              <w:rPr>
                <w:rFonts w:ascii="仿宋" w:hAnsi="仿宋" w:eastAsia="仿宋" w:cs="仿宋"/>
                <w:i w:val="false"/>
                <w:strike w:val="false"/>
                <w:color w:val="000000"/>
                <w:sz w:val="21"/>
                <w:u w:val="none"/>
              </w:rPr>
              <w:t xml:space="preserve">    ☑</w:t>
            </w:r>
            <w:r>
              <w:rPr>
                <w:rFonts w:ascii="仿宋" w:hAnsi="仿宋" w:eastAsia="仿宋"/>
                <w:kern w:val="0"/>
                <w:szCs w:val="21"/>
              </w:rPr>
              <w:t>否</w:t>
            </w:r>
          </w:p>
        </w:tc>
      </w:tr>
    </w:tbl>
    <w:p>
      <w:pPr>
        <w:pStyle w:val="00002e"/>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firstLine="420"/>
        <w:jc w:val="left"/>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请提供反洗钱风险评估等级，如为高风险，需说明业务申报原因及相关控制措施。请补充是否存在恐怖融资和金融制裁风险，如存在，需说明申报理由及风险控制措施。</w:t>
      </w:r>
    </w:p>
    <w:p>
      <w:pPr>
        <w:keepNext w:val="false"/>
        <w:keepLines w:val="false"/>
        <w:pageBreakBefore w:val="false"/>
        <w:widowControl w:val="false"/>
        <w:numPr>
          <w:ilvl w:val="0"/>
          <w:numId w:val="0"/>
        </w:numPr>
        <w:tabs>
          <w:tab w:val="left" w:pos="142"/>
        </w:tabs>
        <w:kinsoku/>
        <w:wordWrap/>
        <w:overflowPunct/>
        <w:topLinePunct/>
        <w:autoSpaceDE w:val="false"/>
        <w:autoSpaceDN/>
        <w:bidi w:val="false"/>
        <w:adjustRightInd/>
        <w:snapToGrid/>
        <w:spacing w:before="157" w:beforeLines="50" w:after="157" w:afterLines="50" w:line="440" w:lineRule="exact"/>
        <w:ind w:left="0" w:leftChars="0" w:right="0" w:rightChars="0" w:firstLine="0" w:firstLineChars="0"/>
        <w:jc w:val="center"/>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【编辑框*******1000字】</w:t>
      </w:r>
    </w:p>
    <w:p>
      <w:pPr>
        <w:rPr/>
      </w:pPr>
      <w:r>
        <w:rPr/>
        <w:br w:type="page"/>
      </w:r>
    </w:p>
    <w:p>
      <w:pPr>
        <w:pStyle w:val="000002"/>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t>四、项目分析</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bookmarkStart w:id="4" w:name="_Hlk165206759"/>
      <w:r>
        <w:rPr>
          <w:rFonts w:hint="eastAsia" w:ascii="仿宋" w:hAnsi="仿宋" w:eastAsia="仿宋" w:cs="仿宋"/>
          <w:b/>
          <w:bCs/>
          <w:kern w:val="2"/>
          <w:sz w:val="24"/>
          <w:szCs w:val="24"/>
          <w:lang w:val="en-US" w:eastAsia="zh-CN" w:bidi="ar-SA"/>
        </w:rPr>
        <w:t>（一）项目概况</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1、项目内容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河南大成包装材料有限公司源网荷储一体化项目</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US" w:eastAsia="zh-CN" w:bidi="ar-SA"/>
        </w:rPr>
        <w:t>2、</w:t>
      </w:r>
      <w:r>
        <w:rPr>
          <w:rFonts w:hint="eastAsia" w:ascii="仿宋" w:hAnsi="仿宋" w:eastAsia="仿宋" w:cs="仿宋"/>
          <w:i w:val="false"/>
          <w:strike w:val="false"/>
          <w:color w:val="000000"/>
          <w:kern w:val="2"/>
          <w:sz w:val="24"/>
          <w:szCs w:val="22"/>
          <w:lang w:val="en-GB" w:eastAsia="zh-CN" w:bidi="ar-SA"/>
        </w:rPr>
        <w:t>建设单位</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GB" w:eastAsia="zh-CN" w:bidi="ar-SA"/>
        </w:rPr>
      </w:pPr>
      <w:r>
        <w:rPr>
          <w:rFonts w:hint="default" w:ascii="仿宋" w:hAnsi="仿宋" w:eastAsia="仿宋" w:cs="仿宋"/>
          <w:i w:val="false"/>
          <w:strike w:val="false"/>
          <w:color w:val="000000"/>
          <w:kern w:val="2"/>
          <w:sz w:val="24"/>
          <w:szCs w:val="22"/>
          <w:lang w:val="en-US" w:eastAsia="zh-CN" w:bidi="ar-SA"/>
        </w:rPr>
        <w:t>本项目</w:t>
      </w:r>
      <w:r>
        <w:rPr>
          <w:rFonts w:hint="eastAsia" w:ascii="仿宋" w:hAnsi="仿宋" w:eastAsia="仿宋" w:cs="仿宋"/>
          <w:i w:val="false"/>
          <w:strike w:val="false"/>
          <w:color w:val="000000"/>
          <w:kern w:val="2"/>
          <w:sz w:val="24"/>
          <w:szCs w:val="22"/>
          <w:lang w:val="en-US" w:eastAsia="zh-CN" w:bidi="ar-SA"/>
        </w:rPr>
        <w:t>由河南中原智慧冷链物流园管理运营有限公司</w:t>
      </w:r>
      <w:r>
        <w:rPr>
          <w:rFonts w:hint="default" w:ascii="仿宋" w:hAnsi="仿宋" w:eastAsia="仿宋" w:cs="仿宋"/>
          <w:i w:val="false"/>
          <w:strike w:val="false"/>
          <w:color w:val="000000"/>
          <w:kern w:val="2"/>
          <w:sz w:val="24"/>
          <w:szCs w:val="22"/>
          <w:lang w:val="en-US" w:eastAsia="zh-CN" w:bidi="ar-SA"/>
        </w:rPr>
        <w:t>承建，河南中原智慧冷链物流园管理运营有限公司成立于2021年12月2日，注册资金100万元人民币，为有限责任公司，</w:t>
      </w:r>
      <w:r>
        <w:rPr>
          <w:rFonts w:hint="eastAsia" w:ascii="仿宋" w:hAnsi="仿宋" w:eastAsia="仿宋" w:cs="仿宋"/>
          <w:i w:val="false"/>
          <w:strike w:val="false"/>
          <w:color w:val="000000"/>
          <w:kern w:val="2"/>
          <w:sz w:val="24"/>
          <w:szCs w:val="22"/>
          <w:lang w:val="en-US" w:eastAsia="zh-CN" w:bidi="ar-SA"/>
        </w:rPr>
        <w:t>股东为获嘉县产业集聚区运营发展服务有限公司持股100%</w:t>
      </w:r>
      <w:r>
        <w:rPr>
          <w:rFonts w:hint="default" w:ascii="仿宋" w:hAnsi="仿宋" w:eastAsia="仿宋" w:cs="仿宋"/>
          <w:i w:val="false"/>
          <w:strike w:val="false"/>
          <w:color w:val="000000"/>
          <w:kern w:val="2"/>
          <w:sz w:val="24"/>
          <w:szCs w:val="22"/>
          <w:lang w:val="en-US" w:eastAsia="zh-CN" w:bidi="ar-SA"/>
        </w:rPr>
        <w:t>，实际控制人是获嘉县产业集聚区运营发展服务有限公司，主营业务为：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US" w:eastAsia="zh-CN" w:bidi="ar-SA"/>
        </w:rPr>
        <w:t>3、</w:t>
      </w:r>
      <w:r>
        <w:rPr>
          <w:rFonts w:hint="eastAsia" w:ascii="仿宋" w:hAnsi="仿宋" w:eastAsia="仿宋" w:cs="仿宋"/>
          <w:i w:val="false"/>
          <w:strike w:val="false"/>
          <w:color w:val="000000"/>
          <w:kern w:val="2"/>
          <w:sz w:val="24"/>
          <w:szCs w:val="22"/>
          <w:lang w:val="en-GB" w:eastAsia="zh-CN" w:bidi="ar-SA"/>
        </w:rPr>
        <w:t>建设地点</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本项位于新乡市获嘉县先进制造业开发区梧桐路与安王公路交叉口东南角。</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4、建设规模及内容</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本项目在获嘉县产业集聚区创业孵化园区内工业厂房屋顶部署5956KW的分布式光伏发电系统，并配套安装用户侧储能设施，总规模达到20MW/40MWh。此外，项目规划安装5个光伏充电桩，并同步实施园区其他相关配套工程。通过源网荷储一体化方案，项目所产出的新能源电力将直供给大成包装使用。</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项目规划利用获嘉县产业集聚区中小企业创业孵化园项目屋顶面积为31530.09㎡，园区内可使用道路区域面积为12267.68㎡，合计可使用面积为42807.95㎡。</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5、建设工期</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本项目从前期咨询阶段到到竣工交付使用，工期计划安排0.5年。</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6、项目总投资</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总投资8767.59万元，其中项目工程费用7902.57万元，占总投资的90.13%；工程建设其它费用372.52万元，占总投资的4.25%；预备费413.75万元，占总投资的4.72%；建设期利息78.75万元，占总投资的0.90%。项目投资构成如下表所示：</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0" w:firstLineChars="0"/>
        <w:jc w:val="center"/>
        <w:textAlignment w:val="auto"/>
        <w:outlineLvl w:val="9"/>
        <w:rPr>
          <w:rFonts w:hint="eastAsia" w:ascii="仿宋" w:hAnsi="仿宋" w:eastAsia="仿宋" w:cs="仿宋"/>
          <w:b/>
          <w:bCs/>
          <w:i w:val="false"/>
          <w:strike w:val="false"/>
          <w:color w:val="000000"/>
          <w:kern w:val="2"/>
          <w:sz w:val="24"/>
          <w:szCs w:val="22"/>
          <w:lang w:val="en-US" w:eastAsia="zh-CN" w:bidi="ar-SA"/>
        </w:rPr>
      </w:pPr>
      <w:r>
        <w:rPr>
          <w:rFonts w:hint="eastAsia" w:ascii="仿宋" w:hAnsi="仿宋" w:eastAsia="仿宋" w:cs="仿宋"/>
          <w:b/>
          <w:bCs/>
          <w:i w:val="false"/>
          <w:strike w:val="false"/>
          <w:color w:val="000000"/>
          <w:kern w:val="2"/>
          <w:sz w:val="24"/>
          <w:szCs w:val="22"/>
          <w:lang w:val="en-US" w:eastAsia="zh-CN" w:bidi="ar-SA"/>
        </w:rPr>
        <w:t>项目投资构成一览表</w:t>
      </w:r>
    </w:p>
    <w:tbl>
      <w:tblPr>
        <w:tblStyle w:val="0000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比例（%）</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7902.57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90.13%</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19.48%</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5099.70</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58.16%</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1094.22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12.48%</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372.52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4.25%</w:t>
            </w:r>
          </w:p>
        </w:tc>
      </w:tr>
      <w:tr>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413.75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4.72%</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78.75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0.90%</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100.00%</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100.00%</w:t>
            </w:r>
          </w:p>
        </w:tc>
      </w:tr>
    </w:tbl>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7、项目资金筹措计划</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在资金筹措方面，项目总投资由资本金和项目融资或其他债务性资金两部分构成，一是资本金1767.59万元，占总投资的20.16%，二是项目融资、企业自筹资金或者其他债务性资金7000.00万元，占总投资的79.84%。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8、项目定性</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本项目精准定位为新能源源网荷储一体化标杆项目，专为河南大成包装材料有限公司定制绿色电力能源服务方案。</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default"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9、项目运营模式</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河南大成包装材料有限公司源网荷储一体化项目，由河南中原智慧冷链物流园管理运营有限公司全面负责其资金筹措、建设实施及日常运营。</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投产运营后主要收入为光伏售电收入、储能峰谷套利收入及光储充电桩收入。本项目所产出绿色电能利用“源网荷储”模式全部出售给距离项目2公里的河南大成包装材料有限公司使用，同时配合储能进行调峰。项目所出售电力价格远远低于商业及工业使用电网价格，优势较大，项目投资回报稳定。</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该项目创新性地整合光伏发电、储能调峰与用电需求，实现按需直供新能源绿色电力。此运营模式不仅为大成包装企业提供安全、稳定、环保且成本效益高的电力解决方案，助力企业成本控制与转型升级，还积极促进了我国“双碳”目标的实现，展现了显著的环保与经济效益。</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（二）项目总投资及资金筹措计划</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总投资8767.59万元，其中项目工程费用7902.57万元，占总投资的90.13%；工程建设其它费用372.52万元，占总投资的4.25%；预备费413.75万元，占总投资的4.72%；建设期利息78.75万元，占总投资的0.90%。项目投资构成如下表所示:</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0" w:firstLineChars="0"/>
        <w:jc w:val="center"/>
        <w:textAlignment w:val="auto"/>
        <w:outlineLvl w:val="9"/>
        <w:rPr>
          <w:rFonts w:hint="eastAsia" w:ascii="仿宋" w:hAnsi="仿宋" w:eastAsia="仿宋" w:cs="仿宋"/>
          <w:b/>
          <w:bCs/>
          <w:i w:val="false"/>
          <w:strike w:val="false"/>
          <w:color w:val="000000"/>
          <w:kern w:val="2"/>
          <w:sz w:val="24"/>
          <w:szCs w:val="22"/>
          <w:lang w:val="en-US" w:eastAsia="zh-CN" w:bidi="ar-SA"/>
        </w:rPr>
      </w:pPr>
      <w:r>
        <w:rPr>
          <w:rFonts w:hint="eastAsia" w:ascii="仿宋" w:hAnsi="仿宋" w:eastAsia="仿宋" w:cs="仿宋"/>
          <w:b/>
          <w:bCs/>
          <w:i w:val="false"/>
          <w:strike w:val="false"/>
          <w:color w:val="000000"/>
          <w:kern w:val="2"/>
          <w:sz w:val="24"/>
          <w:szCs w:val="22"/>
          <w:lang w:val="en-US" w:eastAsia="zh-CN" w:bidi="ar-SA"/>
        </w:rPr>
        <w:t>项目投资构成一览表</w:t>
      </w:r>
    </w:p>
    <w:tbl>
      <w:tblPr>
        <w:tblStyle w:val="0000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trPr>
          <w:trHeight w:val="874" w:hRule="atLeast"/>
          <w:tblHeader/>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b/>
                <w:bCs/>
              </w:rPr>
            </w:pPr>
            <w:r>
              <w:rPr>
                <w:rFonts w:hint="eastAsia" w:ascii="仿宋" w:hAnsi="仿宋" w:eastAsia="仿宋" w:cs="仿宋"/>
                <w:b/>
                <w:bCs/>
              </w:rPr>
              <w:t>比例（%）</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7902.57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90.13%</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19.48%</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5099.70</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58.16%</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1094.22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12.48%</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372.52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4.25%</w:t>
            </w:r>
          </w:p>
        </w:tc>
      </w:tr>
      <w:tr>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413.75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4.72%</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78.75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0.90%</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100.00%</w:t>
            </w:r>
          </w:p>
        </w:tc>
      </w:tr>
      <w:tr>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pPr>
              <w:jc w:val="center"/>
              <w:rPr>
                <w:rFonts w:hint="eastAsia" w:ascii="仿宋" w:hAnsi="仿宋" w:eastAsia="仿宋" w:cs="仿宋"/>
              </w:rPr>
            </w:pPr>
            <w:r>
              <w:rPr>
                <w:rFonts w:hint="eastAsia" w:ascii="仿宋" w:hAnsi="仿宋" w:eastAsia="仿宋" w:cs="仿宋"/>
              </w:rPr>
              <w:t>100.00%</w:t>
            </w:r>
          </w:p>
        </w:tc>
      </w:tr>
    </w:tbl>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在资金筹措方面，项目总投资由资本金和项目融资或其他债务性资金两部分构成，一是资本金1767.59万元，占总投资的20.16%，二是项目融资、企业自筹资金或者其他债务性资金7000.00万元，占总投资的79.84%。</w:t>
      </w:r>
    </w:p>
    <w:p>
      <w:pPr>
        <w:keepNext w:val="false"/>
        <w:keepLines w:val="false"/>
        <w:pageBreakBefore w:val="false"/>
        <w:widowControl w:val="false"/>
        <w:pBdr>
          <w:bottom w:val="none" w:color="auto" w:sz="0" w:space="0"/>
        </w:pBdr>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0" w:firstLineChars="0"/>
        <w:jc w:val="center"/>
        <w:textAlignment w:val="auto"/>
        <w:outlineLvl w:val="9"/>
        <w:rPr>
          <w:rFonts w:hint="eastAsia" w:ascii="仿宋" w:hAnsi="仿宋" w:eastAsia="仿宋" w:cs="仿宋"/>
          <w:b/>
          <w:bCs/>
          <w:i w:val="false"/>
          <w:strike w:val="false"/>
          <w:color w:val="000000"/>
          <w:kern w:val="2"/>
          <w:sz w:val="24"/>
          <w:szCs w:val="22"/>
          <w:lang w:val="en-US" w:eastAsia="zh-CN" w:bidi="ar-SA"/>
        </w:rPr>
      </w:pPr>
      <w:bookmarkEnd w:id="4"/>
      <w:r>
        <w:rPr>
          <w:rFonts w:hint="eastAsia" w:ascii="仿宋" w:hAnsi="仿宋" w:eastAsia="仿宋" w:cs="仿宋"/>
          <w:b/>
          <w:bCs/>
          <w:i w:val="false"/>
          <w:strike w:val="false"/>
          <w:color w:val="000000"/>
          <w:kern w:val="2"/>
          <w:sz w:val="24"/>
          <w:szCs w:val="22"/>
          <w:lang w:val="en-US" w:eastAsia="zh-CN" w:bidi="ar-SA"/>
        </w:rPr>
        <w:t>具体投资估算表如下：</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440" w:lineRule="exact"/>
        <w:ind w:left="0" w:firstLine="42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t xml:space="preserve">                                                                   </w:t>
      </w:r>
      <w:r>
        <w:rPr>
          <w:rFonts w:hint="eastAsia" w:ascii="仿宋" w:hAnsi="仿宋" w:eastAsia="仿宋" w:cs="仿宋"/>
          <w:i w:val="false"/>
          <w:strike w:val="false"/>
          <w:color w:val="000000"/>
          <w:kern w:val="2"/>
          <w:sz w:val="24"/>
          <w:szCs w:val="22"/>
          <w:lang w:val="en-US" w:eastAsia="zh-CN" w:bidi="ar-SA"/>
        </w:rPr>
        <w:t>单位：万元</w:t>
      </w:r>
    </w:p>
    <w:tbl>
      <w:tblPr>
        <w:tblStyle w:val="00002b"/>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820"/>
        <w:gridCol w:w="1585"/>
        <w:gridCol w:w="823"/>
        <w:gridCol w:w="1482"/>
        <w:gridCol w:w="1564"/>
      </w:tblGrid>
      <w:tr>
        <w:trPr>
          <w:trHeight w:val="550" w:hRule="atLeast"/>
          <w:tblHeader/>
        </w:trPr>
        <w:tc>
          <w:tcPr>
            <w:tcW w:w="6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序号</w:t>
            </w:r>
          </w:p>
        </w:tc>
        <w:tc>
          <w:tcPr>
            <w:tcW w:w="282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工程或费用名称</w:t>
            </w:r>
          </w:p>
        </w:tc>
        <w:tc>
          <w:tcPr>
            <w:tcW w:w="158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合计</w:t>
            </w:r>
          </w:p>
        </w:tc>
        <w:tc>
          <w:tcPr>
            <w:tcW w:w="823"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单位</w:t>
            </w:r>
          </w:p>
        </w:tc>
        <w:tc>
          <w:tcPr>
            <w:tcW w:w="1482"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数量</w:t>
            </w:r>
          </w:p>
        </w:tc>
        <w:tc>
          <w:tcPr>
            <w:tcW w:w="1564"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综合单价（万元）</w:t>
            </w:r>
          </w:p>
        </w:tc>
      </w:tr>
      <w:tr>
        <w:trPr>
          <w:trHeight w:val="24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一</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工程费用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7902.57</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90.13%</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光伏组件</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1708.65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KW</w:t>
            </w:r>
          </w:p>
        </w:tc>
        <w:tc>
          <w:tcPr>
            <w:tcW w:w="1482"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5956</w:t>
            </w:r>
          </w:p>
        </w:tc>
        <w:tc>
          <w:tcPr>
            <w:tcW w:w="1564"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0.287</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640Wp单晶N型</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882.272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块</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11168.00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0.079</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逆变器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57.00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1.420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交流汇流箱</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9.32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9.00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1.036</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光伏支架及配件</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157.03</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87.29</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1.799</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光伏直流电缆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5.500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MC4连接器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1.32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套</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610.00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0.022</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1.7</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交流电缆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147.62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8.10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18.225</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1.8</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干式变压器（箱变)</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25.26</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20.260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1.9</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光伏接入柜</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5.13</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5.132</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并网柜</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5.000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站用变电柜</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4.71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4.711</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10kV动态无功补偿装置</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39.07</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35.000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高压电缆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82.51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41.300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土建基础</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96.75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项</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80.250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组件、电气安装、辅材等</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160.65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KW</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5950.00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0.027</w:t>
            </w:r>
          </w:p>
        </w:tc>
      </w:tr>
      <w:tr>
        <w:trPr>
          <w:trHeight w:val="3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电池储能集装箱</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5099.7</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KWH</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40000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0.127</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电池系统5000KWH</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3200.5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432.50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储能变流器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370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50.00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集装箱柜体</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温控系统</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148</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20.00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消防系统</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储能EMS</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370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50.00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2.7</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附件</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59.2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8.00</w:t>
            </w:r>
          </w:p>
        </w:tc>
      </w:tr>
      <w:tr>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2.8</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储能箱基础及连接电缆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130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25.00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2.9</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15KWH换电系统(3000KWH)</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600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3.00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园区配套工程</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1094.22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5551.3</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0.227</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升压/降压变压器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中压输电电缆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3000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0.05</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绿化等相关配套工程</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41.84</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132</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0.317</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10kv储能变电站</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247.38</w:t>
            </w:r>
          </w:p>
        </w:tc>
        <w:tc>
          <w:tcPr>
            <w:tcW w:w="823"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179</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1.382</w:t>
            </w:r>
          </w:p>
        </w:tc>
      </w:tr>
      <w:tr>
        <w:trPr>
          <w:trHeight w:val="634"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中心配电室变压器2000KVA</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25</w:t>
            </w:r>
          </w:p>
        </w:tc>
        <w:tc>
          <w:tcPr>
            <w:tcW w:w="823"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25</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光伏充电桩（600kw液冷）</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550</w:t>
            </w:r>
          </w:p>
        </w:tc>
        <w:tc>
          <w:tcPr>
            <w:tcW w:w="823"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二</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工程建设其他费用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372.52</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4.25%</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建设管理费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39.51</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建设工程监理费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47.42</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建设项目前期工作咨询费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39.51</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工程勘察费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26.17</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屋顶荷载检测费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15.64</w:t>
            </w:r>
          </w:p>
        </w:tc>
        <w:tc>
          <w:tcPr>
            <w:tcW w:w="823"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c>
          <w:tcPr>
            <w:tcW w:w="1482"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c>
          <w:tcPr>
            <w:tcW w:w="1564"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工程设计费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79.03</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环境影响咨询服务费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7.90</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403"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8</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场地准备费及临时设施费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43.46</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9</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工程保险费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23.30</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10</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招标代理服务费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26.87</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11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造价咨询费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23.71</w:t>
            </w:r>
          </w:p>
        </w:tc>
        <w:tc>
          <w:tcPr>
            <w:tcW w:w="823"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c>
          <w:tcPr>
            <w:tcW w:w="1482"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c>
          <w:tcPr>
            <w:tcW w:w="1564"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三</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预备费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413.75</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4.72%</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基本预备费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413.75</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4"/>
                <w:u w:val="none"/>
                <w:vertAlign w:val="baseline"/>
              </w:rPr>
              <w:t>（一+二）*5%</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3.2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i w:val="false"/>
                <w:strike w:val="false"/>
                <w:color w:val="000000"/>
                <w:spacing w:val="0"/>
                <w:sz w:val="16"/>
                <w:u w:val="none"/>
                <w:vertAlign w:val="baseline"/>
              </w:rPr>
              <w:t>涨价预备费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四</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建设投资合计</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8688.84</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99.10%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五</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建设期利息</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78.75</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0.90%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六</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固定资产投资</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8767.59</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100.00%</w:t>
            </w:r>
          </w:p>
        </w:tc>
      </w:tr>
      <w:tr>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七</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项目总投资</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6"/>
                <w:u w:val="none"/>
                <w:vertAlign w:val="baseline"/>
              </w:rPr>
              <w:t>8767.59</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snapToGrid/>
              <w:spacing w:before="0" w:after="0" w:line="240" w:lineRule="auto"/>
              <w:ind w:left="0" w:right="0"/>
              <w:jc w:val="center"/>
              <w:rPr>
                <w:rFonts w:hint="eastAsia" w:ascii="仿宋" w:hAnsi="仿宋" w:eastAsia="仿宋" w:cs="仿宋"/>
              </w:rPr>
            </w:pPr>
            <w:r>
              <w:rPr>
                <w:rFonts w:hint="eastAsia" w:ascii="仿宋" w:hAnsi="仿宋" w:eastAsia="仿宋" w:cs="仿宋"/>
                <w:b/>
                <w:i w:val="false"/>
                <w:strike w:val="false"/>
                <w:color w:val="000000"/>
                <w:spacing w:val="0"/>
                <w:sz w:val="14"/>
                <w:u w:val="none"/>
                <w:vertAlign w:val="baseline"/>
              </w:rPr>
              <w:t>100.00%</w:t>
            </w:r>
          </w:p>
        </w:tc>
      </w:tr>
    </w:tbl>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项目投资主要是固定资产投资，其中固定资产投资由工程费用、工程建设其他费用、预备费、建设期利息四部分组成，详细情况如下。</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1、工程费用</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（1）设备购置费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光伏设备：该项目设备主要640Wp单晶N型、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储能设备：电池系统5000KWH、储能变流器、集装箱柜体、温控系统、消防系统、储能EMS、15KWH换电系统(3000KWH)、储能箱基础及连接电缆及其他附件设备。预计费用5099.70万元。</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（2）园区配套工程</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该项目室外工程主要包括：升压/降压变压器、中压输电电缆、绿化等相关配套工程、10kv储能变电站、中心配电室变压器2000KVA、光伏充电桩（600kw液冷）其中包含充电桩单桩价格65万元，单桩光伏车棚及储能模块合计价格约为45万元，预计总费用1094.22万元。</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2、工程建设其他费用</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本项目工程其他费用包括建设单位管理费、建设工程监理费、建设项目前期咨询费、工程勘察费、工程设计费、环境影响咨询服务费、场地准备及临时设施费、工程保险费、招标代理费、工程造价咨询费、屋顶荷载检测费等。具体情况如下：</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（1）建设单位管理费：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根据财建(2016)504号文结合实际情况计取按39.51万元计入。</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（2）建设工程监理费：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根据发改价格（2015）299号、豫建监协（2015）19号文并结合实际情况按47.42万元计取。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（3）建设项目前期工作咨询费：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根据参考豫发改收费[2011]627号并结合实际情况按39.51万元计取。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（4）工程勘察费：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根据国家计委、根据发改价格[2015]299号文并结合实际情况按26.17万元计取。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（5）工程设计费：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根据国家计委、建设部计价格（2002）10号文及发改价格[2015]299号文并结合实际情况按79.03万元计取。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（6）环境影响咨询服务费：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根据发改价格[2015]299号及发改收费[2011]627号文并结合实际情况按7.90万元计取。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（7）场地准备费及临时设施费：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根据《市政工程投资估算编制办法》（建标〔2007〕164号）文并结合实际情况按43.46万元计取。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（8）工程保险费：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根据《保险法》《合同法》法律法规规定并结合实际情况按23.30万元计取。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（9）招标代理服务费：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根据参考豫发改收费[2011]627号文并结合市场情况按26.87万元计取。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（10）工程造价咨询费：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根据中价协〔2013〕35号文并结合实际情况按23.71万元计取。</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（11）屋顶荷载检测费</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根据《关于规范房屋安全鉴定收费的通知》和《房屋安全鉴定收费标准》文件要求并结合实际情况按15.64万元。</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3、项目收入、成本费用及还款计划</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（1）项目收入</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本项目建成后收入由光伏收入、储能电站收入及光储充电桩收入三部分构成。</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①光伏发电收入</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数量：本项目采用“源网荷储模式”，结合企业河南大成包装材料有限公司年用电量4752万kWh，即年平均用电负荷为44MW左右，,该企业距本项目光伏电站2公里左右（小于20公），根据测算，光伏电站每年发电量为718.07万kWh（3.349kWh/kWp/天*5956kWp*360天），考虑到该企业是24小时生产，白天平谷时段用电1425.60万kWh，本项目光伏发电将直接由该企业100%消纳。</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衰减值：光伏发电首年衰减值为1%，剩余每年衰减值为0.4%。</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bCs/>
          <w:szCs w:val="21"/>
        </w:rPr>
      </w:pPr>
      <w:r>
        <w:rPr>
          <w:rFonts w:hint="eastAsia" w:ascii="仿宋" w:hAnsi="仿宋" w:eastAsia="仿宋" w:cs="仿宋"/>
          <w:i w:val="false"/>
          <w:strike w:val="false"/>
          <w:color w:val="000000"/>
          <w:kern w:val="2"/>
          <w:sz w:val="24"/>
          <w:szCs w:val="22"/>
          <w:lang w:val="en-US" w:eastAsia="zh-CN" w:bidi="ar-SA"/>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Atlas太阳能资源分析软件进行计算，如下图所示，1KW光伏装机容量每日发电量为3.349kWh/kWp/天,本项目预计年发电量3.349kWh/kWp/天*5956kWp*360天=718.07万kWh。</w:t>
      </w:r>
      <w:r>
        <w:rPr>
          <w:rFonts w:hint="eastAsia" w:ascii="仿宋" w:hAnsi="仿宋" w:eastAsia="仿宋" w:cs="仿宋"/>
          <w:bCs/>
          <w:szCs w:val="21"/>
        </w:rPr>
        <w:drawing>
          <wp:inline distT="0" distB="0" distL="0" distR="0">
            <wp:extent cx="5759450" cy="2684145"/>
            <wp:effectExtent l="0" t="0" r="0" b="0"/>
            <wp:docPr id="8" name="picture" descr="descript"/>
            <wp:cNvGraphicFramePr/>
            <a:graphic>
              <a:graphicData uri="http://schemas.openxmlformats.org/drawingml/2006/picture">
                <pic:pic>
                  <pic:nvPicPr>
                    <pic:cNvPr id="9" name="picture" descr="descript"/>
                    <pic:cNvPicPr/>
                  </pic:nvPicPr>
                  <pic:blipFill>
                    <a:blip r:embed="rId7"/>
                    <a:stretch>
                      <a:fillRect/>
                    </a:stretch>
                  </pic:blipFill>
                  <pic:spPr>
                    <a:xfrm>
                      <a:off x="0" y="0"/>
                      <a:ext cx="5759450" cy="2684419"/>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20" w:firstLineChars="200"/>
        <w:textAlignment w:val="auto"/>
        <w:outlineLvl w:val="9"/>
        <w:rPr>
          <w:rFonts w:hint="eastAsia" w:ascii="仿宋" w:hAnsi="仿宋" w:eastAsia="仿宋" w:cs="仿宋"/>
          <w:bCs/>
          <w:sz w:val="24"/>
          <w:szCs w:val="24"/>
        </w:rPr>
      </w:pPr>
      <w:r>
        <w:rPr>
          <w:rFonts w:hint="eastAsia" w:ascii="仿宋" w:hAnsi="仿宋" w:eastAsia="仿宋" w:cs="仿宋"/>
          <w:bCs/>
          <w:szCs w:val="21"/>
        </w:rPr>
        <w:drawing>
          <wp:anchor distT="0" distB="0" distL="0" distR="0" simplePos="false" relativeHeight="251661312" behindDoc="false" locked="false" layoutInCell="true" allowOverlap="true">
            <wp:simplePos x="0" y="0"/>
            <wp:positionH relativeFrom="column">
              <wp:posOffset>-28575</wp:posOffset>
            </wp:positionH>
            <wp:positionV relativeFrom="paragraph">
              <wp:posOffset>2078355</wp:posOffset>
            </wp:positionV>
            <wp:extent cx="5759450" cy="2742565"/>
            <wp:effectExtent l="0" t="0" r="12700" b="635"/>
            <wp:wrapTopAndBottom/>
            <wp:docPr id="11" name="picture" descr="descript"/>
            <wp:cNvGraphicFramePr/>
            <a:graphic>
              <a:graphicData uri="http://schemas.openxmlformats.org/drawingml/2006/picture">
                <pic:pic>
                  <pic:nvPicPr>
                    <pic:cNvPr id="12" name="picture" descr="descript"/>
                    <pic:cNvPicPr/>
                  </pic:nvPicPr>
                  <pic:blipFill>
                    <a:blip r:embed="rId8"/>
                    <a:stretch>
                      <a:fillRect/>
                    </a:stretch>
                  </pic:blipFill>
                  <pic:spPr>
                    <a:xfrm>
                      <a:off x="0" y="0"/>
                      <a:ext cx="5759450" cy="2742595"/>
                    </a:xfrm>
                    <a:prstGeom prst="rect">
                      <a:avLst/>
                    </a:prstGeom>
                  </pic:spPr>
                </pic:pic>
              </a:graphicData>
            </a:graphic>
          </wp:anchor>
        </w:drawing>
      </w:r>
      <w:r>
        <w:rPr>
          <w:rFonts w:hint="eastAsia" w:ascii="仿宋" w:hAnsi="仿宋" w:eastAsia="仿宋" w:cs="仿宋"/>
          <w:bCs/>
          <w:sz w:val="24"/>
          <w:szCs w:val="24"/>
        </w:rPr>
        <w:t>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0.724元/kWh左右（每月电价有一定浮动），出于谨慎性原则，光伏发电用电电价为0.57元/kWh，暂不考虑电价调幅。</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根据谨慎性原则，本次测算工商业用电平均电价为0.724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②储能电站收益</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1）峰值需求量：河南大成包装材料有限公司年用电需求4752万kWh，考虑到该企业是24小时生产，峰值用电1425.60万kWh（高峰段为16--24时），本项目配备储能发电系统总计40MW，其中普通用户侧储能为37MW，剩余3MW分布式换电储能设备，因3MW分布式换电储能设备需要专业团队运营，收入存在不去定性，本次测算将不作为收入计算。本项目最大储能量为每天8*5000=40000kWh。为谨慎考虑，日出能量按照92%计算为36800kWh。年储能供电量是36800kWh*360=1324.80万kWh，可为满足该企业波峰用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（2）储能销售电价：根据结合近2025年5月份电力公司代理购电工商业用户电价</w:t>
      </w:r>
      <w:r>
        <w:rPr>
          <w:rFonts w:hint="eastAsia" w:ascii="仿宋" w:hAnsi="仿宋" w:eastAsia="仿宋" w:cs="仿宋"/>
          <w:bCs/>
          <w:szCs w:val="21"/>
        </w:rPr>
        <w:drawing>
          <wp:anchor distT="0" distB="0" distL="0" distR="0" simplePos="false" relativeHeight="251662336" behindDoc="false" locked="false" layoutInCell="true" allowOverlap="true">
            <wp:simplePos x="0" y="0"/>
            <wp:positionH relativeFrom="column">
              <wp:posOffset>-38100</wp:posOffset>
            </wp:positionH>
            <wp:positionV relativeFrom="paragraph">
              <wp:posOffset>1052195</wp:posOffset>
            </wp:positionV>
            <wp:extent cx="5759450" cy="2742565"/>
            <wp:effectExtent l="0" t="0" r="12700" b="635"/>
            <wp:wrapTopAndBottom/>
            <wp:docPr id="14" name="picture" descr="descript"/>
            <wp:cNvGraphicFramePr/>
            <a:graphic>
              <a:graphicData uri="http://schemas.openxmlformats.org/drawingml/2006/picture">
                <pic:pic>
                  <pic:nvPicPr>
                    <pic:cNvPr id="15" name="picture" descr="descript"/>
                    <pic:cNvPicPr/>
                  </pic:nvPicPr>
                  <pic:blipFill>
                    <a:blip r:embed="rId8"/>
                    <a:stretch>
                      <a:fillRect/>
                    </a:stretch>
                  </pic:blipFill>
                  <pic:spPr>
                    <a:xfrm>
                      <a:off x="0" y="0"/>
                      <a:ext cx="5759450" cy="2742595"/>
                    </a:xfrm>
                    <a:prstGeom prst="rect">
                      <a:avLst/>
                    </a:prstGeom>
                  </pic:spPr>
                </pic:pic>
              </a:graphicData>
            </a:graphic>
          </wp:anchor>
        </w:drawing>
      </w:r>
      <w:r>
        <w:rPr>
          <w:rFonts w:hint="eastAsia" w:ascii="仿宋" w:hAnsi="仿宋" w:eastAsia="仿宋" w:cs="仿宋"/>
          <w:bCs/>
          <w:sz w:val="24"/>
          <w:szCs w:val="24"/>
        </w:rPr>
        <w:t>表推算，峰值价差约为0.728元/kwh（未考虑尖峰电价），出于谨慎性原则，项目暂按差价0.61元/kWh测算。储能峰谷发电收益=日峰值需求量*峰谷价差*年发电天数，贷款存续期间自用收益及经营性收入估算合计为9451.58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则储能峰谷发电收益=日峰值需求量*峰谷价差*年发电天数，贷款存续期间自用收益及经营性收入估算合计为9451.58万元。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3、电动汽车充电桩收入</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本项目设置600kw液冷充电桩5个。项目充电桩所使用电力全部由光伏车棚及储能模块提供，考虑到本项目的服务群体和区位，定价不宜过高，本次充电费用将按照0.35元/度充电电费及0.3元/度充电服务费，合计充电桩使用费为0.65元/千瓦时计算，功率为600kw，利用率按照运营期第0.5年使用系数按50%，第二年按60%，第三年按70%，第四年按80%，第五年按90%，第六年及以后按95%计算。每个充电桩每天工作0.5小时，年使用360天，每小时充电600度。贷款存续期间充电桩收入估算合计为347.49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综上所述，项目12年运营期内总收入为14353.45万元。</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textAlignment w:val="auto"/>
        <w:outlineLvl w:val="9"/>
        <w:rPr>
          <w:rFonts w:hint="eastAsia" w:ascii="仿宋" w:hAnsi="仿宋" w:eastAsia="仿宋" w:cs="仿宋"/>
          <w:bCs/>
          <w:szCs w:val="21"/>
        </w:rPr>
        <w:sectPr>
          <w:footerReference r:id="rId4" w:type="default"/>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bookmarkStart w:id="5" w:name="_Toc18210"/>
      <w:bookmarkStart w:id="6" w:name="_Toc13708"/>
      <w:bookmarkStart w:id="7" w:name="_Toc1183"/>
      <w:bookmarkStart w:id="8" w:name="_Toc25732"/>
      <w:r>
        <w:rPr>
          <w:rFonts w:hint="eastAsia" w:ascii="仿宋" w:hAnsi="仿宋" w:eastAsia="仿宋" w:cs="仿宋"/>
          <w:b/>
          <w:bCs/>
          <w:i w:val="false"/>
          <w:iCs w:val="false"/>
          <w:color w:val="auto"/>
          <w:kern w:val="0"/>
          <w:sz w:val="28"/>
          <w:szCs w:val="28"/>
          <w:u w:val="none"/>
          <w:lang w:val="en-US" w:eastAsia="zh-CN"/>
        </w:rPr>
        <w:t>附表：营业收入及税金表</w:t>
      </w:r>
      <w:bookmarkEnd w:id="5"/>
      <w:bookmarkEnd w:id="6"/>
      <w:bookmarkEnd w:id="7"/>
      <w:bookmarkEnd w:id="8"/>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615.45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1232.78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1234.67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1236.58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1238.49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1238.65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202.61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403.59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401.98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400.37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398.77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397.17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5896.44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5872.85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5849.36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5825.97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5802.66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5779.45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404.06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808.13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808.13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b w:val="false"/>
                <w:bCs w:val="false"/>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b w:val="false"/>
                <w:bCs w:val="false"/>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36800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36800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21.06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24.57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28.08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31.59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7.58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15.19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10.63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75.76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151.82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151.93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151.88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159.42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159.52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159.63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159.74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159.69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7.81</w:t>
            </w:r>
          </w:p>
        </w:tc>
      </w:tr>
    </w:tbl>
    <w:p>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r>
        <w:rPr>
          <w:rFonts w:hint="eastAsia" w:ascii="仿宋" w:hAnsi="仿宋" w:eastAsia="仿宋" w:cs="仿宋"/>
          <w:b/>
          <w:bCs/>
          <w:i w:val="false"/>
          <w:iCs w:val="false"/>
          <w:color w:val="auto"/>
          <w:kern w:val="0"/>
          <w:sz w:val="28"/>
          <w:szCs w:val="28"/>
          <w:u w:val="none"/>
          <w:lang w:val="en-US" w:eastAsia="zh-CN"/>
        </w:rPr>
        <w:t>附表：营业收入及税金表</w:t>
      </w:r>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53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blHeader/>
        </w:trPr>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blHeader/>
        </w:trPr>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12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1263.41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1261.83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1260.25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1258.68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1257.12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1255.56</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b w:val="false"/>
                <w:bCs w:val="false"/>
                <w:i w:val="false"/>
                <w:iCs w:val="false"/>
                <w:snapToGrid w:val="false"/>
                <w:color w:val="000000"/>
                <w:kern w:val="0"/>
                <w:sz w:val="18"/>
                <w:szCs w:val="18"/>
                <w:u w:val="none"/>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395.58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392.43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390.86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389.29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387.74</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5756.33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5733.31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5710.37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5687.53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5664.78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5642.12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0.40%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0.57</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834.48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834.48</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b w:val="false"/>
                <w:bCs w:val="false"/>
                <w:i w:val="false"/>
                <w:iCs w:val="false"/>
                <w:snapToGrid w:val="false"/>
                <w:color w:val="000000"/>
                <w:kern w:val="0"/>
                <w:sz w:val="18"/>
                <w:szCs w:val="18"/>
                <w:u w:val="none"/>
                <w:lang w:val="en-US" w:eastAsia="zh-CN" w:bidi="ar"/>
              </w:rPr>
              <w:t>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0.61</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b w:val="false"/>
                <w:bCs w:val="false"/>
                <w:i w:val="false"/>
                <w:iCs w:val="false"/>
                <w:snapToGrid w:val="false"/>
                <w:color w:val="000000"/>
                <w:kern w:val="0"/>
                <w:sz w:val="18"/>
                <w:szCs w:val="18"/>
                <w:u w:val="none"/>
                <w:lang w:val="en-US" w:eastAsia="zh-CN" w:bidi="ar"/>
              </w:rPr>
              <w:t>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val="false"/>
                <w:bCs w:val="false"/>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33.35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0.65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0.50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360.00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15.51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15.46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15.42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b/>
                <w:bCs/>
                <w:i w:val="false"/>
                <w:iCs w:val="false"/>
                <w:snapToGrid w:val="false"/>
                <w:color w:val="000000"/>
                <w:kern w:val="0"/>
                <w:sz w:val="18"/>
                <w:szCs w:val="18"/>
                <w:u w:val="none"/>
                <w:lang w:val="en-US" w:eastAsia="zh-CN" w:bidi="ar"/>
              </w:rPr>
              <w:t>15.40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10.80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10.78</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4.64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4.62</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154.24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154.04</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162.91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162.50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162.29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162.09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161.89</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7.84</w:t>
            </w:r>
          </w:p>
        </w:tc>
      </w:tr>
    </w:tbl>
    <w:p>
      <w:pPr>
        <w:rPr>
          <w:rFonts w:hint="eastAsia" w:ascii="仿宋" w:hAnsi="仿宋" w:eastAsia="仿宋" w:cs="仿宋"/>
          <w:bCs/>
          <w:szCs w:val="21"/>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r>
        <w:rPr/>
        <w:br w:type="page"/>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2）</w:t>
      </w:r>
      <w:r>
        <w:rPr>
          <w:rFonts w:hint="eastAsia" w:ascii="仿宋" w:hAnsi="仿宋" w:eastAsia="仿宋" w:cs="仿宋"/>
          <w:bCs/>
          <w:sz w:val="24"/>
          <w:szCs w:val="24"/>
        </w:rPr>
        <w:t>项目成本费用预测及依据</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本项目主要成本为燃料动力费、人员工资与福利费、保洁维护费、折旧与摊销费、运营及管理费、利息支出等费用组成。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①燃料动力费</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建设完成后，本项目生产服务用房用电用水由运营方承担。按实际生产量估算，价格依据现行市场确定，当项目达到设计达产能力100%，年成本费用为2.6万元/年，考虑到储能波谷充电，波峰放电，电池充电放每天消耗电能3200kWh，波谷充电成本0.35元/kWh，年消耗电能3200kWh*360*0.35元/kWh=40.32万元。项目运营期内年均燃料动力费成本41.17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②人员工资与福利成本</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本项目编制拟定为6人，主要为运营、维修维护管理人员，平均工资标准为100000元/年，考虑平均社会发展水平，费用每年3增长5%；经计算，年均职工薪酬及福利费为62.14万元。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③保洁维护费</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参考市场运维成本，结合项目实际情况，按照年折旧费的8%计取，经计算项目运营期内年均保洁维护费为28.79万元。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④折旧与摊销</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本项目按直线法计算折旧，本项目主要是光伏设备和储能设备，该设备折旧年限为20年，残值率为5%。项目运营期内年均折旧额为359.53万元。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⑤运营及管理费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主要为光伏发电设备、储能系统管理和光伏充电桩等，结合项目实际情况，按照年营业收入2%计取，则项目合计运营及管理费年均为23.92万元。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⑥利息支出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宋体"/>
          <w:b w:val="false"/>
          <w:bCs w:val="false"/>
          <w:kern w:val="2"/>
          <w:sz w:val="21"/>
          <w:szCs w:val="21"/>
          <w:lang w:val="en-US" w:eastAsia="zh-CN" w:bidi="ar-SA"/>
        </w:rPr>
      </w:pPr>
      <w:r>
        <w:rPr>
          <w:rFonts w:hint="eastAsia" w:ascii="仿宋" w:hAnsi="仿宋" w:eastAsia="仿宋" w:cs="仿宋"/>
          <w:bCs/>
          <w:sz w:val="24"/>
          <w:szCs w:val="24"/>
          <w:lang w:val="en-US" w:eastAsia="zh-CN"/>
        </w:rPr>
        <w:t>项目申请贷款7000万元，年限为12年，其中建设期0.5年，建设期利息计入总投资，利率为4.50%。运营期内每年还本付息，具体情况见《还本付息表》。</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firstLine="420" w:firstLineChars="200"/>
        <w:jc w:val="left"/>
        <w:textAlignment w:val="auto"/>
        <w:rPr>
          <w:rFonts w:hint="eastAsia" w:ascii="仿宋" w:hAnsi="仿宋" w:eastAsia="仿宋" w:cs="宋体"/>
          <w:b w:val="false"/>
          <w:bCs w:val="false"/>
          <w:kern w:val="2"/>
          <w:sz w:val="21"/>
          <w:szCs w:val="21"/>
          <w:lang w:val="en-US" w:eastAsia="zh-CN" w:bidi="ar-SA"/>
        </w:rPr>
      </w:pP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ind w:left="0" w:leftChars="0" w:firstLine="420" w:firstLineChars="200"/>
        <w:jc w:val="left"/>
        <w:textAlignment w:val="auto"/>
        <w:rPr>
          <w:rFonts w:hint="eastAsia" w:ascii="仿宋" w:hAnsi="仿宋" w:eastAsia="仿宋" w:cs="宋体"/>
          <w:b w:val="false"/>
          <w:bCs w:val="false"/>
          <w:kern w:val="2"/>
          <w:sz w:val="21"/>
          <w:szCs w:val="21"/>
          <w:lang w:val="en-US" w:eastAsia="zh-CN" w:bidi="ar-SA"/>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bookmarkStart w:id="9" w:name="_Toc7038"/>
      <w:bookmarkStart w:id="10" w:name="_Toc8243"/>
      <w:bookmarkStart w:id="11" w:name="_Toc15461"/>
      <w:bookmarkStart w:id="12" w:name="_Toc2190"/>
      <w:r>
        <w:rPr>
          <w:rFonts w:hint="eastAsia" w:ascii="仿宋" w:hAnsi="仿宋" w:eastAsia="仿宋" w:cs="仿宋"/>
          <w:b/>
          <w:bCs/>
          <w:i w:val="false"/>
          <w:iCs w:val="false"/>
          <w:color w:val="auto"/>
          <w:kern w:val="0"/>
          <w:sz w:val="28"/>
          <w:szCs w:val="28"/>
          <w:u w:val="none"/>
          <w:lang w:val="en-US" w:eastAsia="zh-CN"/>
        </w:rPr>
        <w:t>附表：总成本费用表</w:t>
      </w:r>
      <w:bookmarkEnd w:id="9"/>
      <w:bookmarkEnd w:id="10"/>
      <w:bookmarkEnd w:id="11"/>
      <w:bookmarkEnd w:id="12"/>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494.02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745.67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66.15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345.53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287.07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24.73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24.77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24.77</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1872.28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157.66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157.70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160.74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160.78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163.93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4319.12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1982.25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155.25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294.75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272.25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248.63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223.88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198.00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8173.65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421.83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827.99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805.52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784.94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760.23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737.50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6588.43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355.35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694.98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672.52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648.93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624.22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598.35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1239.69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105.96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105.96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109.11</w:t>
            </w:r>
          </w:p>
        </w:tc>
      </w:tr>
    </w:tbl>
    <w:p>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r>
        <w:rPr>
          <w:rFonts w:hint="eastAsia" w:ascii="仿宋" w:hAnsi="仿宋" w:eastAsia="仿宋" w:cs="仿宋"/>
          <w:b/>
          <w:bCs/>
          <w:i w:val="false"/>
          <w:iCs w:val="false"/>
          <w:color w:val="auto"/>
          <w:kern w:val="0"/>
          <w:sz w:val="28"/>
          <w:szCs w:val="28"/>
          <w:u w:val="none"/>
          <w:lang w:val="en-US" w:eastAsia="zh-CN"/>
        </w:rPr>
        <w:t>附表：总成本费用表</w:t>
      </w:r>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 xml:space="preserve">12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494.02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42.96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745.67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69.46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69.46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345.53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30.05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287.07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25.27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25.21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25.17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25.14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25.11</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1872.28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164.39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167.61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167.57</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4319.12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375.58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1982.25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142.88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113.63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51.75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27.00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8173.65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682.84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653.56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623.15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594.93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570.15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6588.43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571.84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543.69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514.41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484.00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452.47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427.69</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1239.69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112.42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112.42</w:t>
            </w:r>
          </w:p>
        </w:tc>
      </w:tr>
    </w:tbl>
    <w:p>
      <w:pPr>
        <w:rPr/>
      </w:pPr>
      <w:r>
        <w:rPr/>
        <w:br w:type="page"/>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val="false"/>
        <w:snapToGrid/>
        <w:spacing w:before="157" w:beforeLines="50" w:after="157" w:afterLines="50" w:line="360" w:lineRule="auto"/>
        <w:jc w:val="left"/>
        <w:textAlignment w:val="auto"/>
        <w:rPr>
          <w:rFonts w:hint="eastAsia" w:ascii="仿宋" w:hAnsi="仿宋" w:eastAsia="仿宋" w:cs="宋体"/>
          <w:b w:val="false"/>
          <w:bCs w:val="false"/>
          <w:kern w:val="2"/>
          <w:sz w:val="21"/>
          <w:szCs w:val="21"/>
          <w:lang w:val="en-US" w:eastAsia="zh-CN" w:bidi="ar-SA"/>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（3）项目还款计划</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笔贷款额度7000万元，按照11.5年还款期设定分期还款计划后，估算还款期还本付息金额为9061.00万元，运营期总收入为14353.45万元，还款期各年度均能覆盖当年还本付息金额，综合偿债备付率为1.16，第一还款来源符合制度规定。详见项目介绍中的贷款还本付息计划及利润及利润分配表。</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获嘉县支行申请给予获嘉大成包装源网荷储项目贷款7000万元，期限12年，专项用于河南大成包装材料有限公司源网荷储一体化项目建设，本项目担保方式为河南同盟国资集团有限公司提供连带责任保证担保并追加项目全部资产抵押。按季还息，建设期第0.5年不还本，从后0.5年开始按季分期还本，第0.5年合计归还贷款本金不低于200万元、第二年合计归还贷款本金不低于500万元、第三年合计归还本金不低于500万元、第四年合计归还本金不低于550万元、第五年每年归还本金不低于550万元、第六年合计归还本金不低于600万元、第七年合计归还本金不低于600万元,第八九年合计归还本金不低于650万元，第十年合计归还本金每年不低于700万元、第十一年合计归还本金不低于700万元，第十二年每年归还本金不低于800万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bookmarkStart w:id="13" w:name="_Toc24801"/>
      <w:bookmarkStart w:id="14" w:name="_Toc27178"/>
      <w:bookmarkStart w:id="15" w:name="_Toc11668"/>
      <w:bookmarkStart w:id="16" w:name="_Toc21665"/>
      <w:r>
        <w:rPr>
          <w:rFonts w:hint="eastAsia" w:ascii="仿宋" w:hAnsi="仿宋" w:eastAsia="仿宋" w:cs="仿宋"/>
          <w:b/>
          <w:bCs/>
          <w:i w:val="false"/>
          <w:iCs w:val="false"/>
          <w:color w:val="auto"/>
          <w:kern w:val="0"/>
          <w:sz w:val="28"/>
          <w:szCs w:val="28"/>
          <w:u w:val="none"/>
          <w:lang w:val="en-US" w:eastAsia="zh-CN"/>
        </w:rPr>
        <w:t>附表：还本付息表</w:t>
      </w:r>
      <w:bookmarkEnd w:id="13"/>
      <w:bookmarkEnd w:id="14"/>
      <w:bookmarkEnd w:id="15"/>
      <w:bookmarkEnd w:id="16"/>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trPr>
          <w:trHeight w:val="323" w:hRule="atLeast"/>
        </w:trPr>
        <w:tc>
          <w:tcPr>
            <w:tcW w:w="13946" w:type="dxa"/>
            <w:gridSpan w:val="10"/>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6</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5250.00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4700.00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773.88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798.00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198.00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5250.00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4700.00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4100.00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10542.98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453.32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908.34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910.09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908.84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910.59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907.65</w:t>
            </w:r>
          </w:p>
        </w:tc>
      </w:tr>
      <w:tr>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3.08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3.66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4.07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4.58</w:t>
            </w:r>
          </w:p>
        </w:tc>
      </w:tr>
      <w:tr>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1.14</w:t>
            </w:r>
          </w:p>
        </w:tc>
      </w:tr>
    </w:tbl>
    <w:p>
      <w:pPr>
        <w:rPr>
          <w:rFonts w:hint="eastAsia" w:ascii="仿宋" w:hAnsi="仿宋" w:eastAsia="仿宋" w:cs="仿宋"/>
        </w:rPr>
      </w:pPr>
      <w:r>
        <w:rPr>
          <w:rFonts w:hint="eastAsia" w:ascii="仿宋" w:hAnsi="仿宋" w:eastAsia="仿宋" w:cs="仿宋"/>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r>
        <w:rPr>
          <w:rFonts w:hint="eastAsia" w:ascii="仿宋" w:hAnsi="仿宋" w:eastAsia="仿宋" w:cs="仿宋"/>
          <w:b/>
          <w:bCs/>
          <w:i w:val="false"/>
          <w:iCs w:val="false"/>
          <w:color w:val="auto"/>
          <w:kern w:val="0"/>
          <w:sz w:val="28"/>
          <w:szCs w:val="28"/>
          <w:u w:val="none"/>
          <w:lang w:val="en-US" w:eastAsia="zh-CN"/>
        </w:rPr>
        <w:t>附表：还本付息表</w:t>
      </w:r>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trPr>
          <w:trHeight w:val="323" w:hRule="atLeast"/>
        </w:trPr>
        <w:tc>
          <w:tcPr>
            <w:tcW w:w="13946"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4100.00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763.63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827.00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142.88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27.00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50800.00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10542.98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928.43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927.10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925.78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924.46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919.84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918.54</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6.49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17.77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34.02</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1.11</w:t>
            </w:r>
          </w:p>
        </w:tc>
      </w:tr>
    </w:tbl>
    <w:p>
      <w:pPr>
        <w:rPr/>
      </w:pPr>
      <w:r>
        <w:rPr/>
        <w:br w:type="page"/>
      </w:r>
    </w:p>
    <w:p>
      <w:pPr>
        <w:tabs>
          <w:tab w:val="left" w:pos="-142"/>
        </w:tabs>
        <w:spacing w:line="440" w:lineRule="exact"/>
        <w:rPr>
          <w:rFonts w:hint="eastAsia" w:ascii="仿宋" w:hAnsi="仿宋" w:eastAsia="仿宋" w:cs="Arial"/>
          <w:b/>
          <w:bCs/>
          <w:sz w:val="36"/>
          <w:szCs w:val="36"/>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（4）盈亏平衡分析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各种不确定性因素的变化会影响投资方案的经济效果，当这些因素的变化达到某一临界值时，就会使方案的损益情况产生质变。</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进行盈亏平衡分析，目的是找出该临界值，以判断投资方案对不确定性因素变化的承受能力，旨在为决策提供依据。</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BEP项目能力利用率=年固定成本/（年营业收入-年可变成本-年营业税金及附加）×100％=50.92%</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（5）敏感性分析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本项目主要风险因素包括销售收入、原材料、经营成本、固定资产投资等因素的变化，而投资值的影响。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0" w:firstLineChars="0"/>
        <w:jc w:val="center"/>
        <w:textAlignment w:val="auto"/>
        <w:outlineLvl w:val="9"/>
        <w:rPr>
          <w:rFonts w:hint="eastAsia" w:ascii="仿宋" w:hAnsi="仿宋" w:eastAsia="仿宋" w:cs="仿宋"/>
          <w:b/>
          <w:bCs w:val="false"/>
          <w:sz w:val="24"/>
          <w:szCs w:val="24"/>
          <w:lang w:val="en-US" w:eastAsia="zh-CN"/>
        </w:rPr>
      </w:pPr>
      <w:r>
        <w:rPr>
          <w:rFonts w:hint="eastAsia" w:ascii="仿宋" w:hAnsi="仿宋" w:eastAsia="仿宋" w:cs="仿宋"/>
          <w:b/>
          <w:bCs w:val="false"/>
          <w:sz w:val="24"/>
          <w:szCs w:val="24"/>
          <w:lang w:val="en-US" w:eastAsia="zh-CN"/>
        </w:rPr>
        <w:t>财务敏感性分析表</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80"/>
        <w:gridCol w:w="1080"/>
        <w:gridCol w:w="1080"/>
        <w:gridCol w:w="1080"/>
        <w:gridCol w:w="1080"/>
        <w:gridCol w:w="1080"/>
        <w:gridCol w:w="1080"/>
        <w:gridCol w:w="1080"/>
      </w:tblGrid>
      <w:tr>
        <w:trPr>
          <w:trHeight w:val="454" w:hRule="atLeast"/>
          <w:jc w:val="center"/>
        </w:trPr>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变动幅度</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-15%</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-10%</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-5%</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0%</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5%</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10%</w:t>
            </w:r>
          </w:p>
        </w:tc>
        <w:tc>
          <w:tcPr>
            <w:tcW w:w="1080" w:type="dxa"/>
            <w:tcBorders>
              <w:top w:val="single" w:color="000000" w:sz="8" w:space="0"/>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15%</w:t>
            </w:r>
          </w:p>
        </w:tc>
      </w:tr>
      <w:tr>
        <w:trPr>
          <w:trHeight w:val="454" w:hRule="atLeast"/>
          <w:jc w:val="center"/>
        </w:trPr>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销售收入</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5.54</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6.35</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7.17</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7.98</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8.8</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9.61</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10.42</w:t>
            </w:r>
          </w:p>
        </w:tc>
      </w:tr>
      <w:tr>
        <w:trPr>
          <w:trHeight w:val="454" w:hRule="atLeast"/>
          <w:jc w:val="center"/>
        </w:trPr>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经营成本</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8.31</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8.2</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8.09</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7.98</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7.88</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7.77</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7.66</w:t>
            </w:r>
          </w:p>
        </w:tc>
      </w:tr>
      <w:tr>
        <w:trPr>
          <w:trHeight w:val="454" w:hRule="atLeast"/>
          <w:jc w:val="center"/>
        </w:trPr>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建安投资</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10.33</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9.46</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8.68</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7.98</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7.35</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6.77</w:t>
            </w:r>
          </w:p>
        </w:tc>
        <w:tc>
          <w:tcPr>
            <w:tcW w:w="1080" w:type="dxa"/>
            <w:tcBorders>
              <w:top w:val="nil"/>
              <w:left w:val="single" w:color="000000" w:sz="8" w:space="0"/>
              <w:bottom w:val="single" w:color="000000" w:sz="8" w:space="0"/>
              <w:right w:val="single" w:color="000000" w:sz="8" w:space="0"/>
            </w:tcBorders>
            <w:shd w:val="clear"/>
            <w:vAlign w:val="center"/>
          </w:tcPr>
          <w:p>
            <w:pPr>
              <w:keepNext w:val="false"/>
              <w:keepLines w:val="false"/>
              <w:widowControl/>
              <w:suppressLineNumbers w:val="false"/>
              <w:jc w:val="center"/>
              <w:textAlignment w:val="center"/>
              <w:rPr>
                <w:rFonts w:hint="eastAsia" w:ascii="仿宋" w:hAnsi="仿宋" w:eastAsia="仿宋" w:cs="仿宋"/>
                <w:i w:val="false"/>
                <w:iCs w:val="false"/>
                <w:color w:val="000000"/>
                <w:sz w:val="21"/>
                <w:szCs w:val="21"/>
                <w:u w:val="none"/>
              </w:rPr>
            </w:pPr>
            <w:r>
              <w:rPr>
                <w:rFonts w:hint="eastAsia" w:ascii="仿宋" w:hAnsi="仿宋" w:eastAsia="仿宋" w:cs="仿宋"/>
                <w:i w:val="false"/>
                <w:iCs w:val="false"/>
                <w:color w:val="000000"/>
                <w:kern w:val="0"/>
                <w:sz w:val="21"/>
                <w:szCs w:val="21"/>
                <w:u w:val="none"/>
                <w:bdr w:val="none" w:color="auto" w:sz="0" w:space="0"/>
                <w:lang w:val="en-US" w:eastAsia="zh-CN" w:bidi="ar"/>
              </w:rPr>
              <w:t>6.24</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该项目具有较强的抗风险能力，但应密切关注中水回用价格的变化，制定适应市场变化的经营策略；同时注意控制项目的成本费用，降低经营成本。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（6）偿债能力分析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通过现金流量表计算可以看出项目计算期各年能收支平衡，并有盈余，有足够大的经营活动净现金流量，表明有足够的现金流量维持正常运营，实现财务可持续性，说明项目财务生存能力强。该项目综合利息备付率5.12，综合偿债备付率1.16，说明企业偿债能力较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（7）财务可持续分析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Cs/>
          <w:sz w:val="24"/>
          <w:szCs w:val="24"/>
          <w:lang w:val="en-US" w:eastAsia="zh-CN"/>
        </w:rPr>
        <w:t>通过对项目从筹建到经营全过程各项评价指标的测算，项目虽然投资较大，但项目建成以后经营效益较好。项目建成后所得税后全部投资财务内部收益率为7.98%，投资回收期为11.26年（含建设期）。项目税后财务内部收益率高于行业基准收益率，各项指标都略高于国内同行业平均水平，项目在财务上是可行的，并且很强的经济效益和抗风险能力。</w:t>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bookmarkStart w:id="17" w:name="_Toc8976"/>
      <w:bookmarkStart w:id="18" w:name="_Toc19934"/>
      <w:bookmarkStart w:id="19" w:name="_Toc9189"/>
      <w:r>
        <w:rPr>
          <w:rFonts w:hint="eastAsia" w:ascii="仿宋" w:hAnsi="仿宋" w:eastAsia="仿宋" w:cs="仿宋"/>
          <w:b/>
          <w:bCs/>
          <w:i w:val="false"/>
          <w:iCs w:val="false"/>
          <w:color w:val="auto"/>
          <w:kern w:val="0"/>
          <w:sz w:val="28"/>
          <w:szCs w:val="28"/>
          <w:u w:val="none"/>
          <w:lang w:val="en-US" w:eastAsia="zh-CN"/>
        </w:rPr>
        <w:t>附表：项目投资现金流量表</w:t>
      </w:r>
      <w:bookmarkEnd w:id="17"/>
      <w:bookmarkEnd w:id="18"/>
      <w:bookmarkEnd w:id="19"/>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trPr>
          <w:trHeight w:val="354"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18723.18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1397.44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1238.65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14353.45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615.45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1238.65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782.00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3587.73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12499.32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8850.97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324.44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324.59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327.74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327.89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330.99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1872.28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157.66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157.70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160.74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160.78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163.93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176.20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1761.99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75.76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151.62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151.72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151.93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151.88</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6223.86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908.34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910.09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910.59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907.65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-6545.19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-5635.10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-4726.27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-3815.68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-2908.02</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2920.30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836.59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770.93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741.28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709.11</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-6316.51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-5512.10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-4741.17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-3999.88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-3290.77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1032.83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59.50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65.57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77.79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83.52</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5191.03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848.84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844.52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837.68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832.81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824.13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-6604.69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-5760.17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-4922.50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-4089.69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-3265.56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2151.65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781.79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746.46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710.57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677.96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643.86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-6371.31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-5624.85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-4914.28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-4236.32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-3592.46</w:t>
            </w:r>
          </w:p>
        </w:tc>
      </w:tr>
    </w:tbl>
    <w:p>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仿宋" w:hAnsi="仿宋" w:eastAsia="仿宋" w:cs="仿宋"/>
          <w:b/>
          <w:bCs/>
          <w:i w:val="false"/>
          <w:iCs w:val="false"/>
          <w:color w:val="auto"/>
          <w:kern w:val="0"/>
          <w:sz w:val="28"/>
          <w:szCs w:val="28"/>
          <w:u w:val="none"/>
          <w:lang w:val="en-US" w:eastAsia="zh-CN"/>
        </w:rPr>
      </w:pPr>
      <w:r>
        <w:rPr>
          <w:rFonts w:hint="eastAsia" w:ascii="仿宋" w:hAnsi="仿宋" w:eastAsia="仿宋" w:cs="仿宋"/>
          <w:b/>
          <w:bCs/>
          <w:i w:val="false"/>
          <w:iCs w:val="false"/>
          <w:color w:val="auto"/>
          <w:kern w:val="0"/>
          <w:sz w:val="28"/>
          <w:szCs w:val="28"/>
          <w:u w:val="none"/>
          <w:lang w:val="en-US" w:eastAsia="zh-CN"/>
        </w:rPr>
        <w:t>附表：项目投资现金流量表</w:t>
      </w:r>
    </w:p>
    <w:tbl>
      <w:tblPr>
        <w:tblStyle w:val="000015"/>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trPr>
          <w:trHeight w:val="23" w:hRule="atLeast"/>
          <w:tblHeader/>
        </w:trPr>
        <w:tc>
          <w:tcPr>
            <w:tcW w:w="13957" w:type="dxa"/>
            <w:gridSpan w:val="1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仿宋" w:hAnsi="仿宋" w:eastAsia="仿宋" w:cs="仿宋"/>
                <w:i w:val="false"/>
                <w:iCs w:val="false"/>
                <w:color w:val="000000"/>
                <w:kern w:val="0"/>
                <w:sz w:val="21"/>
                <w:szCs w:val="21"/>
                <w:u w:val="none"/>
                <w:lang w:val="en-US" w:eastAsia="zh-CN" w:bidi="ar"/>
              </w:rPr>
            </w:pPr>
            <w:r>
              <w:rPr>
                <w:rFonts w:hint="eastAsia" w:ascii="仿宋" w:hAnsi="仿宋" w:eastAsia="仿宋" w:cs="仿宋"/>
                <w:i w:val="false"/>
                <w:iCs w:val="false"/>
                <w:color w:val="000000"/>
                <w:kern w:val="0"/>
                <w:sz w:val="21"/>
                <w:szCs w:val="21"/>
                <w:u w:val="none"/>
                <w:lang w:val="en-US" w:eastAsia="zh-CN" w:bidi="ar"/>
              </w:rPr>
              <w:t>单位：万元</w:t>
            </w:r>
          </w:p>
        </w:tc>
      </w:tr>
      <w:tr>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计算期</w:t>
            </w:r>
          </w:p>
        </w:tc>
      </w:tr>
      <w:tr>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b/>
                <w:bCs/>
                <w:i w:val="false"/>
                <w:iCs w:val="false"/>
                <w:color w:val="000000"/>
                <w:kern w:val="0"/>
                <w:sz w:val="18"/>
                <w:szCs w:val="18"/>
                <w:u w:val="none"/>
                <w:lang w:val="en-US" w:eastAsia="zh-CN" w:bidi="ar"/>
              </w:rPr>
            </w:pPr>
            <w:r>
              <w:rPr>
                <w:rFonts w:hint="eastAsia" w:ascii="仿宋" w:hAnsi="仿宋" w:eastAsia="仿宋" w:cs="仿宋"/>
                <w:b/>
                <w:bCs/>
                <w:i w:val="false"/>
                <w:iCs w:val="false"/>
                <w:color w:val="000000"/>
                <w:kern w:val="0"/>
                <w:sz w:val="18"/>
                <w:szCs w:val="18"/>
                <w:u w:val="none"/>
                <w:lang w:val="en-US" w:eastAsia="zh-CN" w:bidi="ar"/>
              </w:rPr>
              <w:t>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18723.18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4843.29</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14353.45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1255.56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3587.73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3587.73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12499.32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334.98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334.72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334.47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334.22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337.27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337.02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8688.84</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1872.28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164.42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164.39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164.36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164.33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167.61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167.57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176.20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15.51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15.40</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1761.99</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155.05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154.85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154.65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154.24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154.04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6223.86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928.43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927.10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925.78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924.46</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919.84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4506.27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-1979.59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-1052.49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-126.71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797.75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1717.59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6223.86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2920.30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696.10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667.09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639.29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612.65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609.59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2986.34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-2594.67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-1927.57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-1288.28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-675.63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-66.05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2920.30</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1032.83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102.16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109.14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116.41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123.13</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128.99</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5191.03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832.97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824.94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816.63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808.05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796.71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4377.28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-2432.59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-1607.65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-791.02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17.04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813.75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5191.03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2151.65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624.53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591.31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563.92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535.50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527.99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2900.86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-2967.93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-2376.62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-1812.70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-1277.20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-749.21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仿宋" w:hAnsi="仿宋" w:eastAsia="仿宋" w:cs="仿宋"/>
                <w:i w:val="false"/>
                <w:iCs w:val="false"/>
                <w:snapToGrid w:val="false"/>
                <w:color w:val="000000"/>
                <w:kern w:val="0"/>
                <w:sz w:val="18"/>
                <w:szCs w:val="18"/>
                <w:u w:val="none"/>
                <w:lang w:val="en-US" w:eastAsia="zh-CN" w:bidi="ar"/>
              </w:rPr>
            </w:pPr>
            <w:r>
              <w:rPr>
                <w:rFonts w:hint="eastAsia" w:ascii="仿宋" w:hAnsi="仿宋" w:eastAsia="仿宋" w:cs="仿宋"/>
                <w:i w:val="false"/>
                <w:iCs w:val="false"/>
                <w:snapToGrid w:val="false"/>
                <w:color w:val="000000"/>
                <w:kern w:val="0"/>
                <w:sz w:val="18"/>
                <w:szCs w:val="18"/>
                <w:u w:val="none"/>
                <w:lang w:val="en-US" w:eastAsia="zh-CN" w:bidi="ar"/>
              </w:rPr>
              <w:t>2151.65</w:t>
            </w:r>
          </w:p>
        </w:tc>
      </w:tr>
      <w:tr>
        <w:trPr>
          <w:trHeight w:val="420" w:hRule="atLeast"/>
        </w:trPr>
        <w:tc>
          <w:tcPr>
            <w:tcW w:w="3641"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计算指标：</w:t>
            </w:r>
          </w:p>
        </w:tc>
        <w:tc>
          <w:tcPr>
            <w:tcW w:w="851"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仿宋" w:hAnsi="仿宋" w:eastAsia="仿宋" w:cs="仿宋"/>
                <w:i w:val="false"/>
                <w:iCs w:val="false"/>
                <w:color w:val="000000"/>
                <w:sz w:val="18"/>
                <w:szCs w:val="18"/>
                <w:u w:val="none"/>
              </w:rPr>
            </w:pP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仿宋" w:hAnsi="仿宋" w:eastAsia="仿宋" w:cs="仿宋"/>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9.39%</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7.98%</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仿宋" w:hAnsi="仿宋" w:eastAsia="仿宋" w:cs="仿宋"/>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2920.30</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2151.65</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仿宋" w:hAnsi="仿宋" w:eastAsia="仿宋" w:cs="仿宋"/>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11.02</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仿宋" w:hAnsi="仿宋" w:eastAsia="仿宋" w:cs="仿宋"/>
                <w:i w:val="false"/>
                <w:iCs w:val="false"/>
                <w:color w:val="000000"/>
                <w:kern w:val="0"/>
                <w:sz w:val="18"/>
                <w:szCs w:val="18"/>
                <w:u w:val="none"/>
                <w:lang w:val="en-US" w:eastAsia="zh-CN" w:bidi="ar"/>
              </w:rPr>
            </w:pPr>
            <w:r>
              <w:rPr>
                <w:rFonts w:hint="eastAsia" w:ascii="仿宋" w:hAnsi="仿宋" w:eastAsia="仿宋" w:cs="仿宋"/>
                <w:i w:val="false"/>
                <w:iCs w:val="false"/>
                <w:color w:val="000000"/>
                <w:kern w:val="0"/>
                <w:sz w:val="18"/>
                <w:szCs w:val="18"/>
                <w:u w:val="none"/>
                <w:lang w:val="en-US" w:eastAsia="zh-CN" w:bidi="ar"/>
              </w:rPr>
              <w:t>11.26</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仿宋" w:hAnsi="仿宋" w:eastAsia="仿宋" w:cs="仿宋"/>
                <w:i w:val="false"/>
                <w:iCs w:val="false"/>
                <w:color w:val="000000"/>
                <w:sz w:val="18"/>
                <w:szCs w:val="18"/>
                <w:u w:val="none"/>
              </w:rPr>
            </w:pPr>
          </w:p>
        </w:tc>
      </w:tr>
    </w:tbl>
    <w:p>
      <w:pPr>
        <w:rPr/>
      </w:pPr>
      <w:r>
        <w:rPr/>
        <w:br w:type="page"/>
      </w:r>
    </w:p>
    <w:p>
      <w:pPr>
        <w:tabs>
          <w:tab w:val="left" w:pos="-142"/>
        </w:tabs>
        <w:spacing w:line="440" w:lineRule="exact"/>
        <w:rPr>
          <w:rFonts w:hint="eastAsia" w:ascii="仿宋" w:hAnsi="仿宋" w:eastAsia="仿宋" w:cs="Arial"/>
          <w:szCs w:val="21"/>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4、项目合规性分析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参考外部监管政策、产业目录，我行的授信政策指引、行业政策指引、重点领域信贷政策等制度规定判断评估项目是否符合准入条件。分析项目行政审批程序、审批层级和文件的合规性。分析项目各项证件的时间、内容连续性和证件完整性，土地面积、建设内容、建设规模等证载内容的一致性等。</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项目应具备的主要行政文件清单：</w:t>
      </w:r>
    </w:p>
    <w:tbl>
      <w:tblPr>
        <w:tblStyle w:val="000015"/>
        <w:tblW w:w="0" w:type="auto"/>
        <w:jc w:val="center"/>
        <w:tblLayout w:type="fixed"/>
        <w:tblCellMar>
          <w:top w:w="0" w:type="dxa"/>
          <w:left w:w="0" w:type="dxa"/>
          <w:bottom w:w="0" w:type="dxa"/>
          <w:right w:w="0" w:type="dxa"/>
        </w:tblCellMar>
      </w:tblPr>
      <w:tblGrid>
        <w:gridCol w:w="2221"/>
        <w:gridCol w:w="1389"/>
        <w:gridCol w:w="1379"/>
        <w:gridCol w:w="1946"/>
        <w:gridCol w:w="3576"/>
      </w:tblGrid>
      <w:tr>
        <w:trPr>
          <w:trHeight w:val="382"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000000"/>
                <w:sz w:val="18"/>
                <w:szCs w:val="18"/>
              </w:rPr>
            </w:pPr>
            <w:r>
              <w:rPr>
                <w:rFonts w:ascii="仿宋" w:hAnsi="仿宋" w:eastAsia="仿宋" w:cs="仿宋"/>
                <w:b/>
                <w:i w:val="false"/>
                <w:strike w:val="false"/>
                <w:color w:val="000000"/>
                <w:spacing w:val="0"/>
                <w:sz w:val="21"/>
                <w:u w:val="none"/>
              </w:rPr>
              <w:t>文件名称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000000"/>
                <w:sz w:val="18"/>
                <w:szCs w:val="18"/>
              </w:rPr>
            </w:pPr>
            <w:r>
              <w:rPr>
                <w:rFonts w:ascii="仿宋" w:hAnsi="仿宋" w:eastAsia="仿宋" w:cs="仿宋"/>
                <w:b/>
                <w:i w:val="false"/>
                <w:strike w:val="false"/>
                <w:color w:val="000000"/>
                <w:spacing w:val="0"/>
                <w:sz w:val="21"/>
                <w:u w:val="none"/>
              </w:rPr>
              <w:t>是否具备</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843" w:firstLineChars="400"/>
              <w:textAlignment w:val="center"/>
              <w:rPr>
                <w:rFonts w:ascii="仿宋" w:hAnsi="仿宋" w:eastAsia="仿宋" w:cs="仿宋"/>
                <w:b/>
                <w:color w:val="000000"/>
                <w:kern w:val="0"/>
                <w:sz w:val="18"/>
                <w:szCs w:val="18"/>
                <w:lang w:bidi="ar"/>
              </w:rPr>
            </w:pPr>
            <w:r>
              <w:rPr>
                <w:rFonts w:ascii="仿宋" w:hAnsi="仿宋" w:eastAsia="仿宋" w:cs="仿宋"/>
                <w:b/>
                <w:i w:val="false"/>
                <w:strike w:val="false"/>
                <w:color w:val="000000"/>
                <w:spacing w:val="0"/>
                <w:sz w:val="21"/>
                <w:u w:val="none"/>
              </w:rPr>
              <w:t>内容</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181" w:firstLineChars="100"/>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取得时间</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主要内容</w:t>
            </w:r>
          </w:p>
        </w:tc>
      </w:tr>
      <w:tr>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建设用地规划许可证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2020年9月16日和2021年9月9日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1"/>
                <w:u w:val="none"/>
              </w:rPr>
              <w:t>2020年9月16日取得建设用地规划许可证，编号：地字第410724202000064号；</w:t>
            </w:r>
          </w:p>
          <w:p>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000000"/>
                <w:spacing w:val="0"/>
                <w:sz w:val="21"/>
                <w:u w:val="none"/>
              </w:rPr>
              <w:t>2021年9月9日取得建设用地规划许可证，编号：地字第410724202100041号；</w:t>
            </w:r>
          </w:p>
        </w:tc>
      </w:tr>
      <w:tr>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土地使用权证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仿宋"/>
                <w:b/>
                <w:color w:val="000000"/>
                <w:kern w:val="0"/>
                <w:sz w:val="18"/>
                <w:szCs w:val="18"/>
                <w:lang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2022年3月16日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center"/>
              <w:rPr>
                <w:rFonts w:ascii="仿宋" w:hAnsi="仿宋" w:eastAsia="仿宋" w:cs="仿宋"/>
                <w:b/>
                <w:color w:val="auto"/>
                <w:kern w:val="0"/>
                <w:sz w:val="18"/>
                <w:szCs w:val="18"/>
                <w:lang w:bidi="ar"/>
              </w:rPr>
            </w:pPr>
            <w:r>
              <w:rPr>
                <w:rFonts w:ascii="仿宋" w:hAnsi="仿宋" w:eastAsia="仿宋" w:cs="仿宋"/>
                <w:i w:val="false"/>
                <w:strike w:val="false"/>
                <w:color w:val="000000"/>
                <w:spacing w:val="0"/>
                <w:sz w:val="21"/>
                <w:u w:val="none"/>
              </w:rPr>
              <w:t>2022年3月16日取得土地使用权证书，编号：豫（2022）获嘉县不动产权第0003613号 </w:t>
            </w:r>
          </w:p>
        </w:tc>
      </w:tr>
      <w:tr>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项目可行性研究报告</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000000"/>
                <w:sz w:val="21"/>
                <w:u w:val="none"/>
              </w:rPr>
              <w:t>2025年5月</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lineRule="auto"/>
              <w:ind w:left="0" w:right="0"/>
              <w:jc w:val="center"/>
              <w:rPr/>
            </w:pPr>
            <w:r>
              <w:rPr>
                <w:rFonts w:ascii="仿宋" w:hAnsi="仿宋" w:eastAsia="仿宋" w:cs="仿宋"/>
                <w:i w:val="false"/>
                <w:strike w:val="false"/>
                <w:color w:val="000000"/>
                <w:spacing w:val="0"/>
                <w:sz w:val="21"/>
                <w:u w:val="none"/>
              </w:rPr>
              <w:t>2025年5月完成可行性研究报告制作</w:t>
            </w:r>
          </w:p>
          <w:p>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false"/>
                <w:strike w:val="false"/>
                <w:color w:val="000000"/>
                <w:spacing w:val="0"/>
                <w:sz w:val="21"/>
                <w:u w:val="none"/>
              </w:rPr>
              <w:t> </w:t>
            </w:r>
          </w:p>
        </w:tc>
      </w:tr>
      <w:tr>
        <w:trPr>
          <w:trHeight w:val="947"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lineRule="auto"/>
              <w:ind w:left="0" w:right="0"/>
              <w:jc w:val="both"/>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000000"/>
                <w:sz w:val="21"/>
                <w:u w:val="none"/>
              </w:rPr>
              <w:t>备案</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lineRule="auto"/>
              <w:ind w:left="0" w:right="0"/>
              <w:jc w:val="both"/>
              <w:rPr>
                <w:color w:val="000000"/>
              </w:rPr>
            </w:pPr>
            <w:r>
              <w:rPr>
                <w:rFonts w:ascii="仿宋" w:hAnsi="仿宋" w:eastAsia="仿宋" w:cs="仿宋"/>
                <w:i w:val="false"/>
                <w:strike w:val="false"/>
                <w:color w:val="000000"/>
                <w:spacing w:val="0"/>
                <w:sz w:val="21"/>
                <w:u w:val="none"/>
              </w:rPr>
              <w:t>批复部门、文件名称及文号</w:t>
            </w:r>
          </w:p>
          <w:p>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false"/>
                <w:strike w:val="false"/>
                <w:color w:val="00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Bdr>
                <w:bottom w:val="none" w:color="auto" w:sz="0" w:space="0"/>
              </w:pBdr>
              <w:snapToGrid/>
              <w:spacing w:before="0" w:after="0" w:line="240" w:lineRule="auto"/>
              <w:ind w:left="0" w:right="0"/>
              <w:jc w:val="both"/>
              <w:rPr/>
            </w:pPr>
            <w:r>
              <w:rPr>
                <w:rFonts w:ascii="仿宋" w:hAnsi="仿宋" w:eastAsia="仿宋" w:cs="仿宋"/>
                <w:i w:val="false"/>
                <w:strike w:val="false"/>
                <w:color w:val="FF0000"/>
                <w:spacing w:val="0"/>
                <w:sz w:val="21"/>
                <w:u w:val="none"/>
              </w:rPr>
              <w:t> </w:t>
            </w:r>
            <w:r>
              <w:rPr>
                <w:rFonts w:ascii="仿宋" w:hAnsi="仿宋" w:eastAsia="仿宋" w:cs="仿宋"/>
                <w:i w:val="false"/>
                <w:strike w:val="false"/>
                <w:color w:val="000000"/>
                <w:sz w:val="21"/>
                <w:u w:val="none"/>
              </w:rPr>
              <w:t>2025年5月30日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false"/>
                <w:strike w:val="false"/>
                <w:color w:val="000000"/>
                <w:spacing w:val="0"/>
                <w:sz w:val="21"/>
                <w:u w:val="none"/>
              </w:rPr>
              <w:t>2025年5月30日由获嘉县发改委取得项目备案证明</w:t>
            </w:r>
          </w:p>
        </w:tc>
      </w:tr>
      <w:tr>
        <w:trPr>
          <w:trHeight w:val="943"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FF0000"/>
                <w:spacing w:val="0"/>
                <w:sz w:val="21"/>
                <w:u w:val="none"/>
              </w:rPr>
              <w:t>环评登记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false"/>
                <w:strike w:val="false"/>
                <w:color w:val="FF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spacing w:before="0" w:after="0" w:line="240" w:lineRule="auto"/>
              <w:ind w:left="0" w:right="0"/>
              <w:jc w:val="both"/>
              <w:rPr/>
            </w:pPr>
            <w:r>
              <w:rPr>
                <w:rFonts w:ascii="仿宋" w:hAnsi="仿宋" w:eastAsia="仿宋" w:cs="仿宋"/>
                <w:i w:val="false"/>
                <w:strike w:val="false"/>
                <w:color w:val="FF0000"/>
                <w:spacing w:val="0"/>
                <w:sz w:val="21"/>
                <w:u w:val="none"/>
              </w:rPr>
              <w:t>批复部门、文件名称及文号</w:t>
            </w:r>
          </w:p>
          <w:p>
            <w:pPr>
              <w:widowControl/>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false"/>
                <w:strike w:val="false"/>
                <w:color w:val="FF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181" w:firstLineChars="100"/>
              <w:textAlignment w:val="center"/>
              <w:rPr>
                <w:rFonts w:hint="default" w:ascii="仿宋" w:hAnsi="仿宋" w:eastAsia="仿宋" w:cs="仿宋"/>
                <w:b/>
                <w:color w:val="auto"/>
                <w:kern w:val="0"/>
                <w:sz w:val="18"/>
                <w:szCs w:val="18"/>
                <w:lang w:val="en-US" w:eastAsia="zh-CN" w:bidi="ar"/>
              </w:rPr>
            </w:pP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18"/>
                <w:szCs w:val="18"/>
                <w:lang w:val="en-US" w:eastAsia="zh-CN" w:bidi="ar"/>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5、项目可行性分析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（1）政策支持力度</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在当前社会背景下，国家对新能源产业高度重视，积极推动新能源、光伏发电等领域的发展。鼓励社会力量参与提供多元化的健康服务，为大成包装源网荷储项目的建设创造了良好的政策环境。同时，新能源产业作为国家战略性新兴产业，得到了大力扶持。从财政补贴到政策优惠，都为项目中新能源的应用提供了坚实保障。</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（2）技术工艺先进性</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新能源应用</w:t>
      </w:r>
      <w:r>
        <w:rPr>
          <w:rFonts w:hint="eastAsia" w:ascii="仿宋" w:hAnsi="仿宋" w:eastAsia="仿宋" w:cs="仿宋"/>
          <w:bCs/>
          <w:sz w:val="24"/>
          <w:szCs w:val="24"/>
          <w:lang w:val="en-US" w:eastAsia="zh-CN"/>
        </w:rPr>
        <w:br w:type="textWrapping"/>
      </w:r>
      <w:r>
        <w:rPr>
          <w:rFonts w:hint="eastAsia" w:ascii="仿宋" w:hAnsi="仿宋" w:eastAsia="仿宋" w:cs="仿宋"/>
          <w:bCs/>
          <w:sz w:val="24"/>
          <w:szCs w:val="24"/>
          <w:lang w:val="en-US" w:eastAsia="zh-CN"/>
        </w:rPr>
        <w:t>充分利用太阳能等可再生能源。安装太阳能光伏板，为企业提供清洁电力。采用智能能源管理系统，对能源的生产、存储和使用进行优化调控，实现能源的高效利用和可持续发展。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（3）项目资金安排</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项目资金可通过多种渠道筹集。争取政府的专项扶持资金和政策补贴，吸引社会资本的投入，与金融机构合作获取贷款等。合理规划资金使用，确保资金主要用于设备采购、基础设施建设、新能源设施安装以及人员培训等关键环节。建立严格的资金管理制度，加强资金的监管和审计，确保资金使用的安全和高效。</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（4）产品的目标市场前景</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新能源市场</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的应用不仅可以降低中心的运营成本，还具有良好的社会示范效应。随着环保意识的增强，人们对新能源的接受度越来越高。中心可以通过新能源的应用，树立绿色环保的形象，吸引更多的客户和社会关注。</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（5）产品的替代性</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该项目在新能源应用方面具有独特的优势，难以被其他产品完全替代。项目年产出绿电约为717.57万KWH。经调查，目前河南大成包装材料有限公司年用电量约为4752.00万KWH，该企业是24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本项目所产出绿色电力能源销售价格低于国网销售价格。另外，在项目周边半径20公里范围内，还有众多用电量较大的企业，例如：河南金天化工有限公司年用电量约9000万KWH、新乡中新化工有限责任公司年用电量约6000万KWH、河南宏一纺织有限公司年用电量约4000万KWH，以上企业都可以作为本项目消纳客户。目标市场环境较好，容量缺口较大。</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（6）产品的价格现状和未来趋势</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价格现状</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新能源的应用在一定程度上降低了运营成本，本项目所产出绿色电力能源销售价格低于国网销售价格。可以为客户提供更具性价比的服务价格。</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未来趋势</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随着项目的发展和市场的竞争，价格可能会有所波动。但由于项目的专业性和独特性，价格下降的空间有限。同时，随着技术的进步和成本的降低，中心可以不断优化服务内容，提高服务质量，保持价格的相对稳定。</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（7）风险控制措施</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市场风险</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加强市场调研和分析，及时了解市场动态和客户需求。制定灵活的市场策略，根据市场变化调整服务内容和价格体系。加强品牌建设和宣传推广，提高项目的知名度和美誉度，增强市场竞争力。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技术风险</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不断引进先进的技术和设备，加强技术人员的培训和管理。建立完善的技术保障体系，确保设备的正常运行和数据的安全可靠。与科研机构和高校合作，开展技术创新和研发，提高项目的技术水平和核心竞争力。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资金风险</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合理规划项目资金，确保资金来源的稳定和可持续。加强资金管理和风险控制，建立健全的财务管理制度。密切关注国家政策和金融市场动态，及时调整资金筹集和使用策略，降低资金风险。</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（8）项目的盈利能力和偿债能力分析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盈利能力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通过提供新能源售电以及储能调峰等收入，项目具有较强的盈利能力。随着市场的拓展和业务的增长，收入有望不断增加。同时，通过优化管理和降低成本，提高利润率，实现良好的经济效益。</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偿债能力</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多元化的资金来源和稳定的现金流为项目的偿债提供了保障。在项目建设和运营过程中，合理安排资金，确保按时偿还贷款和其他债务。同时，通过提高盈利能力，增强偿债能力，降低财务风险。</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总体来说，河南大成包装材料有限公司源网荷储一体化项目具有较高的可行性和可持续发展能力。项目在政策支持、技术工艺、资金安排、市场前景等方面具有明显优势，通过有效的风险控制措施，可以实现良好的盈利能力和偿债能力。该项目的实施将为当地企业降本增效和新能源产业的发展做出积极贡献。</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6、项目必要性分析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从经济增长方面来看，获嘉县政府需要为中小企业打造降本增效的营商环境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全县经济呈现平稳运行、稳中有进的良好态势。作为一个工业企业聚集区，获嘉县拥有众多蓬勃发展的工业企业，拥有众多政府优惠政策支持。获嘉县以其庞大的工业群体而闻名，涵盖制造业、加工业、化工业、绿色能源业等多个行业领域。此外，获嘉县的工业企业对电力的需求也极其巨大，电力作为生产和运营的重要能源，对企业的日常运作至关重要。源网荷储一体化的建设能满足园区内部企业及周边企业日常经营用电需求，提供稳定、廉价的用电服务，同时为企业降本增效提供了坚实的保障基础。</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在社会问题解决方面，项目有着积极的意义。目前，在经济趋势下行的大环境下获嘉县企业经营普遍遇到困难，降本增效是经营中最急迫的工作。在这个市场出清时期，如果企业寻找出减低经营成本道路，有可以面临被淘汰出局的风险。拟建项目利用源网荷储一体化的优势和政府支持条件，极大程度上解决项目园区内及周边中小企业用电贵、成本高的困境，更能提高能源供给的可靠性和稳定性，从能源方面降低企业生产成本，也能给企业转型升级争取时间和机会。</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440" w:lineRule="exact"/>
        <w:ind w:left="0" w:firstLine="480" w:firstLineChars="200"/>
        <w:textAlignment w:val="auto"/>
        <w:outlineLvl w:val="9"/>
        <w:rPr/>
      </w:pPr>
      <w:r>
        <w:rPr>
          <w:rFonts w:hint="eastAsia" w:ascii="仿宋" w:hAnsi="仿宋" w:eastAsia="仿宋" w:cs="仿宋"/>
          <w:bCs/>
          <w:sz w:val="24"/>
          <w:szCs w:val="24"/>
          <w:lang w:val="en-US" w:eastAsia="zh-CN"/>
        </w:rPr>
        <w:t>从科技创新和产业升级的角度来看，河南中原智慧冷链物流园管理运营有限公司作为本项目的项目公司，其目前主要经营园区管理、仓储冷链服务、普通仓储及农产品加工销售等活动。经营项目较为传统单一。拟建项目将为河南中原智慧冷链物流园管理运营有限公司丰富经营项目结构提供一个适宜的目标，并在项目运作过程中积累经验和资金，促进经营性转型。</w:t>
      </w:r>
    </w:p>
    <w:p>
      <w:pPr>
        <w:rPr/>
      </w:pPr>
    </w:p>
    <w:p>
      <w:pPr>
        <w:pStyle w:val="000029"/>
        <w:ind w:firstLine="210"/>
        <w:rPr/>
      </w:pPr>
    </w:p>
    <w:p>
      <w:pPr>
        <w:numPr>
          <w:ilvl w:val="0"/>
          <w:numId w:val="0"/>
        </w:numPr>
        <w:spacing w:before="156" w:beforeLines="50" w:after="156" w:afterLines="50"/>
        <w:ind w:left="482" w:leftChars="0"/>
        <w:jc w:val="center"/>
        <w:outlineLvl w:val="0"/>
        <w:rPr>
          <w:rFonts w:hint="eastAsia"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t>五、保证人分析</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（一）保证措施评价（截止日期： ×年×月  ； 单位：万元）</w:t>
      </w:r>
    </w:p>
    <w:tbl>
      <w:tblPr>
        <w:tblStyle w:val="0000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038"/>
        <w:gridCol w:w="2482"/>
        <w:gridCol w:w="2482"/>
        <w:gridCol w:w="2483"/>
      </w:tblGrid>
      <w:tr>
        <w:trPr>
          <w:trHeight w:val="255"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项目</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保证人1（客户名称）</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保证人2（客户名称）</w:t>
            </w: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w:t>
            </w: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与借款人的关系</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实际控制人</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主营业务</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所属行业</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jc w:val="cente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公司章程关于公司对外担保总额及单项担保数额的上限规定（不得超过规定的上限）</w:t>
            </w:r>
          </w:p>
        </w:tc>
        <w:tc>
          <w:tcPr>
            <w:tcW w:w="2482" w:type="dxa"/>
            <w:noWrap/>
            <w:tcMar>
              <w:top w:w="15" w:type="dxa"/>
              <w:left w:w="15" w:type="dxa"/>
              <w:bottom w:w="0" w:type="dxa"/>
              <w:right w:w="15" w:type="dxa"/>
            </w:tcMar>
            <w:vAlign w:val="bottom"/>
          </w:tcPr>
          <w:p>
            <w:pPr>
              <w:jc w:val="left"/>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left"/>
              <w:rPr>
                <w:rFonts w:ascii="仿宋" w:hAnsi="仿宋" w:eastAsia="仿宋" w:cs="仿宋"/>
                <w:szCs w:val="21"/>
              </w:rPr>
            </w:pPr>
            <w:r>
              <w:rPr>
                <w:rFonts w:hint="eastAsia" w:ascii="仿宋" w:hAnsi="仿宋" w:eastAsia="仿宋" w:cs="仿宋"/>
                <w:szCs w:val="21"/>
              </w:rPr>
              <w:t>是否互保或交叉担保（注明相关及担保事项及金额）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本次担保额度</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目前保证余额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其中：我行保证余额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我行授信余额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55"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40"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其它银行目前贷款余额</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r>
        <w:trPr>
          <w:trHeight w:val="255" w:hRule="atLeast"/>
          <w:jc w:val="center"/>
        </w:trPr>
        <w:tc>
          <w:tcPr>
            <w:tcW w:w="3038" w:type="dxa"/>
            <w:noWrap/>
            <w:tcMar>
              <w:top w:w="15" w:type="dxa"/>
              <w:left w:w="15" w:type="dxa"/>
              <w:bottom w:w="0" w:type="dxa"/>
              <w:right w:w="15" w:type="dxa"/>
            </w:tcMar>
            <w:vAlign w:val="bottom"/>
          </w:tcPr>
          <w:p>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2" w:type="dxa"/>
            <w:noWrap/>
            <w:tcMar>
              <w:top w:w="15" w:type="dxa"/>
              <w:left w:w="15" w:type="dxa"/>
              <w:bottom w:w="0" w:type="dxa"/>
              <w:right w:w="15" w:type="dxa"/>
            </w:tcMar>
            <w:vAlign w:val="bottom"/>
          </w:tcPr>
          <w:p>
            <w:pPr>
              <w:jc w:val="center"/>
              <w:rPr>
                <w:rFonts w:ascii="仿宋" w:hAnsi="仿宋" w:eastAsia="仿宋" w:cs="仿宋"/>
                <w:szCs w:val="21"/>
              </w:rPr>
            </w:pPr>
          </w:p>
        </w:tc>
        <w:tc>
          <w:tcPr>
            <w:tcW w:w="2483" w:type="dxa"/>
            <w:noWrap/>
            <w:tcMar>
              <w:top w:w="15" w:type="dxa"/>
              <w:left w:w="15" w:type="dxa"/>
              <w:bottom w:w="0" w:type="dxa"/>
              <w:right w:w="15" w:type="dxa"/>
            </w:tcMar>
            <w:vAlign w:val="bottom"/>
          </w:tcPr>
          <w:p>
            <w:pPr>
              <w:rPr>
                <w:rFonts w:ascii="仿宋" w:hAnsi="仿宋" w:eastAsia="仿宋" w:cs="仿宋"/>
                <w:szCs w:val="21"/>
              </w:rPr>
            </w:pP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解释与分析：</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对表内数据以及担保人的特别事项进行必要的分析说明，如保证人公司章程中是否有对外担保的特别约定；保证人目前保证事项中是否有垫款可能等。</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line="440" w:lineRule="exact"/>
        <w:ind w:firstLine="0" w:firstLineChars="0"/>
        <w:jc w:val="center"/>
        <w:textAlignment w:val="auto"/>
        <w:rPr>
          <w:rFonts w:hint="eastAsia" w:ascii="仿宋" w:hAnsi="仿宋" w:eastAsia="仿宋" w:cs="仿宋"/>
          <w:color w:val="000000" w:themeColor="text1"/>
          <w:szCs w:val="21"/>
        </w:rPr>
      </w:pPr>
      <w:r>
        <w:rPr>
          <w:rFonts w:hint="eastAsia" w:ascii="仿宋" w:hAnsi="仿宋" w:eastAsia="仿宋" w:cs="仿宋"/>
          <w:color w:val="000000" w:themeColor="text1"/>
          <w:szCs w:val="21"/>
          <w14:textFill>
            <w14:solidFill>
              <w14:schemeClr w14:val="tx1"/>
            </w14:solidFill>
          </w14:textFill>
        </w:rPr>
        <w:t>【编辑框*******1000字】</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保证人一：***公司</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（一）保证人基本信息</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322"/>
        <w:gridCol w:w="2322"/>
        <w:gridCol w:w="2325"/>
      </w:tblGrid>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客户名称</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成立时间</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法定代表人</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行业归属</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87"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国标企业规模</w:t>
            </w:r>
          </w:p>
        </w:tc>
        <w:tc>
          <w:tcPr>
            <w:tcW w:w="2322" w:type="dxa"/>
            <w:shd w:val="clear" w:color="auto" w:fill="FFFFFF" w:themeFill="background1"/>
            <w:vAlign w:val="center"/>
          </w:tcPr>
          <w:p>
            <w:pPr>
              <w:pStyle w:val="00002e"/>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实际控制人</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营业执照号码/事业单位法人证书/其他证书号码</w:t>
            </w:r>
          </w:p>
        </w:tc>
        <w:tc>
          <w:tcPr>
            <w:tcW w:w="2322" w:type="dxa"/>
            <w:shd w:val="clear" w:color="auto" w:fill="FFFFFF" w:themeFill="background1"/>
            <w:vAlign w:val="center"/>
          </w:tcPr>
          <w:p>
            <w:pPr>
              <w:pStyle w:val="00002e"/>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组织机构代码/其他证件号码</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 xml:space="preserve">上市标志      </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上市时间</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上市地点</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股票代码</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tcPr>
          <w:p>
            <w:pPr>
              <w:tabs>
                <w:tab w:val="right" w:pos="1944"/>
              </w:tabs>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注册资本币种</w:t>
            </w:r>
            <w:r>
              <w:rPr>
                <w:rFonts w:ascii="仿宋" w:hAnsi="仿宋" w:eastAsia="仿宋" w:cs="Arial"/>
                <w:szCs w:val="21"/>
                <w:lang w:val="en-GB"/>
              </w:rPr>
              <w:tab/>
            </w:r>
          </w:p>
        </w:tc>
        <w:tc>
          <w:tcPr>
            <w:tcW w:w="2322" w:type="dxa"/>
            <w:shd w:val="clear" w:color="auto" w:fill="FFFFFF" w:themeFill="background1"/>
          </w:tcPr>
          <w:p>
            <w:pPr>
              <w:spacing w:line="440" w:lineRule="exact"/>
              <w:rPr>
                <w:rFonts w:ascii="仿宋" w:hAnsi="仿宋" w:eastAsia="仿宋" w:cs="Arial"/>
                <w:szCs w:val="21"/>
                <w:lang w:val="en-GB"/>
              </w:rPr>
            </w:pPr>
          </w:p>
        </w:tc>
        <w:tc>
          <w:tcPr>
            <w:tcW w:w="2322"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实收资本币种</w:t>
            </w:r>
          </w:p>
        </w:tc>
        <w:tc>
          <w:tcPr>
            <w:tcW w:w="2322" w:type="dxa"/>
            <w:shd w:val="clear" w:color="auto" w:fill="FFFFFF" w:themeFill="background1"/>
          </w:tcPr>
          <w:p>
            <w:pPr>
              <w:spacing w:line="440" w:lineRule="exact"/>
              <w:rPr>
                <w:rFonts w:ascii="仿宋" w:hAnsi="仿宋" w:eastAsia="仿宋" w:cs="Arial"/>
                <w:szCs w:val="21"/>
                <w:lang w:val="en-GB"/>
              </w:rPr>
            </w:pPr>
          </w:p>
        </w:tc>
        <w:tc>
          <w:tcPr>
            <w:tcW w:w="2322"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贷款卡是否有效</w:t>
            </w:r>
          </w:p>
        </w:tc>
        <w:tc>
          <w:tcPr>
            <w:tcW w:w="2322" w:type="dxa"/>
            <w:shd w:val="clear" w:color="auto" w:fill="FFFFFF" w:themeFill="background1"/>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贷款卡号</w:t>
            </w:r>
          </w:p>
        </w:tc>
        <w:tc>
          <w:tcPr>
            <w:tcW w:w="2325" w:type="dxa"/>
            <w:shd w:val="clear" w:color="auto" w:fill="FFFFFF" w:themeFill="background1"/>
          </w:tcPr>
          <w:p>
            <w:pPr>
              <w:pStyle w:val="00002e"/>
              <w:spacing w:line="440" w:lineRule="exact"/>
              <w:ind w:firstLine="420"/>
              <w:rPr>
                <w:rFonts w:ascii="仿宋" w:hAnsi="仿宋" w:eastAsia="仿宋" w:cs="Arial"/>
                <w:szCs w:val="21"/>
                <w:lang w:val="en-GB"/>
              </w:rPr>
            </w:pPr>
          </w:p>
        </w:tc>
      </w:tr>
      <w:tr>
        <w:trPr>
          <w:trHeight w:val="401" w:hRule="atLeast"/>
          <w:jc w:val="center"/>
        </w:trPr>
        <w:tc>
          <w:tcPr>
            <w:tcW w:w="2317" w:type="dxa"/>
            <w:shd w:val="clear" w:color="auto" w:fill="FFFFFF" w:themeFill="background1"/>
          </w:tcPr>
          <w:p>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机构信用代码</w:t>
            </w:r>
          </w:p>
        </w:tc>
        <w:tc>
          <w:tcPr>
            <w:tcW w:w="6969" w:type="dxa"/>
            <w:gridSpan w:val="3"/>
            <w:shd w:val="clear" w:color="auto" w:fill="FFFFFF" w:themeFill="background1"/>
          </w:tcPr>
          <w:p>
            <w:pPr>
              <w:spacing w:line="440" w:lineRule="exact"/>
              <w:rPr>
                <w:rFonts w:ascii="仿宋" w:hAnsi="仿宋" w:eastAsia="仿宋" w:cs="Arial"/>
                <w:szCs w:val="21"/>
              </w:rPr>
            </w:pPr>
          </w:p>
        </w:tc>
      </w:tr>
      <w:tr>
        <w:trPr>
          <w:trHeight w:val="463" w:hRule="atLeast"/>
          <w:jc w:val="center"/>
        </w:trPr>
        <w:tc>
          <w:tcPr>
            <w:tcW w:w="2317" w:type="dxa"/>
            <w:shd w:val="clear" w:color="auto" w:fill="FFFFFF" w:themeFill="background1"/>
          </w:tcPr>
          <w:p>
            <w:pPr>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经营范围</w:t>
            </w:r>
          </w:p>
        </w:tc>
        <w:tc>
          <w:tcPr>
            <w:tcW w:w="6969" w:type="dxa"/>
            <w:gridSpan w:val="3"/>
            <w:shd w:val="clear" w:color="auto" w:fill="FFFFFF" w:themeFill="background1"/>
          </w:tcPr>
          <w:p>
            <w:pPr>
              <w:spacing w:line="440" w:lineRule="exact"/>
              <w:rPr>
                <w:rFonts w:ascii="仿宋" w:hAnsi="仿宋" w:eastAsia="仿宋" w:cs="Arial"/>
                <w:szCs w:val="21"/>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注册地址</w:t>
            </w:r>
          </w:p>
        </w:tc>
        <w:tc>
          <w:tcPr>
            <w:tcW w:w="6969" w:type="dxa"/>
            <w:gridSpan w:val="3"/>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办公地址</w:t>
            </w:r>
          </w:p>
        </w:tc>
        <w:tc>
          <w:tcPr>
            <w:tcW w:w="6969" w:type="dxa"/>
            <w:gridSpan w:val="3"/>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联系电话</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财务部联系方式</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r>
        <w:trPr>
          <w:trHeight w:val="330" w:hRule="atLeast"/>
          <w:jc w:val="center"/>
        </w:trPr>
        <w:tc>
          <w:tcPr>
            <w:tcW w:w="2317"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基本户开户行</w:t>
            </w: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pPr>
              <w:pStyle w:val="00002e"/>
              <w:spacing w:line="440" w:lineRule="exact"/>
              <w:ind w:firstLine="420"/>
              <w:rPr>
                <w:rFonts w:ascii="仿宋" w:hAnsi="仿宋" w:eastAsia="仿宋" w:cs="Arial"/>
                <w:szCs w:val="21"/>
                <w:lang w:val="en-GB"/>
              </w:rPr>
            </w:pPr>
            <w:r>
              <w:rPr>
                <w:rFonts w:hint="eastAsia" w:ascii="仿宋" w:hAnsi="仿宋" w:eastAsia="仿宋" w:cs="Arial"/>
                <w:szCs w:val="21"/>
                <w:lang w:val="en-GB"/>
              </w:rPr>
              <w:t>主要结算行</w:t>
            </w:r>
          </w:p>
        </w:tc>
        <w:tc>
          <w:tcPr>
            <w:tcW w:w="2325" w:type="dxa"/>
            <w:shd w:val="clear" w:color="auto" w:fill="FFFFFF" w:themeFill="background1"/>
            <w:vAlign w:val="center"/>
          </w:tcPr>
          <w:p>
            <w:pPr>
              <w:pStyle w:val="00002e"/>
              <w:spacing w:line="440" w:lineRule="exact"/>
              <w:ind w:firstLine="420"/>
              <w:rPr>
                <w:rFonts w:ascii="仿宋" w:hAnsi="仿宋" w:eastAsia="仿宋" w:cs="Arial"/>
                <w:szCs w:val="21"/>
                <w:lang w:val="en-GB"/>
              </w:rPr>
            </w:pPr>
          </w:p>
        </w:tc>
      </w:tr>
    </w:tbl>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（二）股权结构（企业客户）</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3"/>
        <w:gridCol w:w="1328"/>
        <w:gridCol w:w="1328"/>
        <w:gridCol w:w="1328"/>
        <w:gridCol w:w="1329"/>
        <w:gridCol w:w="1329"/>
      </w:tblGrid>
      <w:tr>
        <w:trPr>
          <w:trHeight w:val="330" w:hRule="atLeast"/>
          <w:jc w:val="center"/>
        </w:trPr>
        <w:tc>
          <w:tcPr>
            <w:tcW w:w="1321"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股东名称</w:t>
            </w:r>
          </w:p>
        </w:tc>
        <w:tc>
          <w:tcPr>
            <w:tcW w:w="1323"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出资方式</w:t>
            </w:r>
          </w:p>
        </w:tc>
        <w:tc>
          <w:tcPr>
            <w:tcW w:w="1328"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出资币种</w:t>
            </w:r>
          </w:p>
        </w:tc>
        <w:tc>
          <w:tcPr>
            <w:tcW w:w="1328" w:type="dxa"/>
            <w:shd w:val="clear" w:color="auto" w:fill="FFFFFF" w:themeFill="background1"/>
            <w:vAlign w:val="center"/>
          </w:tcPr>
          <w:p>
            <w:pPr>
              <w:pStyle w:val="00002e"/>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应投金额（元）</w:t>
            </w:r>
          </w:p>
        </w:tc>
        <w:tc>
          <w:tcPr>
            <w:tcW w:w="1328" w:type="dxa"/>
            <w:shd w:val="clear" w:color="auto" w:fill="FFFFFF" w:themeFill="background1"/>
            <w:vAlign w:val="center"/>
          </w:tcPr>
          <w:p>
            <w:pPr>
              <w:pStyle w:val="00002e"/>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实投金额（元）</w:t>
            </w:r>
          </w:p>
        </w:tc>
        <w:tc>
          <w:tcPr>
            <w:tcW w:w="1329" w:type="dxa"/>
            <w:shd w:val="clear" w:color="auto" w:fill="FFFFFF" w:themeFill="background1"/>
            <w:vAlign w:val="center"/>
          </w:tcPr>
          <w:p>
            <w:pPr>
              <w:pStyle w:val="00002e"/>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股权比例（%）</w:t>
            </w:r>
          </w:p>
        </w:tc>
        <w:tc>
          <w:tcPr>
            <w:tcW w:w="1329"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投资日期</w:t>
            </w:r>
          </w:p>
        </w:tc>
      </w:tr>
      <w:tr>
        <w:trPr>
          <w:trHeight w:val="330" w:hRule="atLeast"/>
          <w:jc w:val="center"/>
        </w:trPr>
        <w:tc>
          <w:tcPr>
            <w:tcW w:w="1321"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c>
          <w:tcPr>
            <w:tcW w:w="1323"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pPr>
              <w:pStyle w:val="00002e"/>
              <w:spacing w:line="440" w:lineRule="exact"/>
              <w:ind w:firstLine="0" w:firstLineChars="0"/>
              <w:rPr>
                <w:rFonts w:ascii="仿宋" w:hAnsi="仿宋" w:eastAsia="仿宋" w:cs="Arial"/>
                <w:szCs w:val="21"/>
                <w:lang w:val="en-GB"/>
              </w:rPr>
            </w:pP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详细表述股东背景：必须追溯到申请人的最终股东和最终实际控制人，以及最终股东和最终实际控制人对申请人的持股状况和控制程度。各股东之间是否为关联企业、是否为亲属关系，作简要分析。</w:t>
      </w:r>
    </w:p>
    <w:p>
      <w:pPr>
        <w:tabs>
          <w:tab w:val="left" w:pos="-142"/>
        </w:tabs>
        <w:spacing w:line="440" w:lineRule="exact"/>
        <w:ind w:firstLine="315" w:firstLineChars="150"/>
        <w:jc w:val="center"/>
        <w:rPr>
          <w:rFonts w:hint="eastAsia" w:ascii="仿宋" w:hAnsi="仿宋" w:eastAsia="仿宋" w:cs="仿宋"/>
          <w:color w:val="000000" w:themeColor="text1"/>
          <w:szCs w:val="21"/>
          <w:lang w:val="en-GB"/>
        </w:rPr>
      </w:pPr>
      <w:r>
        <w:rPr>
          <w:rFonts w:hint="eastAsia" w:ascii="仿宋" w:hAnsi="仿宋" w:eastAsia="仿宋" w:cs="Arial"/>
          <w:color w:val="00B050"/>
          <w:szCs w:val="21"/>
        </w:rPr>
        <w:t xml:space="preserve"> </w:t>
      </w:r>
      <w:r>
        <w:rPr>
          <w:rFonts w:hint="eastAsia" w:ascii="仿宋" w:hAnsi="仿宋" w:eastAsia="仿宋" w:cs="仿宋"/>
          <w:color w:val="000000" w:themeColor="text1"/>
          <w:szCs w:val="21"/>
          <w14:textFill>
            <w14:solidFill>
              <w14:schemeClr w14:val="tx1"/>
            </w14:solidFill>
          </w14:textFill>
        </w:rPr>
        <w:t>【编辑框*******1000字】</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（三）重要关联企业介绍（不含股东）</w:t>
      </w:r>
    </w:p>
    <w:p>
      <w:pPr>
        <w:tabs>
          <w:tab w:val="left" w:pos="-142"/>
        </w:tabs>
        <w:spacing w:line="440" w:lineRule="exact"/>
        <w:ind w:firstLine="315" w:firstLineChars="150"/>
        <w:jc w:val="center"/>
        <w:rPr>
          <w:rFonts w:hint="eastAsia" w:ascii="仿宋" w:hAnsi="仿宋" w:eastAsia="仿宋" w:cs="仿宋"/>
          <w:color w:val="000000" w:themeColor="text1"/>
          <w:szCs w:val="21"/>
        </w:rPr>
      </w:pPr>
      <w:r>
        <w:rPr>
          <w:rFonts w:hint="eastAsia" w:ascii="仿宋" w:hAnsi="仿宋" w:eastAsia="仿宋" w:cs="仿宋"/>
          <w:color w:val="000000" w:themeColor="text1"/>
          <w:szCs w:val="21"/>
          <w14:textFill>
            <w14:solidFill>
              <w14:schemeClr w14:val="tx1"/>
            </w14:solidFill>
          </w14:textFill>
        </w:rPr>
        <w:t>【编辑框*******1000字】</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（四）保证人经营分析</w:t>
      </w:r>
    </w:p>
    <w:p>
      <w:pPr>
        <w:tabs>
          <w:tab w:val="left" w:pos="-142"/>
        </w:tabs>
        <w:spacing w:line="440" w:lineRule="exact"/>
        <w:ind w:firstLine="315" w:firstLineChars="150"/>
        <w:jc w:val="center"/>
        <w:rPr>
          <w:rFonts w:hint="eastAsia" w:ascii="仿宋" w:hAnsi="仿宋" w:eastAsia="仿宋" w:cs="仿宋"/>
          <w:color w:val="000000" w:themeColor="text1"/>
          <w:szCs w:val="21"/>
        </w:rPr>
      </w:pPr>
      <w:r>
        <w:rPr>
          <w:rFonts w:hint="eastAsia" w:ascii="仿宋" w:hAnsi="仿宋" w:eastAsia="仿宋" w:cs="仿宋"/>
          <w:color w:val="000000" w:themeColor="text1"/>
          <w:szCs w:val="21"/>
          <w14:textFill>
            <w14:solidFill>
              <w14:schemeClr w14:val="tx1"/>
            </w14:solidFill>
          </w14:textFill>
        </w:rPr>
        <w:t>【编辑框*******1000字】</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（五）保证人报表财务情况：</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jc w:val="center"/>
        <w:textAlignment w:val="auto"/>
        <w:outlineLvl w:val="9"/>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财务报表说明</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时间</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2283"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报表类型 </w:t>
            </w:r>
          </w:p>
        </w:tc>
        <w:tc>
          <w:tcPr>
            <w:tcW w:w="2064"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本部？合并？</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是否审计 </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审计单位 </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审计意见类型 </w:t>
            </w: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064" w:type="dxa"/>
          </w:tcPr>
          <w:p>
            <w:pPr>
              <w:jc w:val="left"/>
              <w:rPr>
                <w:rFonts w:ascii="仿宋" w:hAnsi="仿宋" w:eastAsia="仿宋" w:cs="仿宋"/>
                <w:color w:val="000000"/>
                <w:kern w:val="0"/>
                <w:szCs w:val="21"/>
              </w:rPr>
            </w:pPr>
          </w:p>
        </w:tc>
        <w:tc>
          <w:tcPr>
            <w:tcW w:w="2283" w:type="dxa"/>
          </w:tcPr>
          <w:p>
            <w:pPr>
              <w:jc w:val="left"/>
              <w:rPr>
                <w:rFonts w:ascii="仿宋" w:hAnsi="仿宋" w:eastAsia="仿宋" w:cs="仿宋"/>
                <w:color w:val="000000"/>
                <w:kern w:val="0"/>
                <w:szCs w:val="21"/>
              </w:rPr>
            </w:pP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提供的三年报表是否前后连续</w:t>
            </w:r>
          </w:p>
        </w:tc>
        <w:tc>
          <w:tcPr>
            <w:tcW w:w="8475" w:type="dxa"/>
            <w:gridSpan w:val="4"/>
          </w:tcPr>
          <w:p>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□连续       □不连续及原因： </w:t>
            </w:r>
          </w:p>
        </w:tc>
      </w:tr>
      <w:tr>
        <w:trPr>
          <w:jc w:val="center"/>
        </w:trPr>
        <w:tc>
          <w:tcPr>
            <w:tcW w:w="1947" w:type="dxa"/>
          </w:tcPr>
          <w:p>
            <w:pPr>
              <w:jc w:val="left"/>
              <w:rPr>
                <w:rFonts w:ascii="仿宋" w:hAnsi="仿宋" w:eastAsia="仿宋" w:cs="仿宋"/>
                <w:color w:val="000000"/>
                <w:kern w:val="0"/>
                <w:szCs w:val="21"/>
              </w:rPr>
            </w:pPr>
            <w:r>
              <w:rPr>
                <w:rFonts w:hint="eastAsia" w:ascii="仿宋" w:hAnsi="仿宋" w:eastAsia="仿宋" w:cs="仿宋"/>
                <w:color w:val="000000"/>
                <w:kern w:val="0"/>
                <w:szCs w:val="21"/>
              </w:rPr>
              <w:t>备注</w:t>
            </w:r>
          </w:p>
        </w:tc>
        <w:tc>
          <w:tcPr>
            <w:tcW w:w="8475" w:type="dxa"/>
            <w:gridSpan w:val="4"/>
          </w:tcPr>
          <w:p>
            <w:pPr>
              <w:jc w:val="left"/>
              <w:rPr>
                <w:rFonts w:ascii="仿宋" w:hAnsi="仿宋" w:eastAsia="仿宋" w:cs="仿宋"/>
                <w:color w:val="000000"/>
                <w:kern w:val="0"/>
                <w:szCs w:val="21"/>
              </w:rPr>
            </w:pPr>
            <w:r>
              <w:rPr>
                <w:rFonts w:hint="eastAsia" w:ascii="仿宋" w:hAnsi="仿宋" w:eastAsia="仿宋" w:cs="仿宋"/>
                <w:color w:val="000000"/>
                <w:kern w:val="0"/>
                <w:szCs w:val="21"/>
              </w:rPr>
              <w:t>若会计师事务所变更，请说明原因。</w:t>
            </w: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 xml:space="preserve">财务报表分析：                                                  </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jc w:val="center"/>
        <w:textAlignment w:val="auto"/>
        <w:outlineLvl w:val="9"/>
        <w:rPr>
          <w:rFonts w:ascii="仿宋" w:hAnsi="仿宋" w:eastAsia="仿宋" w:cs="仿宋"/>
          <w:b/>
          <w:sz w:val="24"/>
        </w:rPr>
      </w:pPr>
      <w:r>
        <w:rPr>
          <w:rFonts w:ascii="仿宋" w:hAnsi="仿宋" w:eastAsia="仿宋" w:cs="仿宋"/>
          <w:b/>
          <w:sz w:val="24"/>
        </w:rPr>
        <w:t xml:space="preserve">                         </w:t>
      </w:r>
      <w:r>
        <w:rPr>
          <w:rFonts w:hint="eastAsia" w:ascii="仿宋" w:hAnsi="仿宋" w:eastAsia="仿宋" w:cs="仿宋"/>
          <w:b/>
          <w:bCs/>
          <w:kern w:val="2"/>
          <w:sz w:val="24"/>
          <w:szCs w:val="24"/>
          <w:lang w:val="en-GB" w:eastAsia="zh-CN" w:bidi="ar-SA"/>
        </w:rPr>
        <w:t xml:space="preserve">资产负债表      </w:t>
      </w:r>
      <w:r>
        <w:rPr>
          <w:rFonts w:ascii="仿宋" w:hAnsi="仿宋" w:eastAsia="仿宋" w:cs="仿宋"/>
          <w:b/>
          <w:sz w:val="24"/>
        </w:rPr>
        <w:t xml:space="preserve">             </w:t>
      </w:r>
      <w:r>
        <w:rPr>
          <w:rFonts w:hint="eastAsia" w:ascii="仿宋" w:hAnsi="仿宋" w:eastAsia="仿宋" w:cs="仿宋"/>
          <w:sz w:val="24"/>
        </w:rPr>
        <w:t>单位：万元</w:t>
      </w:r>
    </w:p>
    <w:tbl>
      <w:tblPr>
        <w:tblStyle w:val="0000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trPr>
          <w:trHeight w:val="113" w:hRule="atLeast"/>
          <w:tblHeader/>
          <w:jc w:val="center"/>
        </w:trPr>
        <w:tc>
          <w:tcPr>
            <w:tcW w:w="1854" w:type="dxa"/>
            <w:vMerge w:val="restart"/>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科目 </w:t>
            </w:r>
          </w:p>
        </w:tc>
        <w:tc>
          <w:tcPr>
            <w:tcW w:w="1810" w:type="dxa"/>
            <w:gridSpan w:val="2"/>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××年末（前三年） </w:t>
            </w:r>
          </w:p>
        </w:tc>
        <w:tc>
          <w:tcPr>
            <w:tcW w:w="1812" w:type="dxa"/>
            <w:gridSpan w:val="2"/>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××年末（前二年） </w:t>
            </w:r>
          </w:p>
        </w:tc>
        <w:tc>
          <w:tcPr>
            <w:tcW w:w="1810" w:type="dxa"/>
            <w:gridSpan w:val="2"/>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××年末（前一年） </w:t>
            </w:r>
          </w:p>
        </w:tc>
        <w:tc>
          <w:tcPr>
            <w:tcW w:w="2100" w:type="dxa"/>
            <w:gridSpan w:val="2"/>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×年×月（最近一期） </w:t>
            </w:r>
          </w:p>
        </w:tc>
      </w:tr>
      <w:tr>
        <w:trPr>
          <w:trHeight w:val="113" w:hRule="atLeast"/>
          <w:tblHeader/>
          <w:jc w:val="center"/>
        </w:trPr>
        <w:tc>
          <w:tcPr>
            <w:tcW w:w="1854" w:type="dxa"/>
            <w:vMerge w:val="continue"/>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119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r>
              <w:rPr>
                <w:rFonts w:hint="eastAsia" w:ascii="仿宋" w:hAnsi="仿宋" w:eastAsia="仿宋" w:cs="仿宋"/>
                <w:b/>
                <w:color w:val="000000"/>
                <w:kern w:val="0"/>
                <w:szCs w:val="21"/>
              </w:rPr>
              <w:t>总资产</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c>
          <w:tcPr>
            <w:tcW w:w="119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kern w:val="0"/>
                <w:szCs w:val="21"/>
              </w:rPr>
            </w:pP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流动资产合计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货币资金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交易性金融资产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应收票据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应收账款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合同资产</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预付账款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应收利息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应收股利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其他应收款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坏账准备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存货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其他流动资产</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一年内到期的非流动资产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非流动资产合计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债权投资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其他债权投资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长期股权投资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投资性房地产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长期应收款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固定资产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在建工程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无形资产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商誉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长期待摊费用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递延所得税资产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总负债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流动负债合计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短期借款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交易性金融负债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应付票据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应付账款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预收账款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合同负债</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应付职工薪酬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应交税费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应付股利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应付利息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其他应付款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一年内到期的非流动负债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非流动负债合计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长期借款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应付债券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长期应付款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递延所得税负债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所有者权益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实收资本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其他权益工具</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资本公积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库存股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盈余公积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trPr>
          <w:trHeight w:val="113" w:hRule="atLeast"/>
          <w:jc w:val="center"/>
        </w:trPr>
        <w:tc>
          <w:tcPr>
            <w:tcW w:w="185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未分配利润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l2br w:val="nil"/>
              <w:tr2bl w:val="nil"/>
            </w:tcBorders>
            <w:tcMar>
              <w:top w:w="15" w:type="dxa"/>
              <w:left w:w="15" w:type="dxa"/>
              <w:right w:w="15" w:type="dxa"/>
            </w:tcMar>
            <w:vAlign w:val="center"/>
          </w:tcPr>
          <w:p>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l2br w:val="nil"/>
              <w:tr2bl w:val="nil"/>
            </w:tcBorders>
            <w:tcMar>
              <w:top w:w="15" w:type="dxa"/>
              <w:left w:w="15" w:type="dxa"/>
              <w:right w:w="15" w:type="dxa"/>
            </w:tcMar>
            <w:vAlign w:val="bottom"/>
          </w:tcPr>
          <w:p>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bl>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jc w:val="center"/>
        <w:textAlignment w:val="auto"/>
        <w:outlineLvl w:val="9"/>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利润表</w:t>
      </w:r>
    </w:p>
    <w:tbl>
      <w:tblPr>
        <w:tblStyle w:val="000015"/>
        <w:tblW w:w="0" w:type="auto"/>
        <w:jc w:val="center"/>
        <w:tblLayout w:type="fixed"/>
        <w:tblCellMar>
          <w:top w:w="0" w:type="dxa"/>
          <w:left w:w="108" w:type="dxa"/>
          <w:bottom w:w="0" w:type="dxa"/>
          <w:right w:w="108" w:type="dxa"/>
        </w:tblCellMar>
      </w:tblPr>
      <w:tblGrid>
        <w:gridCol w:w="1901"/>
        <w:gridCol w:w="934"/>
        <w:gridCol w:w="934"/>
        <w:gridCol w:w="934"/>
        <w:gridCol w:w="934"/>
        <w:gridCol w:w="934"/>
        <w:gridCol w:w="935"/>
        <w:gridCol w:w="935"/>
        <w:gridCol w:w="935"/>
      </w:tblGrid>
      <w:tr>
        <w:trPr>
          <w:trHeight w:val="283" w:hRule="atLeast"/>
          <w:tblHeader/>
          <w:jc w:val="center"/>
        </w:trPr>
        <w:tc>
          <w:tcPr>
            <w:tcW w:w="1901"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科目</w:t>
            </w:r>
          </w:p>
        </w:tc>
        <w:tc>
          <w:tcPr>
            <w:tcW w:w="1868"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××年末（前三年）</w:t>
            </w:r>
          </w:p>
        </w:tc>
        <w:tc>
          <w:tcPr>
            <w:tcW w:w="1868"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××年末（前二年）</w:t>
            </w:r>
          </w:p>
        </w:tc>
        <w:tc>
          <w:tcPr>
            <w:tcW w:w="1869"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××年末（前一年）</w:t>
            </w:r>
          </w:p>
        </w:tc>
        <w:tc>
          <w:tcPr>
            <w:tcW w:w="1870"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×年×月（最近一期）</w:t>
            </w:r>
          </w:p>
        </w:tc>
      </w:tr>
      <w:tr>
        <w:trPr>
          <w:trHeight w:val="283" w:hRule="atLeast"/>
          <w:tblHeader/>
          <w:jc w:val="center"/>
        </w:trPr>
        <w:tc>
          <w:tcPr>
            <w:tcW w:w="1901"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一、营业总收入</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减：营业成本</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营业税金及附加</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销售费用</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管理费用</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财务费用</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研发费用</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加：其他收益</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投资收益</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资产减值损失（损失以-号列）</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信用减值损失（损失以-号列）</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公允价值变动净收益</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汇兑净收益</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二、营业利润</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加：营业外收入</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减：营业外支出</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三、利润总额</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减：所得税费用</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color w:val="000000"/>
                <w:kern w:val="0"/>
                <w:szCs w:val="21"/>
              </w:rPr>
            </w:pPr>
          </w:p>
        </w:tc>
      </w:tr>
      <w:tr>
        <w:trPr>
          <w:trHeight w:val="283" w:hRule="atLeast"/>
          <w:jc w:val="center"/>
        </w:trPr>
        <w:tc>
          <w:tcPr>
            <w:tcW w:w="1901"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四、净利润</w:t>
            </w: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4"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p>
        </w:tc>
        <w:tc>
          <w:tcPr>
            <w:tcW w:w="935" w:type="dxa"/>
            <w:tcBorders>
              <w:top w:val="nil"/>
              <w:left w:val="nil"/>
              <w:bottom w:val="single" w:color="auto" w:sz="4" w:space="0"/>
              <w:right w:val="single" w:color="auto" w:sz="4" w:space="0"/>
            </w:tcBorders>
            <w:noWrap/>
            <w:vAlign w:val="center"/>
          </w:tcPr>
          <w:p>
            <w:pPr>
              <w:jc w:val="center"/>
              <w:rPr>
                <w:rFonts w:ascii="仿宋" w:hAnsi="仿宋" w:eastAsia="仿宋" w:cs="仿宋"/>
                <w:b/>
                <w:bCs/>
                <w:color w:val="000000"/>
                <w:kern w:val="0"/>
                <w:szCs w:val="21"/>
              </w:rPr>
            </w:pPr>
          </w:p>
        </w:tc>
      </w:tr>
    </w:tbl>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jc w:val="center"/>
        <w:textAlignment w:val="auto"/>
        <w:outlineLvl w:val="9"/>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现金流量表</w:t>
      </w:r>
    </w:p>
    <w:tbl>
      <w:tblPr>
        <w:tblStyle w:val="000015"/>
        <w:tblW w:w="0" w:type="auto"/>
        <w:jc w:val="center"/>
        <w:tblLayout w:type="fixed"/>
        <w:tblCellMar>
          <w:top w:w="0" w:type="dxa"/>
          <w:left w:w="108" w:type="dxa"/>
          <w:bottom w:w="0" w:type="dxa"/>
          <w:right w:w="108" w:type="dxa"/>
        </w:tblCellMar>
      </w:tblPr>
      <w:tblGrid>
        <w:gridCol w:w="2843"/>
        <w:gridCol w:w="1722"/>
        <w:gridCol w:w="1722"/>
        <w:gridCol w:w="1722"/>
        <w:gridCol w:w="1877"/>
      </w:tblGrid>
      <w:tr>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科目</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172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1877"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经营活动现金流入小计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经营活动现金流出小计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b/>
                <w:color w:val="000000"/>
                <w:kern w:val="0"/>
                <w:szCs w:val="21"/>
              </w:rPr>
            </w:pPr>
            <w:r>
              <w:rPr>
                <w:rFonts w:hint="eastAsia" w:ascii="仿宋" w:hAnsi="仿宋" w:eastAsia="仿宋" w:cs="仿宋"/>
                <w:b/>
                <w:color w:val="000000"/>
                <w:kern w:val="0"/>
                <w:szCs w:val="21"/>
              </w:rPr>
              <w:t>经营活动产生现金流净额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投资活动现金流入小计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投资活动现金流出小计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b/>
                <w:color w:val="000000"/>
                <w:kern w:val="0"/>
                <w:szCs w:val="21"/>
              </w:rPr>
            </w:pPr>
            <w:r>
              <w:rPr>
                <w:rFonts w:hint="eastAsia" w:ascii="仿宋" w:hAnsi="仿宋" w:eastAsia="仿宋" w:cs="仿宋"/>
                <w:b/>
                <w:color w:val="000000"/>
                <w:kern w:val="0"/>
                <w:szCs w:val="21"/>
              </w:rPr>
              <w:t>投资活动现金流量净额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筹资活动现金流入小计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筹资活动现金流出小计</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b/>
                <w:color w:val="000000"/>
                <w:kern w:val="0"/>
                <w:szCs w:val="21"/>
              </w:rPr>
            </w:pPr>
            <w:r>
              <w:rPr>
                <w:rFonts w:hint="eastAsia" w:ascii="仿宋" w:hAnsi="仿宋" w:eastAsia="仿宋" w:cs="仿宋"/>
                <w:b/>
                <w:color w:val="000000"/>
                <w:kern w:val="0"/>
                <w:szCs w:val="21"/>
              </w:rPr>
              <w:t>筹资活动现金流量净额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pPr>
              <w:rPr>
                <w:rFonts w:ascii="仿宋" w:hAnsi="仿宋" w:eastAsia="仿宋" w:cs="仿宋"/>
                <w:color w:val="000000"/>
                <w:kern w:val="0"/>
                <w:szCs w:val="21"/>
              </w:rPr>
            </w:pPr>
            <w:r>
              <w:rPr>
                <w:rFonts w:hint="eastAsia" w:ascii="仿宋" w:hAnsi="仿宋" w:eastAsia="仿宋" w:cs="仿宋"/>
                <w:color w:val="000000"/>
                <w:kern w:val="0"/>
                <w:szCs w:val="21"/>
              </w:rPr>
              <w:t>现金及现金等价物净增加额</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noWrap/>
            <w:vAlign w:val="bottom"/>
          </w:tcPr>
          <w:p>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bl>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财务状况总体评价</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综合各项财务结果，对客户的财务状况进行综合性评价。</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line="440" w:lineRule="exact"/>
        <w:ind w:firstLine="0" w:firstLineChars="0"/>
        <w:jc w:val="center"/>
        <w:textAlignment w:val="auto"/>
        <w:rPr>
          <w:rFonts w:hint="eastAsia" w:ascii="仿宋" w:hAnsi="仿宋" w:eastAsia="仿宋" w:cs="仿宋"/>
          <w:color w:val="000000" w:themeColor="text1"/>
          <w:szCs w:val="21"/>
        </w:rPr>
      </w:pPr>
      <w:r>
        <w:rPr>
          <w:rFonts w:hint="eastAsia" w:ascii="仿宋" w:hAnsi="仿宋" w:eastAsia="仿宋" w:cs="仿宋"/>
          <w:color w:val="000000" w:themeColor="text1"/>
          <w:szCs w:val="21"/>
          <w14:textFill>
            <w14:solidFill>
              <w14:schemeClr w14:val="tx1"/>
            </w14:solidFill>
          </w14:textFill>
        </w:rPr>
        <w:t>【编辑框*******1000字】</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（六）保证人授信情况分析</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line="440" w:lineRule="exact"/>
        <w:ind w:firstLine="0" w:firstLineChars="0"/>
        <w:jc w:val="center"/>
        <w:textAlignment w:val="auto"/>
        <w:rPr>
          <w:rFonts w:hint="eastAsia" w:ascii="仿宋" w:hAnsi="仿宋" w:eastAsia="仿宋" w:cs="仿宋"/>
          <w:color w:val="000000" w:themeColor="text1"/>
          <w:szCs w:val="21"/>
        </w:rPr>
      </w:pPr>
      <w:r>
        <w:rPr>
          <w:rFonts w:hint="eastAsia" w:ascii="仿宋" w:hAnsi="仿宋" w:eastAsia="仿宋" w:cs="仿宋"/>
          <w:color w:val="000000" w:themeColor="text1"/>
          <w:szCs w:val="21"/>
          <w14:textFill>
            <w14:solidFill>
              <w14:schemeClr w14:val="tx1"/>
            </w14:solidFill>
          </w14:textFill>
        </w:rPr>
        <w:t>【编辑框*******1000字】</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GB" w:eastAsia="zh-CN" w:bidi="ar-SA"/>
        </w:rPr>
        <w:t>（七）总体担保能力评价</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重点分析近三年大额及重大异动科目情况（至少应分析占比超过10%或者波动幅度超过20%的科目），并结合相关财务指标对担保人盈利能力、偿债能力等财务表现进行分析，进而评价其代偿能力。</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after="157" w:afterLines="50" w:line="440" w:lineRule="exact"/>
        <w:ind w:firstLine="480" w:firstLineChars="200"/>
        <w:textAlignment w:val="auto"/>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保证人二：***公司    参照保证人一分析模板</w:t>
      </w:r>
    </w:p>
    <w:p>
      <w:pPr>
        <w:rPr>
          <w:rFonts w:hint="eastAsia"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br w:type="page"/>
      </w:r>
    </w:p>
    <w:p>
      <w:pPr>
        <w:numPr>
          <w:ilvl w:val="0"/>
          <w:numId w:val="0"/>
        </w:numPr>
        <w:spacing w:before="156" w:beforeLines="50" w:after="156" w:afterLines="50"/>
        <w:ind w:left="482" w:leftChars="0"/>
        <w:jc w:val="center"/>
        <w:outlineLvl w:val="0"/>
        <w:rPr>
          <w:rFonts w:hint="eastAsia"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t>六、</w:t>
      </w:r>
      <w:r>
        <w:rPr>
          <w:rFonts w:hint="eastAsia" w:ascii="仿宋" w:hAnsi="仿宋" w:eastAsia="仿宋" w:cs="仿宋"/>
          <w:b/>
          <w:bCs w:val="false"/>
          <w:kern w:val="2"/>
          <w:sz w:val="32"/>
          <w:szCs w:val="32"/>
          <w:lang w:val="en-GB" w:eastAsia="zh-CN" w:bidi="ar-SA"/>
        </w:rPr>
        <w:t>抵质押物分析</w:t>
      </w:r>
    </w:p>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ascii="仿宋" w:hAnsi="仿宋" w:eastAsia="仿宋" w:cs="仿宋"/>
          <w:sz w:val="24"/>
        </w:rPr>
      </w:pPr>
      <w:r>
        <w:rPr>
          <w:rFonts w:hint="eastAsia" w:ascii="仿宋" w:hAnsi="仿宋" w:eastAsia="仿宋" w:cs="仿宋"/>
          <w:b/>
          <w:bCs/>
          <w:kern w:val="2"/>
          <w:sz w:val="24"/>
          <w:szCs w:val="24"/>
          <w:lang w:val="en-US" w:eastAsia="zh-CN" w:bidi="ar-SA"/>
        </w:rPr>
        <w:t xml:space="preserve">（一）抵（质）押措施评价（截止日期： ×年×月  ； 单位：万元）  </w:t>
      </w:r>
      <w:r>
        <w:rPr>
          <w:rFonts w:hint="eastAsia" w:ascii="仿宋" w:hAnsi="仿宋" w:eastAsia="仿宋" w:cs="仿宋"/>
          <w:sz w:val="24"/>
        </w:rPr>
        <w:t xml:space="preserve">                                                         </w:t>
      </w:r>
    </w:p>
    <w:tbl>
      <w:tblPr>
        <w:tblStyle w:val="00001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730"/>
        <w:gridCol w:w="2505"/>
        <w:gridCol w:w="2618"/>
        <w:gridCol w:w="2950"/>
      </w:tblGrid>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项目</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此处填写抵押物名称</w:t>
            </w:r>
          </w:p>
        </w:tc>
        <w:tc>
          <w:tcPr>
            <w:tcW w:w="2618" w:type="dxa"/>
            <w:noWrap/>
            <w:tcMar>
              <w:top w:w="15" w:type="dxa"/>
              <w:left w:w="15" w:type="dxa"/>
              <w:bottom w:w="0" w:type="dxa"/>
              <w:right w:w="15" w:type="dxa"/>
            </w:tcMar>
          </w:tcPr>
          <w:p>
            <w:pPr>
              <w:rPr>
                <w:rFonts w:ascii="仿宋" w:hAnsi="仿宋" w:eastAsia="仿宋" w:cs="仿宋"/>
                <w:szCs w:val="21"/>
              </w:rPr>
            </w:pPr>
            <w:r>
              <w:rPr>
                <w:rFonts w:hint="eastAsia" w:ascii="仿宋" w:hAnsi="仿宋" w:eastAsia="仿宋" w:cs="仿宋"/>
                <w:szCs w:val="21"/>
              </w:rPr>
              <w:t>此处填写抵押物名称</w:t>
            </w:r>
          </w:p>
        </w:tc>
        <w:tc>
          <w:tcPr>
            <w:tcW w:w="2950" w:type="dxa"/>
            <w:noWrap/>
            <w:tcMar>
              <w:top w:w="15" w:type="dxa"/>
              <w:left w:w="15" w:type="dxa"/>
              <w:bottom w:w="0" w:type="dxa"/>
              <w:right w:w="15" w:type="dxa"/>
            </w:tcMar>
          </w:tcPr>
          <w:p>
            <w:pPr>
              <w:rPr>
                <w:rFonts w:ascii="仿宋" w:hAnsi="仿宋" w:eastAsia="仿宋" w:cs="仿宋"/>
                <w:szCs w:val="21"/>
              </w:rPr>
            </w:pPr>
            <w:r>
              <w:rPr>
                <w:rFonts w:hint="eastAsia" w:ascii="仿宋" w:hAnsi="仿宋" w:eastAsia="仿宋" w:cs="仿宋"/>
                <w:szCs w:val="21"/>
              </w:rPr>
              <w:t>……</w:t>
            </w: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类别</w:t>
            </w:r>
          </w:p>
          <w:p>
            <w:pPr>
              <w:jc w:val="center"/>
              <w:rPr>
                <w:rFonts w:ascii="仿宋" w:hAnsi="仿宋" w:eastAsia="仿宋" w:cs="仿宋"/>
                <w:szCs w:val="21"/>
              </w:rPr>
            </w:pPr>
            <w:r>
              <w:rPr>
                <w:rFonts w:hint="eastAsia" w:ascii="仿宋" w:hAnsi="仿宋" w:eastAsia="仿宋" w:cs="仿宋"/>
                <w:szCs w:val="21"/>
              </w:rPr>
              <w:t>（土地性质、专用设备、通用设备等）</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单项资产或整体资产</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处所</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抵押土地（或房产建筑）面积</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担保物获取价格</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30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担保物获取方式</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本次担保额度</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所有权人</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担保物账面价值</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评估价值</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押品价值波动幅度</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担保物价值确定方式</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评估机构</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已为其它债权设定担保额</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本笔贷款抵质押率</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是否已保险</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是否合法、无附加权利和约束、可转让</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抵押权证编号</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是否出现查封、冻结、扣划等不利情形</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r>
        <w:trPr>
          <w:trHeight w:val="240" w:hRule="atLeast"/>
          <w:jc w:val="center"/>
        </w:trPr>
        <w:tc>
          <w:tcPr>
            <w:tcW w:w="2730" w:type="dxa"/>
            <w:noWrap/>
            <w:tcMar>
              <w:top w:w="15" w:type="dxa"/>
              <w:left w:w="15" w:type="dxa"/>
              <w:bottom w:w="0" w:type="dxa"/>
              <w:right w:w="15" w:type="dxa"/>
            </w:tcMar>
            <w:vAlign w:val="center"/>
          </w:tcPr>
          <w:p>
            <w:pPr>
              <w:jc w:val="center"/>
              <w:rPr>
                <w:rFonts w:ascii="仿宋" w:hAnsi="仿宋" w:eastAsia="仿宋" w:cs="仿宋"/>
                <w:szCs w:val="21"/>
              </w:rPr>
            </w:pPr>
            <w:r>
              <w:rPr>
                <w:rFonts w:hint="eastAsia" w:ascii="仿宋" w:hAnsi="仿宋" w:eastAsia="仿宋" w:cs="仿宋"/>
                <w:szCs w:val="21"/>
              </w:rPr>
              <w:t>是否符合我行押品管理办法</w:t>
            </w:r>
          </w:p>
        </w:tc>
        <w:tc>
          <w:tcPr>
            <w:tcW w:w="2505" w:type="dxa"/>
            <w:noWrap/>
            <w:tcMar>
              <w:top w:w="15" w:type="dxa"/>
              <w:left w:w="15" w:type="dxa"/>
              <w:bottom w:w="0" w:type="dxa"/>
              <w:right w:w="15" w:type="dxa"/>
            </w:tcMar>
            <w:vAlign w:val="center"/>
          </w:tcPr>
          <w:p>
            <w:pPr>
              <w:jc w:val="center"/>
              <w:rPr>
                <w:rFonts w:ascii="仿宋" w:hAnsi="仿宋" w:eastAsia="仿宋" w:cs="仿宋"/>
                <w:szCs w:val="21"/>
              </w:rPr>
            </w:pPr>
          </w:p>
        </w:tc>
        <w:tc>
          <w:tcPr>
            <w:tcW w:w="2618" w:type="dxa"/>
            <w:noWrap/>
            <w:tcMar>
              <w:top w:w="15" w:type="dxa"/>
              <w:left w:w="15" w:type="dxa"/>
              <w:bottom w:w="0" w:type="dxa"/>
              <w:right w:w="15" w:type="dxa"/>
            </w:tcMar>
            <w:vAlign w:val="center"/>
          </w:tcPr>
          <w:p>
            <w:pPr>
              <w:jc w:val="center"/>
              <w:rPr>
                <w:rFonts w:ascii="仿宋" w:hAnsi="仿宋" w:eastAsia="仿宋" w:cs="仿宋"/>
                <w:szCs w:val="21"/>
              </w:rPr>
            </w:pPr>
          </w:p>
        </w:tc>
        <w:tc>
          <w:tcPr>
            <w:tcW w:w="2950" w:type="dxa"/>
            <w:noWrap/>
            <w:tcMar>
              <w:top w:w="15" w:type="dxa"/>
              <w:left w:w="15" w:type="dxa"/>
              <w:bottom w:w="0" w:type="dxa"/>
              <w:right w:w="15" w:type="dxa"/>
            </w:tcMar>
            <w:vAlign w:val="center"/>
          </w:tcPr>
          <w:p>
            <w:pPr>
              <w:jc w:val="center"/>
              <w:rPr>
                <w:rFonts w:ascii="仿宋" w:hAnsi="仿宋" w:eastAsia="仿宋" w:cs="仿宋"/>
                <w:szCs w:val="21"/>
              </w:rPr>
            </w:pPr>
          </w:p>
        </w:tc>
      </w:tr>
    </w:tbl>
    <w:p>
      <w:pPr>
        <w:keepNext w:val="false"/>
        <w:keepLines w:val="false"/>
        <w:pageBreakBefore w:val="false"/>
        <w:widowControl w:val="false"/>
        <w:kinsoku/>
        <w:wordWrap/>
        <w:overflowPunct/>
        <w:topLinePunct/>
        <w:autoSpaceDE w:val="false"/>
        <w:autoSpaceDN/>
        <w:bidi w:val="false"/>
        <w:adjustRightInd/>
        <w:snapToGrid/>
        <w:spacing w:before="156" w:beforeLines="50" w:after="156" w:afterLines="50" w:line="440" w:lineRule="exact"/>
        <w:ind w:left="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（二）解释与分析：抵质押品具体信息的补充评价分析。</w:t>
      </w:r>
    </w:p>
    <w:p>
      <w:pPr>
        <w:keepNext w:val="false"/>
        <w:keepLines w:val="false"/>
        <w:pageBreakBefore w:val="false"/>
        <w:widowControl w:val="false"/>
        <w:tabs>
          <w:tab w:val="left" w:pos="-142"/>
        </w:tabs>
        <w:kinsoku/>
        <w:wordWrap/>
        <w:overflowPunct/>
        <w:topLinePunct/>
        <w:autoSpaceDE w:val="false"/>
        <w:autoSpaceDN/>
        <w:bidi w:val="false"/>
        <w:adjustRightInd/>
        <w:snapToGrid/>
        <w:spacing w:before="157" w:beforeLines="50" w:line="440" w:lineRule="exact"/>
        <w:ind w:firstLine="0" w:firstLineChars="0"/>
        <w:jc w:val="center"/>
        <w:textAlignment w:val="auto"/>
        <w:rPr>
          <w:rFonts w:ascii="仿宋" w:hAnsi="仿宋" w:eastAsia="仿宋" w:cs="仿宋"/>
          <w:color w:val="000000" w:themeColor="text1"/>
          <w:szCs w:val="21"/>
        </w:rPr>
      </w:pPr>
      <w:r>
        <w:rPr>
          <w:rFonts w:hint="eastAsia" w:ascii="仿宋" w:hAnsi="仿宋" w:eastAsia="仿宋" w:cs="仿宋"/>
          <w:color w:val="000000" w:themeColor="text1"/>
          <w:szCs w:val="21"/>
          <w14:textFill>
            <w14:solidFill>
              <w14:schemeClr w14:val="tx1"/>
            </w14:solidFill>
          </w14:textFill>
        </w:rPr>
        <w:t>【编辑框*******1000字】</w:t>
      </w:r>
    </w:p>
    <w:p>
      <w:pPr>
        <w:rPr>
          <w:rFonts w:hint="eastAsia"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br w:type="page"/>
      </w:r>
    </w:p>
    <w:p>
      <w:pPr>
        <w:numPr>
          <w:ilvl w:val="0"/>
          <w:numId w:val="0"/>
        </w:numPr>
        <w:spacing w:before="156" w:beforeLines="50" w:after="156" w:afterLines="50"/>
        <w:ind w:left="482" w:leftChars="0"/>
        <w:jc w:val="center"/>
        <w:outlineLvl w:val="0"/>
        <w:rPr>
          <w:rFonts w:hint="eastAsia" w:ascii="仿宋" w:hAnsi="仿宋" w:eastAsia="仿宋" w:cs="仿宋"/>
          <w:b/>
          <w:bCs w:val="false"/>
          <w:kern w:val="2"/>
          <w:sz w:val="32"/>
          <w:szCs w:val="32"/>
          <w:lang w:val="en-US" w:eastAsia="zh-CN" w:bidi="ar-SA"/>
        </w:rPr>
      </w:pPr>
      <w:r>
        <w:rPr>
          <w:rFonts w:hint="eastAsia" w:ascii="仿宋" w:hAnsi="仿宋" w:eastAsia="仿宋" w:cs="仿宋"/>
          <w:b/>
          <w:bCs w:val="false"/>
          <w:kern w:val="2"/>
          <w:sz w:val="32"/>
          <w:szCs w:val="32"/>
          <w:lang w:val="en-US" w:eastAsia="zh-CN" w:bidi="ar-SA"/>
        </w:rPr>
        <w:t>七、风险揭示及调查结论</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（一）关键风险点揭示及贷后管理措施安排</w:t>
      </w:r>
    </w:p>
    <w:tbl>
      <w:tblPr>
        <w:tblStyle w:val="000015"/>
        <w:tblpPr w:leftFromText="180" w:rightFromText="180" w:vertAnchor="text" w:horzAnchor="margin" w:tblpX="1" w:tblpY="9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51"/>
        <w:gridCol w:w="3078"/>
        <w:gridCol w:w="3251"/>
      </w:tblGrid>
      <w:tr>
        <w:trPr>
          <w:trHeight w:val="90" w:hRule="atLeast"/>
          <w:tblHeader/>
        </w:trPr>
        <w:tc>
          <w:tcPr>
            <w:tcW w:w="2751" w:type="dxa"/>
            <w:vAlign w:val="center"/>
          </w:tcPr>
          <w:p>
            <w:pPr>
              <w:pStyle w:val="00002e"/>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关键授信风险类别</w:t>
            </w:r>
          </w:p>
        </w:tc>
        <w:tc>
          <w:tcPr>
            <w:tcW w:w="3078" w:type="dxa"/>
            <w:vAlign w:val="center"/>
          </w:tcPr>
          <w:p>
            <w:pPr>
              <w:pStyle w:val="00002e"/>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具体风险点描述</w:t>
            </w:r>
          </w:p>
        </w:tc>
        <w:tc>
          <w:tcPr>
            <w:tcW w:w="3251" w:type="dxa"/>
            <w:vAlign w:val="center"/>
          </w:tcPr>
          <w:p>
            <w:pPr>
              <w:pStyle w:val="00002e"/>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贷后管理措施安排</w:t>
            </w:r>
          </w:p>
        </w:tc>
      </w:tr>
      <w:tr>
        <w:trPr>
          <w:cantSplit/>
          <w:trHeight w:val="2150" w:hRule="atLeast"/>
        </w:trPr>
        <w:tc>
          <w:tcPr>
            <w:tcW w:w="2751" w:type="dxa"/>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政策合规风险</w:t>
            </w:r>
          </w:p>
        </w:tc>
        <w:tc>
          <w:tcPr>
            <w:tcW w:w="3078" w:type="dxa"/>
            <w:vAlign w:val="center"/>
          </w:tcPr>
          <w:p>
            <w:pPr>
              <w:pStyle w:val="00002e"/>
              <w:spacing w:line="440" w:lineRule="exact"/>
              <w:ind w:firstLine="0" w:firstLineChars="0"/>
              <w:jc w:val="center"/>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需关注项目在环保审批、土地使用、产业政策适配性等方面是否符合国家及地方最新政策要求，避免因政策调整导致项目合规性瑕疵或审批障碍。</w:t>
            </w:r>
          </w:p>
        </w:tc>
        <w:tc>
          <w:tcPr>
            <w:tcW w:w="3251" w:type="dxa"/>
            <w:vAlign w:val="center"/>
          </w:tcPr>
          <w:p>
            <w:pPr>
              <w:pStyle w:val="00002e"/>
              <w:spacing w:line="440" w:lineRule="exact"/>
              <w:ind w:firstLine="0" w:firstLineChars="0"/>
              <w:jc w:val="center"/>
              <w:rPr>
                <w:rFonts w:ascii="仿宋" w:hAnsi="仿宋" w:eastAsia="仿宋" w:cs="Arial"/>
                <w:szCs w:val="21"/>
              </w:rPr>
            </w:pPr>
            <w:r>
              <w:rPr>
                <w:rFonts w:ascii="仿宋" w:hAnsi="仿宋" w:eastAsia="仿宋" w:cs="仿宋"/>
                <w:i w:val="false"/>
                <w:strike w:val="false"/>
                <w:color w:val="000000"/>
                <w:spacing w:val="0"/>
                <w:sz w:val="21"/>
                <w:u w:val="none"/>
                <w:shd w:val="clear" w:color="auto" w:fill="FFFFFF"/>
              </w:rPr>
              <w:t>贷后持续跟踪国家及地方环保、产业、土地等政策变动，定期核查项目合规性，确保项目审批、建设及运营符合最新政策要求。</w:t>
            </w:r>
          </w:p>
        </w:tc>
      </w:tr>
      <w:tr>
        <w:trPr>
          <w:cantSplit/>
          <w:trHeight w:val="2575" w:hRule="atLeast"/>
        </w:trPr>
        <w:tc>
          <w:tcPr>
            <w:tcW w:w="2751" w:type="dxa"/>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信贷资金挪用风险</w:t>
            </w:r>
          </w:p>
        </w:tc>
        <w:tc>
          <w:tcPr>
            <w:tcW w:w="3078" w:type="dxa"/>
            <w:vAlign w:val="center"/>
          </w:tcPr>
          <w:p>
            <w:pPr>
              <w:pStyle w:val="00002e"/>
              <w:pBdr>
                <w:bottom w:val="none" w:color="auto" w:sz="0" w:space="0"/>
              </w:pBdr>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需警惕项目公司将贷款资金挪用于非河南大成包装材料有限公司源网荷储一体化项目建设、运营等约定用途，导致资金使用偏离融资审批目的及项目实际需求。</w:t>
            </w:r>
          </w:p>
        </w:tc>
        <w:tc>
          <w:tcPr>
            <w:tcW w:w="3251" w:type="dxa"/>
            <w:vAlign w:val="center"/>
          </w:tcPr>
          <w:p>
            <w:pPr>
              <w:pStyle w:val="00002e"/>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贷后严格监控贷款资金流向，通过专户管理、资金使用审核等方式，确保资金按约定用于河南大成包装材料有限公司源网荷储一体化项目建设及运营，防范资金挪用风险。</w:t>
            </w:r>
          </w:p>
          <w:p>
            <w:pPr>
              <w:pStyle w:val="00002e"/>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 </w:t>
            </w:r>
          </w:p>
        </w:tc>
      </w:tr>
      <w:tr>
        <w:trPr>
          <w:cantSplit/>
          <w:trHeight w:val="332" w:hRule="atLeast"/>
        </w:trPr>
        <w:tc>
          <w:tcPr>
            <w:tcW w:w="2751" w:type="dxa"/>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市场风险</w:t>
            </w:r>
          </w:p>
        </w:tc>
        <w:tc>
          <w:tcPr>
            <w:tcW w:w="3078" w:type="dxa"/>
            <w:vAlign w:val="center"/>
          </w:tcPr>
          <w:p>
            <w:pPr>
              <w:pStyle w:val="00002e"/>
              <w:pBdr>
                <w:bottom w:val="none" w:color="auto" w:sz="0" w:space="0"/>
              </w:pBdr>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项目电力消纳依赖单一主体（河南大成包装材料有限公司），若其生产经营波动或用电需求萎缩，可能导致消纳不足；此外，光伏组件、储能设备价格波动可能影响项目收益稳定性。</w:t>
            </w:r>
          </w:p>
        </w:tc>
        <w:tc>
          <w:tcPr>
            <w:tcW w:w="3251" w:type="dxa"/>
            <w:vAlign w:val="center"/>
          </w:tcPr>
          <w:p>
            <w:pPr>
              <w:pStyle w:val="00002e"/>
              <w:pBdr>
                <w:bottom w:val="none" w:color="auto" w:sz="0" w:space="0"/>
              </w:pBdr>
              <w:spacing w:line="440" w:lineRule="exact"/>
              <w:ind w:firstLine="0" w:firstLineChars="0"/>
              <w:jc w:val="left"/>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密切跟踪用电主体产能、用电数据及行业趋势，要求企业签订长周期电力消纳协议；动态监测设备市场价格，评估项目现金流对成本波动的覆盖能力，提前制定应急预案。</w:t>
            </w:r>
          </w:p>
        </w:tc>
      </w:tr>
      <w:tr>
        <w:trPr>
          <w:cantSplit/>
          <w:trHeight w:val="332" w:hRule="atLeast"/>
        </w:trPr>
        <w:tc>
          <w:tcPr>
            <w:tcW w:w="2751" w:type="dxa"/>
            <w:vAlign w:val="center"/>
          </w:tcPr>
          <w:p>
            <w:pPr>
              <w:pStyle w:val="00002e"/>
              <w:spacing w:line="440" w:lineRule="exact"/>
              <w:ind w:firstLine="0" w:firstLineChars="0"/>
              <w:jc w:val="center"/>
              <w:rPr>
                <w:rFonts w:ascii="仿宋" w:hAnsi="仿宋" w:eastAsia="仿宋" w:cs="Arial"/>
                <w:szCs w:val="21"/>
              </w:rPr>
            </w:pPr>
            <w:r>
              <w:rPr>
                <w:rFonts w:hint="eastAsia" w:ascii="仿宋" w:hAnsi="仿宋" w:eastAsia="仿宋" w:cs="Arial"/>
                <w:szCs w:val="21"/>
              </w:rPr>
              <w:t>经营管理风险</w:t>
            </w:r>
          </w:p>
        </w:tc>
        <w:tc>
          <w:tcPr>
            <w:tcW w:w="3078" w:type="dxa"/>
            <w:vAlign w:val="center"/>
          </w:tcPr>
          <w:p>
            <w:pPr>
              <w:pStyle w:val="00002e"/>
              <w:spacing w:line="440" w:lineRule="exact"/>
              <w:ind w:firstLine="0" w:firstLineChars="0"/>
              <w:jc w:val="center"/>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项目建设运营主体（河南中原智慧冷链物流园管理运营有限公司）成立时间较短（2021 年 12 月），在源网荷储一体化项目的技术集成、工程管理及多业态协同运营经验上存在不足，可能导致工期延迟、设备调试效率低或业务衔接不畅，影响项目按时投产及收益实现。</w:t>
            </w:r>
          </w:p>
        </w:tc>
        <w:tc>
          <w:tcPr>
            <w:tcW w:w="3251" w:type="dxa"/>
            <w:vAlign w:val="center"/>
          </w:tcPr>
          <w:p>
            <w:pPr>
              <w:pStyle w:val="00002e"/>
              <w:spacing w:line="440" w:lineRule="exact"/>
              <w:ind w:firstLine="0" w:firstLineChars="0"/>
              <w:jc w:val="center"/>
              <w:rPr>
                <w:rFonts w:ascii="仿宋" w:hAnsi="仿宋" w:eastAsia="仿宋" w:cs="仿宋"/>
                <w:i w:val="false"/>
                <w:strike w:val="false"/>
                <w:color w:val="000000"/>
                <w:spacing w:val="0"/>
                <w:sz w:val="21"/>
                <w:u w:val="none"/>
                <w:shd w:val="clear" w:color="auto" w:fill="FFFFFF"/>
              </w:rPr>
            </w:pPr>
            <w:r>
              <w:rPr>
                <w:rFonts w:ascii="仿宋" w:hAnsi="仿宋" w:eastAsia="仿宋" w:cs="仿宋"/>
                <w:i w:val="false"/>
                <w:strike w:val="false"/>
                <w:color w:val="000000"/>
                <w:spacing w:val="0"/>
                <w:sz w:val="21"/>
                <w:u w:val="none"/>
                <w:shd w:val="clear" w:color="auto" w:fill="FFFFFF"/>
              </w:rPr>
              <w:t>要求企业组建专业管理团队，引入具备新能源项目经验的技术骨干；定期核查项目进度与资金使用情况，重点关注工程节点完成质量；督导企业建立风险预警机制，对施工延误、设备故障等问题及时响应处置，保障项目平稳推进。</w:t>
            </w:r>
          </w:p>
        </w:tc>
      </w:tr>
    </w:tbl>
    <w:p>
      <w:pPr>
        <w:pStyle w:val="000019"/>
        <w:spacing w:line="360" w:lineRule="auto"/>
        <w:ind w:firstLine="480" w:firstLineChars="200"/>
        <w:rPr>
          <w:rFonts w:hint="eastAsia" w:ascii="仿宋" w:hAnsi="仿宋" w:eastAsia="仿宋" w:cs="仿宋"/>
          <w:i w:val="false"/>
          <w:strike w:val="false"/>
          <w:color w:val="000000"/>
          <w:kern w:val="2"/>
          <w:sz w:val="24"/>
          <w:szCs w:val="22"/>
          <w:lang w:val="en-US" w:eastAsia="zh-CN" w:bidi="ar-SA"/>
        </w:rPr>
      </w:pPr>
      <w:bookmarkStart w:id="20" w:name="_GoBack"/>
      <w:r>
        <w:rPr>
          <w:rFonts w:hint="eastAsia" w:ascii="仿宋" w:hAnsi="仿宋" w:eastAsia="仿宋" w:cs="仿宋"/>
          <w:i w:val="false"/>
          <w:strike w:val="false"/>
          <w:color w:val="000000"/>
          <w:kern w:val="2"/>
          <w:sz w:val="24"/>
          <w:szCs w:val="22"/>
          <w:lang w:val="en-US" w:eastAsia="zh-CN" w:bidi="ar-SA"/>
        </w:rPr>
        <w:t>1、关键授信风险包括政策合规风险、信贷资金挪用风险、市场风险、经营管理风险、</w:t>
      </w:r>
      <w:bookmarkEnd w:id="20"/>
      <w:r>
        <w:rPr>
          <w:rFonts w:hint="eastAsia" w:ascii="仿宋" w:hAnsi="仿宋" w:eastAsia="仿宋" w:cs="仿宋"/>
          <w:i w:val="false"/>
          <w:strike w:val="false"/>
          <w:color w:val="000000"/>
          <w:kern w:val="2"/>
          <w:sz w:val="24"/>
          <w:szCs w:val="22"/>
          <w:lang w:val="en-US" w:eastAsia="zh-CN" w:bidi="ar-SA"/>
        </w:rPr>
        <w:t>财务风险、关联交易风险、保证弱化与押品贬值风险等，在制定授信申报方案时，根据具体客户的实际情况填写，既不要遗漏，也不要过分夸大。如果贷后监管措施在具体实施时与授信方案相比发生变化，按贷后管理办法相关办法执行，无需申报变更审批。</w:t>
      </w:r>
    </w:p>
    <w:p>
      <w:pPr>
        <w:pStyle w:val="000019"/>
        <w:spacing w:line="360" w:lineRule="auto"/>
        <w:ind w:firstLine="480" w:firstLineChars="200"/>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2、贷后管理措施安排指在授信期内，针对客户或授信业务可能出现的关键授信风险，信贷经营部门应在贷后管理工作中采取的措施。</w:t>
      </w:r>
    </w:p>
    <w:p>
      <w:pPr>
        <w:pStyle w:val="000019"/>
        <w:spacing w:line="360" w:lineRule="auto"/>
        <w:ind w:firstLine="480" w:firstLineChars="200"/>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经营管理风险：鉴于企业新能源项目运营经验不足，信贷部门将定期核查项目管理团队资质与履职情况，要求企业每月提交工程进度报告，重点关注项目施工节点、设备采购及安装调试进度，确保按期投产。同时，督促企业建立应急预案，对工期延误、技术故障等问题及时响应处置。</w:t>
      </w:r>
    </w:p>
    <w:p>
      <w:pPr>
        <w:pStyle w:val="000019"/>
        <w:spacing w:line="360" w:lineRule="auto"/>
        <w:ind w:firstLine="480" w:firstLineChars="200"/>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市场风险：密切跟踪用电主体河南大成包装材料有限公司的生产经营状况，要求企业定期提供用电量、产能利用率等核心数据，分析其用电需求稳定性；动态监测光伏组件、储能设备等市场价格波动，评估对项目成本与收益的影响。若用电主体出现经营恶化迹象，及时启动备用消纳方案或要求追加担保。</w:t>
      </w:r>
    </w:p>
    <w:p>
      <w:pPr>
        <w:pStyle w:val="000019"/>
        <w:spacing w:line="360" w:lineRule="auto"/>
        <w:ind w:firstLine="480" w:firstLineChars="200"/>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政策风险：安排专人跟踪国家及地方新能源政策动态，重点关注补贴退坡、电力消纳政策调整等对项目收益的影响。督促企业积极申请政策红利，优化成本结构；若政策变动导致项目收益下降，及时与企业协商调整还款计划或补充增信措施。</w:t>
      </w:r>
    </w:p>
    <w:p>
      <w:pPr>
        <w:pStyle w:val="000019"/>
        <w:spacing w:line="360" w:lineRule="auto"/>
        <w:ind w:firstLine="480" w:firstLineChars="200"/>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财务风险：严格监控企业资金流向，要求其开设专用账户用于项目资金管理，确保贷款资金专款专用。定期审查企业财务报表，分析现金流、偿债能力等指标，重点关注项目收益是否达到预期。若发现企业财务指标恶化，及时采取提前收贷、追加抵押物等保全措施，保障信贷资金安全。</w:t>
      </w:r>
    </w:p>
    <w:p>
      <w:pPr>
        <w:keepNext w:val="false"/>
        <w:keepLines w:val="false"/>
        <w:pageBreakBefore w:val="false"/>
        <w:widowControl w:val="false"/>
        <w:numPr>
          <w:ilvl w:val="0"/>
          <w:numId w:val="0"/>
        </w:numPr>
        <w:tabs>
          <w:tab w:val="left" w:pos="0"/>
          <w:tab w:val="left" w:pos="142"/>
        </w:tabs>
        <w:kinsoku/>
        <w:wordWrap/>
        <w:overflowPunct/>
        <w:topLinePunct/>
        <w:autoSpaceDE w:val="false"/>
        <w:autoSpaceDN/>
        <w:bidi w:val="false"/>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（二）调查结论</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GB" w:eastAsia="zh-CN" w:bidi="ar-SA"/>
        </w:rPr>
      </w:pPr>
      <w:r>
        <w:rPr>
          <w:rFonts w:hint="eastAsia" w:ascii="仿宋" w:hAnsi="仿宋" w:eastAsia="仿宋" w:cs="仿宋"/>
          <w:i w:val="false"/>
          <w:strike w:val="false"/>
          <w:color w:val="000000"/>
          <w:kern w:val="2"/>
          <w:sz w:val="24"/>
          <w:szCs w:val="22"/>
          <w:lang w:val="en-GB" w:eastAsia="zh-CN" w:bidi="ar-SA"/>
        </w:rPr>
        <w:t>明确具体的融资方案，包括申请人全称、币种、授信种类、授信金额、授信期限、具体业务品种金额、期限、利率或费率、保证金金额或比例、担保方式等。</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申请人全称：河南中原智慧冷链物流园管理运营有限公司</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币种：人民币</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授信种类：固定资产贷款</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授信金额：7000 万元</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授信期限：144 个月</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具体业务品种金额、期限：固定资产贷款 7000 万元，期限 144 个月</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利率或费率：根据我行规定执行</w:t>
      </w:r>
    </w:p>
    <w:p>
      <w:pPr>
        <w:keepNext w:val="false"/>
        <w:keepLines w:val="false"/>
        <w:pageBreakBefore w:val="false"/>
        <w:widowControl w:val="false"/>
        <w:tabs>
          <w:tab w:val="left" w:pos="0"/>
          <w:tab w:val="left" w:pos="142"/>
        </w:tabs>
        <w:kinsoku/>
        <w:wordWrap/>
        <w:overflowPunct/>
        <w:topLinePunct/>
        <w:autoSpaceDE w:val="false"/>
        <w:autoSpaceDN/>
        <w:bidi w:val="false"/>
        <w:adjustRightInd/>
        <w:snapToGrid/>
        <w:spacing w:before="157" w:beforeLines="50" w:after="157" w:afterLines="50" w:line="360" w:lineRule="auto"/>
        <w:ind w:firstLine="480" w:firstLineChars="200"/>
        <w:jc w:val="left"/>
        <w:textAlignment w:val="auto"/>
        <w:outlineLvl w:val="9"/>
        <w:rPr>
          <w:rFonts w:hint="eastAsia" w:ascii="仿宋" w:hAnsi="仿宋" w:eastAsia="仿宋" w:cs="仿宋"/>
          <w:i w:val="false"/>
          <w:strike w:val="false"/>
          <w:color w:val="000000"/>
          <w:kern w:val="2"/>
          <w:sz w:val="24"/>
          <w:szCs w:val="22"/>
          <w:lang w:val="en-US" w:eastAsia="zh-CN" w:bidi="ar-SA"/>
        </w:rPr>
      </w:pPr>
      <w:r>
        <w:rPr>
          <w:rFonts w:hint="eastAsia" w:ascii="仿宋" w:hAnsi="仿宋" w:eastAsia="仿宋" w:cs="仿宋"/>
          <w:i w:val="false"/>
          <w:strike w:val="false"/>
          <w:color w:val="000000"/>
          <w:kern w:val="2"/>
          <w:sz w:val="24"/>
          <w:szCs w:val="22"/>
          <w:lang w:val="en-US" w:eastAsia="zh-CN" w:bidi="ar-SA"/>
        </w:rPr>
        <w:t>担保方式：由同盟国资提供连带责任保证担保，并追加项目全部资产作为抵押。</w:t>
      </w:r>
    </w:p>
    <w:sectPr>
      <w:pgSz w:w="11906" w:h="16838"/>
      <w:pgMar w:top="1440" w:right="1134" w:bottom="1440" w:left="1610" w:header="851" w:footer="680" w:gutter="0"/>
      <w:pgBorders>
        <w:top w:val="none" w:sz="0" w:space="0"/>
        <w:left w:val="none" w:sz="0" w:space="0"/>
        <w:bottom w:val="none" w:sz="0" w:space="0"/>
        <w:right w:val="none" w:sz="0" w:space="0"/>
      </w:pgBorders>
      <w:cols w:space="0" w:num="1"/>
      <w:rtlGutter w:val="false"/>
      <w:docGrid w:type="lines" w:linePitch="312" w:charSpace="0"/>
    </w:sectPr>
  </w:body>
</w:document>
</file>

<file path=word/fontTable.xml><?xml version="1.0" encoding="utf-8"?>
<w:fonts xmlns:w="http://schemas.openxmlformats.org/wordprocessingml/2006/main">
  <w:font w:name="Calibri">
    <w:panose1 w:val="020F0502020204030204"/>
    <w:charset w:val="00" w:characterSet="ISO-8859-1"/>
    <w:family w:val="swiss"/>
    <w:pitch w:val="default"/>
    <w:sig w:usb0="E4002EFF" w:usb1="C000247B" w:usb2="00000009" w:usb3="00000000" w:csb0="200001FF" w:csb1="00000000"/>
  </w:font>
  <w:font w:name="楷体_GB2312">
    <w:altName w:val="楷体"/>
    <w:panose1 w:val="020B0604020202020204"/>
    <w:charset w:val="00" w:characterSet="ISO-8859-1"/>
    <w:family w:val="auto"/>
    <w:pitch w:val="default"/>
    <w:sig w:usb0="00000000" w:usb1="00000000" w:usb2="00000000" w:usb3="00000000" w:csb0="00040001" w:csb1="00000000"/>
  </w:font>
  <w:font w:name="楷体">
    <w:panose1 w:val="02010609060101010101"/>
    <w:charset w:val="86" w:characterSet="ISO-8859-1"/>
    <w:family w:val="auto"/>
    <w:pitch w:val="default"/>
    <w:sig w:usb0="800002BF" w:usb1="38CF7CFA" w:usb2="00000016" w:usb3="00000000" w:csb0="00040001" w:csb1="00000000"/>
  </w:font>
  <w:font w:name="MS PGothic">
    <w:panose1 w:val="020B0600070205080204"/>
    <w:charset w:val="80" w:characterSet="ISO-8859-1"/>
    <w:family w:val="auto"/>
    <w:pitch w:val="default"/>
    <w:sig w:usb0="E00002FF" w:usb1="6AC7FDFB" w:usb2="08000012" w:usb3="00000000" w:csb0="4002009F" w:csb1="DFD70000"/>
  </w:font>
  <w:font w:name="'Times New Roman'">
    <w:altName w:val="Segoe Print"/>
    <w:panose1 w:val="00000000000000000000"/>
    <w:charset w:val="00" w:characterSet="ISO-8859-1"/>
    <w:family w:val="auto"/>
    <w:pitch w:val="default"/>
    <w:sig w:usb0="00000000" w:usb1="00000000" w:usb2="00000000" w:usb3="00000000" w:csb0="00000000" w:csb1="00000000"/>
  </w:font>
  <w:font w:name="彩虹粗仿宋">
    <w:altName w:val="微软雅黑"/>
    <w:panose1 w:val="020B0604020202020204"/>
    <w:charset w:val="86" w:characterSet="ISO-8859-1"/>
    <w:family w:val="script"/>
    <w:pitch w:val="default"/>
    <w:sig w:usb0="00000000" w:usb1="00000000" w:usb2="00000010" w:usb3="00000000" w:csb0="00040000" w:csb1="00000000"/>
  </w:font>
  <w:font w:name="Tahoma">
    <w:panose1 w:val="020B0604030504040204"/>
    <w:charset w:val="00" w:characterSet="ISO-8859-1"/>
    <w:family w:val="swiss"/>
    <w:pitch w:val="default"/>
    <w:sig w:usb0="E1002EFF" w:usb1="C000605B" w:usb2="00000029" w:usb3="00000000" w:csb0="200101FF" w:csb1="20280000"/>
  </w:font>
  <w:font w:name="Segoe Print">
    <w:panose1 w:val="02000600000000000000"/>
    <w:charset w:val="00" w:characterSet="ISO-8859-1"/>
    <w:family w:val="auto"/>
    <w:pitch w:val="default"/>
    <w:sig w:usb0="0000028F" w:usb1="00000000" w:usb2="00000000" w:usb3="00000000" w:csb0="2000009F" w:csb1="47010000"/>
  </w:font>
  <w:font w:name="Courier New">
    <w:panose1 w:val="02070309020205020404"/>
    <w:charset w:val="01" w:characterSet="ISO-8859-1"/>
    <w:family w:val="modern"/>
    <w:pitch w:val="default"/>
    <w:sig w:usb0="E0002EFF" w:usb1="C0007843" w:usb2="00000009" w:usb3="00000000" w:csb0="400001FF" w:csb1="FFFF0000"/>
  </w:font>
  <w:font w:name="仿宋">
    <w:panose1 w:val="02010609060101010101"/>
    <w:charset w:val="86" w:characterSet="ISO-8859-1"/>
    <w:family w:val="modern"/>
    <w:pitch w:val="default"/>
    <w:sig w:usb0="800002BF" w:usb1="38CF7CFA" w:usb2="00000016" w:usb3="00000000" w:csb0="00040001" w:csb1="00000000"/>
  </w:font>
  <w:font w:name="微软雅黑">
    <w:panose1 w:val="020B0503020204020204"/>
    <w:charset w:val="86" w:characterSet="ISO-8859-1"/>
    <w:family w:val="auto"/>
    <w:pitch w:val="default"/>
    <w:sig w:usb0="80000287" w:usb1="2ACF3C50" w:usb2="00000016" w:usb3="00000000" w:csb0="0004001F" w:csb1="00000000"/>
  </w:font>
  <w:font w:name="黑体">
    <w:panose1 w:val="02010609060101010101"/>
    <w:charset w:val="86" w:characterSet="ISO-8859-1"/>
    <w:family w:val="auto"/>
    <w:pitch w:val="default"/>
    <w:sig w:usb0="800002BF" w:usb1="38CF7CFA" w:usb2="00000016" w:usb3="00000000" w:csb0="00040001" w:csb1="00000000"/>
  </w:font>
  <w:font w:name="Cambria">
    <w:panose1 w:val="02040503050406030204"/>
    <w:charset w:val="00" w:characterSet="ISO-8859-1"/>
    <w:family w:val="roman"/>
    <w:pitch w:val="default"/>
    <w:sig w:usb0="E00006FF" w:usb1="420024FF" w:usb2="02000000" w:usb3="00000000" w:csb0="2000019F" w:csb1="00000000"/>
  </w:font>
  <w:font w:name="Wingdings">
    <w:panose1 w:val="05000000000000000000"/>
    <w:charset w:val="02" w:characterSet="ISO-8859-1"/>
    <w:family w:val="auto"/>
    <w:pitch w:val="default"/>
    <w:sig w:usb0="00000000" w:usb1="00000000" w:usb2="00000000" w:usb3="00000000" w:csb0="80000000" w:csb1="00000000"/>
  </w:font>
  <w:font w:name="Arial">
    <w:panose1 w:val="020B0604020202020204"/>
    <w:charset w:val="01" w:characterSet="ISO-8859-1"/>
    <w:family w:val="swiss"/>
    <w:pitch w:val="default"/>
    <w:sig w:usb0="E0002EFF" w:usb1="C000785B" w:usb2="00000009" w:usb3="00000000" w:csb0="400001FF" w:csb1="FFFF0000"/>
  </w:font>
  <w:font w:name="华文中宋">
    <w:altName w:val="宋体"/>
    <w:panose1 w:val="02010600040101010101"/>
    <w:charset w:val="86" w:characterSet="ISO-8859-1"/>
    <w:family w:val="auto"/>
    <w:pitch w:val="default"/>
    <w:sig w:usb0="00000000" w:usb1="00000000" w:usb2="00000000" w:usb3="00000000" w:csb0="0004009F" w:csb1="DFD70000"/>
  </w:font>
  <w:font w:name="宋体">
    <w:panose1 w:val="02010600030101010101"/>
    <w:charset w:val="50" w:characterSet="ISO-8859-1"/>
    <w:family w:val="auto"/>
    <w:pitch w:val="default"/>
    <w:sig w:usb0="00000203" w:usb1="288F0000" w:usb2="0000000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Times New Roman">
    <w:panose1 w:val="02020603050405020304"/>
    <w:charset w:val="80" w:characterSet="ISO-8859-1"/>
    <w:family w:val="auto"/>
    <w:pitch w:val="default"/>
    <w:sig w:usb0="E0002EFF" w:usb1="C000785B" w:usb2="00000009" w:usb3="00000000" w:csb0="400001FF" w:csb1="FFFF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21"/>
      <w:jc w:val="center"/>
      <w:rPr/>
    </w:pPr>
    <w:r>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17" name="文本框 1025"/>
          <wp:cNvGraphicFramePr/>
          <a:graphic>
            <a:graphicData uri="http://schemas.microsoft.com/office/word/2010/wordprocessingShape">
              <wps:wsp>
                <wps:cNvSpPr txBox="true"/>
                <wps:spPr>
                  <a:xfrm>
                    <a:off x="0" y="0"/>
                    <a:ext cx="1828800" cy="1828800"/>
                  </a:xfrm>
                  <a:prstGeom prst="rect">
                    <a:avLst/>
                  </a:prstGeom>
                  <a:noFill/>
                  <a:ln>
                    <a:noFill/>
                  </a:ln>
                </wps:spPr>
                <wps:txbx>
                  <w:txbxContent>
                    <w:sdt>
                      <w:sdtPr>
                        <w:id w:val="-1390647769"/>
                      </w:sdtPr>
                      <w:sdtContent>
                        <w:sdt>
                          <w:sdtPr>
                            <w:id w:val="1728636285"/>
                          </w:sdtPr>
                          <w:sdtContent>
                            <w:p>
                              <w:pPr>
                                <w:pStyle w:val="000021"/>
                                <w:jc w:val="center"/>
                                <w:rPr/>
                              </w:pPr>
                              <w:r>
                                <w:rPr>
                                  <w:rFonts w:asciiTheme="minorEastAsia" w:hAnsiTheme="minorEastAsia"/>
                                  <w:sz w:val="20"/>
                                  <w:lang w:val="zh-CN"/>
                                </w:rPr>
                                <w:t xml:space="preserve"> </w:t>
                              </w:r>
                              <w:r>
                                <w:rPr>
                                  <w:rFonts w:asciiTheme="minorEastAsia" w:hAnsiTheme="minorEastAsia"/>
                                  <w:bCs/>
                                  <w:sz w:val="28"/>
                                  <w:szCs w:val="24"/>
                                </w:rPr>
                                <w:fldChar w:fldCharType="begin"/>
                              </w:r>
                              <w:r>
                                <w:rPr>
                                  <w:rFonts w:asciiTheme="minorEastAsia" w:hAnsiTheme="minorEastAsia"/>
                                  <w:bCs/>
                                  <w:sz w:val="20"/>
                                </w:rPr>
                                <w:instrText>PAGE</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r>
                                <w:rPr>
                                  <w:rFonts w:asciiTheme="minorEastAsia" w:hAnsiTheme="minorEastAsia"/>
                                  <w:sz w:val="20"/>
                                  <w:lang w:val="zh-CN"/>
                                </w:rPr>
                                <w:t xml:space="preserve"> / </w:t>
                              </w:r>
                              <w:r>
                                <w:rPr>
                                  <w:rFonts w:asciiTheme="minorEastAsia" w:hAnsiTheme="minorEastAsia"/>
                                  <w:bCs/>
                                  <w:sz w:val="28"/>
                                  <w:szCs w:val="24"/>
                                </w:rPr>
                                <w:fldChar w:fldCharType="begin"/>
                              </w:r>
                              <w:r>
                                <w:rPr>
                                  <w:rFonts w:asciiTheme="minorEastAsia" w:hAnsiTheme="minorEastAsia"/>
                                  <w:bCs/>
                                  <w:sz w:val="20"/>
                                </w:rPr>
                                <w:instrText>NUMPAGES</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p>
                          </w:sdtContent>
                        </w:sdt>
                      </w:sdtContent>
                    </w:sdt>
                    <w:p>
                      <w:pPr>
                        <w:pStyle w:val="000029"/>
                        <w:ind w:firstLine="210"/>
                        <w:rPr/>
                      </w:pPr>
                    </w:p>
                  </w:txbxContent>
                </wps:txbx>
                <wps:bodyPr wrap="none" lIns="0" tIns="0" rIns="0" bIns="0">
                  <a:spAutoFit/>
                </wps:bodyPr>
              </wps:wsp>
            </a:graphicData>
          </a:graphic>
        </wp:anchor>
      </w:drawing>
    </w:r>
  </w:p>
  <w:p>
    <w:pPr>
      <w:pStyle w:val="000021"/>
      <w:rPr/>
    </w:pPr>
  </w:p>
</w:ftr>
</file>

<file path=word/settings.xml><?xml version="1.0" encoding="utf-8"?>
<w:settings xmlns:w="http://schemas.openxmlformats.org/wordprocessingml/2006/main">
  <w:zoom w:percent="100"/>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enableOpenTypeFeatures" w:uri="http://schemas.microsoft.com/office/word" w:val="1"/>
    <w:compatSetting w:name="doNotFlipMirrorIndents" w:uri="http://schemas.microsoft.com/office/word" w:val="1"/>
    <w:compatSetting w:name="compatibilityMode" w:uri="http://schemas.microsoft.com/office/word" w:val="14"/>
    <w:compatSetting w:name="overrideTableStyleFontSizeAndJustification" w:uri="http://schemas.microsoft.com/office/word" w:val="1"/>
  </w:compat>
  <w:docVars>
    <w:docVar w:name="KSO_WPS_MARK_KEY" w:val="f56ef2e8-6cb1-4c81-8f23-44cafe08e3cf"/>
    <w:docVar w:name="commondata" w:val="eyJoZGlkIjoiMDYyYTQwMDdmZjQ3NTg0ZmZjYjc2NzdiMTg5YWQ2MWUifQ=="/>
  </w:docVars>
  <w:rsids>
    <w:rsidRoot w:val="00E85BFA"/>
    <w:rsid w:val="00002514"/>
    <w:rsid w:val="00004F02"/>
    <w:rsid w:val="000233EC"/>
    <w:rsid w:val="00033550"/>
    <w:rsid w:val="00036EAC"/>
    <w:rsid w:val="0004141B"/>
    <w:rsid w:val="00041F1F"/>
    <w:rsid w:val="000633A5"/>
    <w:rsid w:val="000639B3"/>
    <w:rsid w:val="00093EED"/>
    <w:rsid w:val="000A1179"/>
    <w:rsid w:val="000A19C2"/>
    <w:rsid w:val="000A289D"/>
    <w:rsid w:val="000B1691"/>
    <w:rsid w:val="000C305A"/>
    <w:rsid w:val="000D3BAD"/>
    <w:rsid w:val="000D64A8"/>
    <w:rsid w:val="000D6B8B"/>
    <w:rsid w:val="000E3EB3"/>
    <w:rsid w:val="000E4DB7"/>
    <w:rsid w:val="000F1BDA"/>
    <w:rsid w:val="000F5E86"/>
    <w:rsid w:val="001056CF"/>
    <w:rsid w:val="00111D55"/>
    <w:rsid w:val="0011320C"/>
    <w:rsid w:val="00113334"/>
    <w:rsid w:val="00113DD6"/>
    <w:rsid w:val="00116CF2"/>
    <w:rsid w:val="00120794"/>
    <w:rsid w:val="00134CDF"/>
    <w:rsid w:val="001551E4"/>
    <w:rsid w:val="00172F15"/>
    <w:rsid w:val="00175D72"/>
    <w:rsid w:val="001A03CD"/>
    <w:rsid w:val="001B5F6E"/>
    <w:rsid w:val="001B7A6A"/>
    <w:rsid w:val="001C351F"/>
    <w:rsid w:val="001E04BC"/>
    <w:rsid w:val="001E504E"/>
    <w:rsid w:val="001E6C2D"/>
    <w:rsid w:val="001F0CF7"/>
    <w:rsid w:val="001F32F1"/>
    <w:rsid w:val="001F43A9"/>
    <w:rsid w:val="001F7F48"/>
    <w:rsid w:val="00216497"/>
    <w:rsid w:val="00220143"/>
    <w:rsid w:val="002205E0"/>
    <w:rsid w:val="00221030"/>
    <w:rsid w:val="00226B4F"/>
    <w:rsid w:val="00231839"/>
    <w:rsid w:val="00236B69"/>
    <w:rsid w:val="00241138"/>
    <w:rsid w:val="00246B05"/>
    <w:rsid w:val="00255B64"/>
    <w:rsid w:val="00271580"/>
    <w:rsid w:val="00273B85"/>
    <w:rsid w:val="002814CE"/>
    <w:rsid w:val="002822FE"/>
    <w:rsid w:val="00286A6D"/>
    <w:rsid w:val="002A75A5"/>
    <w:rsid w:val="002B19FD"/>
    <w:rsid w:val="002B364A"/>
    <w:rsid w:val="002B6B45"/>
    <w:rsid w:val="002C0721"/>
    <w:rsid w:val="002C5A81"/>
    <w:rsid w:val="002D0E83"/>
    <w:rsid w:val="002D7446"/>
    <w:rsid w:val="002D7A35"/>
    <w:rsid w:val="002E2498"/>
    <w:rsid w:val="002E4BC6"/>
    <w:rsid w:val="002F0207"/>
    <w:rsid w:val="002F0BFD"/>
    <w:rsid w:val="002F314B"/>
    <w:rsid w:val="00303C40"/>
    <w:rsid w:val="00325CB2"/>
    <w:rsid w:val="00332D34"/>
    <w:rsid w:val="00340A1B"/>
    <w:rsid w:val="00341856"/>
    <w:rsid w:val="00343E08"/>
    <w:rsid w:val="00343F6D"/>
    <w:rsid w:val="00361327"/>
    <w:rsid w:val="003666CB"/>
    <w:rsid w:val="0036684A"/>
    <w:rsid w:val="003675C0"/>
    <w:rsid w:val="00387D49"/>
    <w:rsid w:val="003A2B0A"/>
    <w:rsid w:val="003A3468"/>
    <w:rsid w:val="003A7F87"/>
    <w:rsid w:val="003B0C6F"/>
    <w:rsid w:val="003B632E"/>
    <w:rsid w:val="003C6135"/>
    <w:rsid w:val="003C69A9"/>
    <w:rsid w:val="003D0452"/>
    <w:rsid w:val="003D4C4B"/>
    <w:rsid w:val="003F2F5E"/>
    <w:rsid w:val="003F4F32"/>
    <w:rsid w:val="004031D0"/>
    <w:rsid w:val="00404184"/>
    <w:rsid w:val="004211E5"/>
    <w:rsid w:val="00432BB3"/>
    <w:rsid w:val="00437E45"/>
    <w:rsid w:val="00440879"/>
    <w:rsid w:val="00446B60"/>
    <w:rsid w:val="00451E4A"/>
    <w:rsid w:val="00452213"/>
    <w:rsid w:val="0045333B"/>
    <w:rsid w:val="004645DF"/>
    <w:rsid w:val="00480809"/>
    <w:rsid w:val="00492501"/>
    <w:rsid w:val="004A0D1E"/>
    <w:rsid w:val="004A28A2"/>
    <w:rsid w:val="004A412D"/>
    <w:rsid w:val="004A61A1"/>
    <w:rsid w:val="004D6ECD"/>
    <w:rsid w:val="004E251B"/>
    <w:rsid w:val="004F6D6E"/>
    <w:rsid w:val="0050461A"/>
    <w:rsid w:val="00512596"/>
    <w:rsid w:val="00522B05"/>
    <w:rsid w:val="00525314"/>
    <w:rsid w:val="00526041"/>
    <w:rsid w:val="005272F0"/>
    <w:rsid w:val="00531385"/>
    <w:rsid w:val="00533C06"/>
    <w:rsid w:val="00536C60"/>
    <w:rsid w:val="00540A4F"/>
    <w:rsid w:val="0054497F"/>
    <w:rsid w:val="00544F7C"/>
    <w:rsid w:val="00547E41"/>
    <w:rsid w:val="00554CAB"/>
    <w:rsid w:val="005555CA"/>
    <w:rsid w:val="00570E65"/>
    <w:rsid w:val="00573378"/>
    <w:rsid w:val="00582E03"/>
    <w:rsid w:val="00590402"/>
    <w:rsid w:val="00590415"/>
    <w:rsid w:val="005979CE"/>
    <w:rsid w:val="005B05F1"/>
    <w:rsid w:val="005B5584"/>
    <w:rsid w:val="005B714C"/>
    <w:rsid w:val="005D265C"/>
    <w:rsid w:val="005E1977"/>
    <w:rsid w:val="005E20FA"/>
    <w:rsid w:val="005F0634"/>
    <w:rsid w:val="005F6CB5"/>
    <w:rsid w:val="006018E8"/>
    <w:rsid w:val="006161A8"/>
    <w:rsid w:val="00621BEC"/>
    <w:rsid w:val="00634E09"/>
    <w:rsid w:val="00635934"/>
    <w:rsid w:val="00641CE0"/>
    <w:rsid w:val="00652DF0"/>
    <w:rsid w:val="0066782E"/>
    <w:rsid w:val="0067211A"/>
    <w:rsid w:val="00675717"/>
    <w:rsid w:val="00676EFB"/>
    <w:rsid w:val="0068050C"/>
    <w:rsid w:val="0068250A"/>
    <w:rsid w:val="006C20D8"/>
    <w:rsid w:val="006C5560"/>
    <w:rsid w:val="006C5F7D"/>
    <w:rsid w:val="006D709D"/>
    <w:rsid w:val="006E116E"/>
    <w:rsid w:val="006E22EE"/>
    <w:rsid w:val="006E2F48"/>
    <w:rsid w:val="006E48A4"/>
    <w:rsid w:val="006F4A47"/>
    <w:rsid w:val="006F5833"/>
    <w:rsid w:val="00700D2C"/>
    <w:rsid w:val="0071598F"/>
    <w:rsid w:val="007169B1"/>
    <w:rsid w:val="007222CE"/>
    <w:rsid w:val="00724719"/>
    <w:rsid w:val="00742B25"/>
    <w:rsid w:val="007546D4"/>
    <w:rsid w:val="00761C0C"/>
    <w:rsid w:val="0076286C"/>
    <w:rsid w:val="0076326F"/>
    <w:rsid w:val="00767B3C"/>
    <w:rsid w:val="00774494"/>
    <w:rsid w:val="00777810"/>
    <w:rsid w:val="00781770"/>
    <w:rsid w:val="00797E77"/>
    <w:rsid w:val="007A46FD"/>
    <w:rsid w:val="007A47C7"/>
    <w:rsid w:val="007A5A03"/>
    <w:rsid w:val="007B1C92"/>
    <w:rsid w:val="00805246"/>
    <w:rsid w:val="00810CCB"/>
    <w:rsid w:val="00816210"/>
    <w:rsid w:val="00816D1C"/>
    <w:rsid w:val="00824FA5"/>
    <w:rsid w:val="008505DD"/>
    <w:rsid w:val="00861A59"/>
    <w:rsid w:val="008721DA"/>
    <w:rsid w:val="00872754"/>
    <w:rsid w:val="00897A87"/>
    <w:rsid w:val="008A4EC3"/>
    <w:rsid w:val="008A66CE"/>
    <w:rsid w:val="008B2406"/>
    <w:rsid w:val="008B4089"/>
    <w:rsid w:val="008B42D0"/>
    <w:rsid w:val="008B4DFC"/>
    <w:rsid w:val="008C41BC"/>
    <w:rsid w:val="008D0D9A"/>
    <w:rsid w:val="008F0EDE"/>
    <w:rsid w:val="008F5986"/>
    <w:rsid w:val="0090720F"/>
    <w:rsid w:val="00913CF0"/>
    <w:rsid w:val="009330D7"/>
    <w:rsid w:val="00934440"/>
    <w:rsid w:val="00954AD6"/>
    <w:rsid w:val="00971C82"/>
    <w:rsid w:val="009746B4"/>
    <w:rsid w:val="009B37FF"/>
    <w:rsid w:val="009B7BFB"/>
    <w:rsid w:val="009D0D9A"/>
    <w:rsid w:val="009D2F5C"/>
    <w:rsid w:val="009D591B"/>
    <w:rsid w:val="009D5EF3"/>
    <w:rsid w:val="009F081C"/>
    <w:rsid w:val="009F6220"/>
    <w:rsid w:val="009F6846"/>
    <w:rsid w:val="00A165F8"/>
    <w:rsid w:val="00A2267F"/>
    <w:rsid w:val="00A23FAA"/>
    <w:rsid w:val="00A3388F"/>
    <w:rsid w:val="00A370AF"/>
    <w:rsid w:val="00A403AA"/>
    <w:rsid w:val="00A419B3"/>
    <w:rsid w:val="00A41F6D"/>
    <w:rsid w:val="00A42280"/>
    <w:rsid w:val="00A46E99"/>
    <w:rsid w:val="00A57898"/>
    <w:rsid w:val="00A62BD9"/>
    <w:rsid w:val="00A65B1C"/>
    <w:rsid w:val="00A65C32"/>
    <w:rsid w:val="00A65E52"/>
    <w:rsid w:val="00A756AC"/>
    <w:rsid w:val="00A872B4"/>
    <w:rsid w:val="00A87FA9"/>
    <w:rsid w:val="00A938D8"/>
    <w:rsid w:val="00AB2512"/>
    <w:rsid w:val="00AB7C10"/>
    <w:rsid w:val="00AC2B68"/>
    <w:rsid w:val="00AD4B0D"/>
    <w:rsid w:val="00AD644F"/>
    <w:rsid w:val="00AE0A4F"/>
    <w:rsid w:val="00AE45E8"/>
    <w:rsid w:val="00AF330F"/>
    <w:rsid w:val="00B004E7"/>
    <w:rsid w:val="00B01A84"/>
    <w:rsid w:val="00B12F8D"/>
    <w:rsid w:val="00B152C4"/>
    <w:rsid w:val="00B213EA"/>
    <w:rsid w:val="00B2141C"/>
    <w:rsid w:val="00B21BA7"/>
    <w:rsid w:val="00B25CFB"/>
    <w:rsid w:val="00B27635"/>
    <w:rsid w:val="00B27E10"/>
    <w:rsid w:val="00B27FDC"/>
    <w:rsid w:val="00B40544"/>
    <w:rsid w:val="00B405B9"/>
    <w:rsid w:val="00B4408A"/>
    <w:rsid w:val="00B50C11"/>
    <w:rsid w:val="00B635C4"/>
    <w:rsid w:val="00B67BF3"/>
    <w:rsid w:val="00B70EA3"/>
    <w:rsid w:val="00B81392"/>
    <w:rsid w:val="00B979AA"/>
    <w:rsid w:val="00BA1C45"/>
    <w:rsid w:val="00BB12A3"/>
    <w:rsid w:val="00BC6DA8"/>
    <w:rsid w:val="00BC7083"/>
    <w:rsid w:val="00BD0966"/>
    <w:rsid w:val="00BD6213"/>
    <w:rsid w:val="00BE3B6A"/>
    <w:rsid w:val="00BE3BE2"/>
    <w:rsid w:val="00C152E6"/>
    <w:rsid w:val="00C245DF"/>
    <w:rsid w:val="00C34778"/>
    <w:rsid w:val="00C374D1"/>
    <w:rsid w:val="00C41673"/>
    <w:rsid w:val="00C4362C"/>
    <w:rsid w:val="00C5230F"/>
    <w:rsid w:val="00C56FF5"/>
    <w:rsid w:val="00C62BDC"/>
    <w:rsid w:val="00C637F6"/>
    <w:rsid w:val="00C65E88"/>
    <w:rsid w:val="00C76058"/>
    <w:rsid w:val="00C82CFF"/>
    <w:rsid w:val="00C85604"/>
    <w:rsid w:val="00C92E1D"/>
    <w:rsid w:val="00C9602B"/>
    <w:rsid w:val="00CA7AB9"/>
    <w:rsid w:val="00CA7F9A"/>
    <w:rsid w:val="00CC6BA3"/>
    <w:rsid w:val="00CE1789"/>
    <w:rsid w:val="00CF03B7"/>
    <w:rsid w:val="00CF1229"/>
    <w:rsid w:val="00CF156E"/>
    <w:rsid w:val="00D1353B"/>
    <w:rsid w:val="00D32A14"/>
    <w:rsid w:val="00D35652"/>
    <w:rsid w:val="00D3703D"/>
    <w:rsid w:val="00D466B9"/>
    <w:rsid w:val="00D468A0"/>
    <w:rsid w:val="00D548AD"/>
    <w:rsid w:val="00D61D88"/>
    <w:rsid w:val="00D645D5"/>
    <w:rsid w:val="00D658FC"/>
    <w:rsid w:val="00D674CE"/>
    <w:rsid w:val="00D70A64"/>
    <w:rsid w:val="00D70A98"/>
    <w:rsid w:val="00D7336B"/>
    <w:rsid w:val="00D74258"/>
    <w:rsid w:val="00D74C02"/>
    <w:rsid w:val="00D818D1"/>
    <w:rsid w:val="00D81F91"/>
    <w:rsid w:val="00D82AE7"/>
    <w:rsid w:val="00D85394"/>
    <w:rsid w:val="00D86A33"/>
    <w:rsid w:val="00DA0D00"/>
    <w:rsid w:val="00DA7508"/>
    <w:rsid w:val="00DB1C79"/>
    <w:rsid w:val="00DB21F1"/>
    <w:rsid w:val="00DB328A"/>
    <w:rsid w:val="00DC145E"/>
    <w:rsid w:val="00DC1469"/>
    <w:rsid w:val="00DC3CEC"/>
    <w:rsid w:val="00DD23B2"/>
    <w:rsid w:val="00DD6154"/>
    <w:rsid w:val="00DE20E2"/>
    <w:rsid w:val="00DE28EC"/>
    <w:rsid w:val="00DE2B74"/>
    <w:rsid w:val="00DE3BAC"/>
    <w:rsid w:val="00DF65C7"/>
    <w:rsid w:val="00E03E60"/>
    <w:rsid w:val="00E12B95"/>
    <w:rsid w:val="00E14107"/>
    <w:rsid w:val="00E232CB"/>
    <w:rsid w:val="00E23F6D"/>
    <w:rsid w:val="00E34FF7"/>
    <w:rsid w:val="00E35BD5"/>
    <w:rsid w:val="00E6563E"/>
    <w:rsid w:val="00E67583"/>
    <w:rsid w:val="00E67791"/>
    <w:rsid w:val="00E730EE"/>
    <w:rsid w:val="00E745E9"/>
    <w:rsid w:val="00E85BFA"/>
    <w:rsid w:val="00E9195C"/>
    <w:rsid w:val="00E92B9E"/>
    <w:rsid w:val="00EA0298"/>
    <w:rsid w:val="00EB0E87"/>
    <w:rsid w:val="00EC15AE"/>
    <w:rsid w:val="00EC4C67"/>
    <w:rsid w:val="00ED0626"/>
    <w:rsid w:val="00ED0F1F"/>
    <w:rsid w:val="00ED5CA3"/>
    <w:rsid w:val="00ED70BA"/>
    <w:rsid w:val="00EE10B7"/>
    <w:rsid w:val="00EF4475"/>
    <w:rsid w:val="00EF6640"/>
    <w:rsid w:val="00F00F13"/>
    <w:rsid w:val="00F14915"/>
    <w:rsid w:val="00F16AA1"/>
    <w:rsid w:val="00F31225"/>
    <w:rsid w:val="00F370B9"/>
    <w:rsid w:val="00F45B56"/>
    <w:rsid w:val="00F63B1B"/>
    <w:rsid w:val="00F64418"/>
    <w:rsid w:val="00F713F2"/>
    <w:rsid w:val="00F715D6"/>
    <w:rsid w:val="00F75004"/>
    <w:rsid w:val="00F86F4A"/>
    <w:rsid w:val="00F929FE"/>
    <w:rsid w:val="00FA3163"/>
    <w:rsid w:val="00FC1E97"/>
    <w:rsid w:val="00FD3A5E"/>
    <w:rsid w:val="00FD3DA3"/>
    <w:rsid w:val="00FE36C6"/>
    <w:rsid w:val="00FE3901"/>
    <w:rsid w:val="00FF03AA"/>
    <w:rsid w:val="00FF6A56"/>
    <w:rsid w:val="017428E2"/>
    <w:rsid w:val="01CD77E0"/>
    <w:rsid w:val="02016C16"/>
    <w:rsid w:val="02F0175E"/>
    <w:rsid w:val="03035DAF"/>
    <w:rsid w:val="03334CC3"/>
    <w:rsid w:val="04A72D45"/>
    <w:rsid w:val="04F200E1"/>
    <w:rsid w:val="052631F3"/>
    <w:rsid w:val="064D762B"/>
    <w:rsid w:val="06A77ABA"/>
    <w:rsid w:val="073F6D77"/>
    <w:rsid w:val="08DF474E"/>
    <w:rsid w:val="0A915A4B"/>
    <w:rsid w:val="0B005509"/>
    <w:rsid w:val="0BD64307"/>
    <w:rsid w:val="0C7520E1"/>
    <w:rsid w:val="0CA50693"/>
    <w:rsid w:val="0D5079C9"/>
    <w:rsid w:val="0DD24882"/>
    <w:rsid w:val="0E2E01C8"/>
    <w:rsid w:val="115F642C"/>
    <w:rsid w:val="11E76422"/>
    <w:rsid w:val="13452E0B"/>
    <w:rsid w:val="157D3EDF"/>
    <w:rsid w:val="15A47EEA"/>
    <w:rsid w:val="15DA6411"/>
    <w:rsid w:val="162E06E0"/>
    <w:rsid w:val="16C662F7"/>
    <w:rsid w:val="172F60F1"/>
    <w:rsid w:val="173F6D1D"/>
    <w:rsid w:val="17685483"/>
    <w:rsid w:val="17DE2B60"/>
    <w:rsid w:val="182F003E"/>
    <w:rsid w:val="196F68C6"/>
    <w:rsid w:val="19781692"/>
    <w:rsid w:val="1A552D92"/>
    <w:rsid w:val="1A6F59B4"/>
    <w:rsid w:val="1AA0283E"/>
    <w:rsid w:val="1AD4162A"/>
    <w:rsid w:val="1ADB4E1B"/>
    <w:rsid w:val="1AFF778A"/>
    <w:rsid w:val="1B373F76"/>
    <w:rsid w:val="1B7A2B2D"/>
    <w:rsid w:val="1CC63AA6"/>
    <w:rsid w:val="1CE67A02"/>
    <w:rsid w:val="1D07408D"/>
    <w:rsid w:val="1D3C3AC6"/>
    <w:rsid w:val="1D8A3462"/>
    <w:rsid w:val="1DE21A1F"/>
    <w:rsid w:val="1E1D4254"/>
    <w:rsid w:val="1F003A0E"/>
    <w:rsid w:val="1F0B047A"/>
    <w:rsid w:val="1F140674"/>
    <w:rsid w:val="1F795E5E"/>
    <w:rsid w:val="1FCE656C"/>
    <w:rsid w:val="20E94C05"/>
    <w:rsid w:val="21335983"/>
    <w:rsid w:val="21B871A2"/>
    <w:rsid w:val="21E20AF7"/>
    <w:rsid w:val="22347461"/>
    <w:rsid w:val="22703023"/>
    <w:rsid w:val="23495CBC"/>
    <w:rsid w:val="23630DB1"/>
    <w:rsid w:val="237D6432"/>
    <w:rsid w:val="25513E86"/>
    <w:rsid w:val="263D1EB0"/>
    <w:rsid w:val="265F65C6"/>
    <w:rsid w:val="26911B57"/>
    <w:rsid w:val="278719CB"/>
    <w:rsid w:val="28B2557B"/>
    <w:rsid w:val="29542197"/>
    <w:rsid w:val="296E012B"/>
    <w:rsid w:val="296F63D7"/>
    <w:rsid w:val="2A01434F"/>
    <w:rsid w:val="2BED1F47"/>
    <w:rsid w:val="2C73537C"/>
    <w:rsid w:val="2D022382"/>
    <w:rsid w:val="2E397AFA"/>
    <w:rsid w:val="2E707EB5"/>
    <w:rsid w:val="2F940F4B"/>
    <w:rsid w:val="300D6A0E"/>
    <w:rsid w:val="302D3AD9"/>
    <w:rsid w:val="307D784F"/>
    <w:rsid w:val="307F5D4C"/>
    <w:rsid w:val="30FD7461"/>
    <w:rsid w:val="31462D0D"/>
    <w:rsid w:val="321E7CF4"/>
    <w:rsid w:val="326C16D2"/>
    <w:rsid w:val="327050E7"/>
    <w:rsid w:val="32EB5ECB"/>
    <w:rsid w:val="342A0C0C"/>
    <w:rsid w:val="345C082F"/>
    <w:rsid w:val="34B903D5"/>
    <w:rsid w:val="352A0D62"/>
    <w:rsid w:val="352D15B4"/>
    <w:rsid w:val="360016DD"/>
    <w:rsid w:val="367A6DA2"/>
    <w:rsid w:val="368816D2"/>
    <w:rsid w:val="36907566"/>
    <w:rsid w:val="374103D4"/>
    <w:rsid w:val="376C189A"/>
    <w:rsid w:val="38094260"/>
    <w:rsid w:val="38810BBF"/>
    <w:rsid w:val="38C86E57"/>
    <w:rsid w:val="39072C53"/>
    <w:rsid w:val="398F4475"/>
    <w:rsid w:val="3A085382"/>
    <w:rsid w:val="3A430ADA"/>
    <w:rsid w:val="3AAA253B"/>
    <w:rsid w:val="3ACA4FC0"/>
    <w:rsid w:val="3AD969A0"/>
    <w:rsid w:val="3AE35129"/>
    <w:rsid w:val="3B1A70AD"/>
    <w:rsid w:val="3B6779CC"/>
    <w:rsid w:val="3DCA00D7"/>
    <w:rsid w:val="3EC47E6C"/>
    <w:rsid w:val="3ECD103A"/>
    <w:rsid w:val="40A00FB7"/>
    <w:rsid w:val="41690357"/>
    <w:rsid w:val="420C459F"/>
    <w:rsid w:val="42714F4D"/>
    <w:rsid w:val="42B90F74"/>
    <w:rsid w:val="43407169"/>
    <w:rsid w:val="435E7A42"/>
    <w:rsid w:val="437C6D95"/>
    <w:rsid w:val="438F6328"/>
    <w:rsid w:val="43B46E65"/>
    <w:rsid w:val="43BC275F"/>
    <w:rsid w:val="43E51F12"/>
    <w:rsid w:val="45687EB4"/>
    <w:rsid w:val="45B95404"/>
    <w:rsid w:val="45EF64CC"/>
    <w:rsid w:val="462A3FC9"/>
    <w:rsid w:val="46DB604A"/>
    <w:rsid w:val="47095F17"/>
    <w:rsid w:val="47A94BB9"/>
    <w:rsid w:val="47E56984"/>
    <w:rsid w:val="49323FC2"/>
    <w:rsid w:val="495C7CE7"/>
    <w:rsid w:val="49623BB9"/>
    <w:rsid w:val="49680DE5"/>
    <w:rsid w:val="49F7474D"/>
    <w:rsid w:val="4A741441"/>
    <w:rsid w:val="4A902D72"/>
    <w:rsid w:val="4BE551A5"/>
    <w:rsid w:val="4C0C5F22"/>
    <w:rsid w:val="4C352FB5"/>
    <w:rsid w:val="4CB608EF"/>
    <w:rsid w:val="4DC367CC"/>
    <w:rsid w:val="4EE02C7B"/>
    <w:rsid w:val="4F2431BE"/>
    <w:rsid w:val="4F343D4D"/>
    <w:rsid w:val="4F9071D6"/>
    <w:rsid w:val="4FA11B26"/>
    <w:rsid w:val="4FB37368"/>
    <w:rsid w:val="4FB74141"/>
    <w:rsid w:val="503044F1"/>
    <w:rsid w:val="50AF18DD"/>
    <w:rsid w:val="51313E25"/>
    <w:rsid w:val="519F7BA4"/>
    <w:rsid w:val="51DB127E"/>
    <w:rsid w:val="52856670"/>
    <w:rsid w:val="52D223DE"/>
    <w:rsid w:val="52EF5391"/>
    <w:rsid w:val="531475A4"/>
    <w:rsid w:val="532404DB"/>
    <w:rsid w:val="532A44AD"/>
    <w:rsid w:val="53AE12C1"/>
    <w:rsid w:val="548D7658"/>
    <w:rsid w:val="54F4511C"/>
    <w:rsid w:val="55DA38A0"/>
    <w:rsid w:val="55F56831"/>
    <w:rsid w:val="56DA167E"/>
    <w:rsid w:val="571B4785"/>
    <w:rsid w:val="57511940"/>
    <w:rsid w:val="57A51342"/>
    <w:rsid w:val="58496B76"/>
    <w:rsid w:val="58655E7C"/>
    <w:rsid w:val="586967AE"/>
    <w:rsid w:val="59C25A1D"/>
    <w:rsid w:val="59C83A10"/>
    <w:rsid w:val="5C135BF4"/>
    <w:rsid w:val="5CA2005A"/>
    <w:rsid w:val="5CA95D7B"/>
    <w:rsid w:val="5CAA1BAE"/>
    <w:rsid w:val="5D775E79"/>
    <w:rsid w:val="5DE220E7"/>
    <w:rsid w:val="5DE76C17"/>
    <w:rsid w:val="5E5929DC"/>
    <w:rsid w:val="5F0977F9"/>
    <w:rsid w:val="5F0D314C"/>
    <w:rsid w:val="5F5C01D8"/>
    <w:rsid w:val="5F652EED"/>
    <w:rsid w:val="5F930E29"/>
    <w:rsid w:val="600D255F"/>
    <w:rsid w:val="60610871"/>
    <w:rsid w:val="608C25AC"/>
    <w:rsid w:val="60EF5D26"/>
    <w:rsid w:val="610A50AC"/>
    <w:rsid w:val="6173081F"/>
    <w:rsid w:val="617A3208"/>
    <w:rsid w:val="61EB5623"/>
    <w:rsid w:val="625B3673"/>
    <w:rsid w:val="6280036F"/>
    <w:rsid w:val="633C67C1"/>
    <w:rsid w:val="63C4349A"/>
    <w:rsid w:val="64520AA6"/>
    <w:rsid w:val="64E52C55"/>
    <w:rsid w:val="651A6EF8"/>
    <w:rsid w:val="65280A0B"/>
    <w:rsid w:val="6595029C"/>
    <w:rsid w:val="66560EE0"/>
    <w:rsid w:val="66B177CF"/>
    <w:rsid w:val="67012208"/>
    <w:rsid w:val="671E2101"/>
    <w:rsid w:val="673E6AD5"/>
    <w:rsid w:val="67DA07A8"/>
    <w:rsid w:val="6860094C"/>
    <w:rsid w:val="68752272"/>
    <w:rsid w:val="69272E1E"/>
    <w:rsid w:val="696B4756"/>
    <w:rsid w:val="698B6504"/>
    <w:rsid w:val="6A36115B"/>
    <w:rsid w:val="6A3B092D"/>
    <w:rsid w:val="6A782B7E"/>
    <w:rsid w:val="6A892D47"/>
    <w:rsid w:val="6B0A032C"/>
    <w:rsid w:val="6B3603E0"/>
    <w:rsid w:val="6B680BAF"/>
    <w:rsid w:val="6B8C1252"/>
    <w:rsid w:val="6C115F54"/>
    <w:rsid w:val="6C663340"/>
    <w:rsid w:val="6E055CC0"/>
    <w:rsid w:val="6E821EB9"/>
    <w:rsid w:val="6F997072"/>
    <w:rsid w:val="6FB42615"/>
    <w:rsid w:val="70575211"/>
    <w:rsid w:val="705F4C76"/>
    <w:rsid w:val="70CD2182"/>
    <w:rsid w:val="70D02C36"/>
    <w:rsid w:val="70F43A90"/>
    <w:rsid w:val="71981222"/>
    <w:rsid w:val="72B91D4E"/>
    <w:rsid w:val="72FE599C"/>
    <w:rsid w:val="74004690"/>
    <w:rsid w:val="74C432FA"/>
    <w:rsid w:val="75680129"/>
    <w:rsid w:val="75D83E8B"/>
    <w:rsid w:val="761949F0"/>
    <w:rsid w:val="761B163F"/>
    <w:rsid w:val="766B1D25"/>
    <w:rsid w:val="76C57C6B"/>
    <w:rsid w:val="773E62C3"/>
    <w:rsid w:val="77E6105F"/>
    <w:rsid w:val="784F0E8A"/>
    <w:rsid w:val="79231FAB"/>
    <w:rsid w:val="796C5D0E"/>
    <w:rsid w:val="7991229A"/>
    <w:rsid w:val="7B3A3A9D"/>
    <w:rsid w:val="7BA45C33"/>
    <w:rsid w:val="7BA4614B"/>
    <w:rsid w:val="7BB03746"/>
    <w:rsid w:val="7BCB6D41"/>
    <w:rsid w:val="7BE24D43"/>
    <w:rsid w:val="7C535BE6"/>
    <w:rsid w:val="7D9F7FC3"/>
    <w:rsid w:val="7E2A7961"/>
    <w:rsid w:val="7E81400A"/>
    <w:rsid w:val="7FBB577B"/>
    <w:rsid w:val="7FC833E4"/>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false" w:defUIPriority="99" w:defSemiHidden="true" w:defUnhideWhenUsed="true" w:defQFormat="false" w:count="260">
    <w:lsdException w:name="Medium Grid 1 Accent 6" w:uiPriority="67" w:semiHidden="false" w:unhideWhenUsed="false"/>
    <w:lsdException w:name="envelope return" w:uiPriority="99"/>
    <w:lsdException w:name="Body Text" w:uiPriority="99" w:qFormat="true"/>
    <w:lsdException w:name="HTML Keyboard" w:uiPriority="99"/>
    <w:lsdException w:name="List Number 5" w:uiPriority="99"/>
    <w:lsdException w:name="List Bullet 3" w:uiPriority="99"/>
    <w:lsdException w:name="HTML Cite" w:uiPriority="99"/>
    <w:lsdException w:name="Medium Shading 1" w:uiPriority="63" w:semiHidden="false" w:unhideWhenUsed="false"/>
    <w:lsdException w:name="Medium List 1 Accent 6" w:uiPriority="65" w:semiHidden="false" w:unhideWhenUsed="false"/>
    <w:lsdException w:name="FollowedHyperlink" w:uiPriority="99"/>
    <w:lsdException w:name="toa heading" w:uiPriority="99"/>
    <w:lsdException w:name="Table Columns 5" w:uiPriority="99"/>
    <w:lsdException w:name="Table 3D effects 2" w:uiPriority="99"/>
    <w:lsdException w:name="Colorful Shading Accent 5" w:uiPriority="71" w:semiHidden="false" w:unhideWhenUsed="false"/>
    <w:lsdException w:name="List Continue 4" w:uiPriority="99"/>
    <w:lsdException w:name="HTML Definition" w:uiPriority="99"/>
    <w:lsdException w:name="Table Simple 1" w:uiPriority="99"/>
    <w:lsdException w:name="heading 5" w:uiPriority="0" w:semiHidden="false" w:qFormat="true"/>
    <w:lsdException w:name="page number" w:uiPriority="0" w:semiHidden="false" w:unhideWhenUsed="false" w:qFormat="true"/>
    <w:lsdException w:name="HTML Sample" w:uiPriority="99"/>
    <w:lsdException w:name="Plain Text" w:uiPriority="99"/>
    <w:lsdException w:name="Medium Grid 1" w:uiPriority="67" w:semiHidden="false" w:unhideWhenUsed="false"/>
    <w:lsdException w:name="Medium List 2 Accent 5" w:uiPriority="66" w:semiHidden="false" w:unhideWhenUsed="false"/>
    <w:lsdException w:name="Table List 5" w:uiPriority="99"/>
    <w:lsdException w:name="Table Simple 2" w:uiPriority="99"/>
    <w:lsdException w:name="macro" w:uiPriority="99"/>
    <w:lsdException w:name="Colorful Shading Accent 1" w:uiPriority="71" w:semiHidden="false" w:unhideWhenUsed="false"/>
    <w:lsdException w:name="Medium Shading 1 Accent 4" w:uiPriority="63" w:semiHidden="false" w:unhideWhenUsed="false"/>
    <w:lsdException w:name="Colorful Shading Accent 4" w:uiPriority="71" w:semiHidden="false" w:unhideWhenUsed="false"/>
    <w:lsdException w:name="heading 3" w:uiPriority="0" w:semiHidden="false" w:qFormat="true"/>
    <w:lsdException w:name="Table List 4" w:uiPriority="99"/>
    <w:lsdException w:name="Table Simple 3" w:uiPriority="99"/>
    <w:lsdException w:name="Light Grid Accent 5" w:uiPriority="62" w:semiHidden="false" w:unhideWhenUsed="false"/>
    <w:lsdException w:name="Body Text Indent 3" w:uiPriority="99"/>
    <w:lsdException w:name="Light Shading" w:uiPriority="60" w:semiHidden="false" w:unhideWhenUsed="false"/>
    <w:lsdException w:name="index heading" w:uiPriority="99"/>
    <w:lsdException w:name="Light List" w:uiPriority="61" w:semiHidden="false" w:unhideWhenUsed="false"/>
    <w:lsdException w:name="Medium Shading 2 Accent 1" w:uiPriority="64" w:semiHidden="false" w:unhideWhenUsed="false"/>
    <w:lsdException w:name="table of authorities" w:uiPriority="99"/>
    <w:lsdException w:name="Emphasis" w:uiPriority="20" w:semiHidden="false" w:unhideWhenUsed="false" w:qFormat="true"/>
    <w:lsdException w:name="Date" w:uiPriority="0" w:semiHidden="false" w:unhideWhenUsed="false" w:qFormat="true"/>
    <w:lsdException w:name="Balloon Text" w:uiPriority="99" w:qFormat="true"/>
    <w:lsdException w:name="header" w:uiPriority="99" w:semiHidden="false" w:qFormat="true"/>
    <w:lsdException w:name="Strong" w:uiPriority="22" w:semiHidden="false" w:unhideWhenUsed="false" w:qFormat="true"/>
    <w:lsdException w:name="Medium Shading 1 Accent 3" w:uiPriority="63" w:semiHidden="false" w:unhideWhenUsed="false"/>
    <w:lsdException w:name="Light List Accent 6" w:uiPriority="61" w:semiHidden="false" w:unhideWhenUsed="false"/>
    <w:lsdException w:name="Medium Grid 2 Accent 2" w:uiPriority="68" w:semiHidden="false" w:unhideWhenUsed="false"/>
    <w:lsdException w:name="Colorful List" w:uiPriority="72" w:semiHidden="false" w:unhideWhenUsed="false"/>
    <w:lsdException w:name="List 4" w:uiPriority="99"/>
    <w:lsdException w:name="Colorful List Accent 2" w:uiPriority="72" w:semiHidden="false" w:unhideWhenUsed="false"/>
    <w:lsdException w:name="HTML Acronym" w:uiPriority="99"/>
    <w:lsdException w:name="Dark List Accent 3" w:uiPriority="70" w:semiHidden="false" w:unhideWhenUsed="false"/>
    <w:lsdException w:name="Table List 8" w:uiPriority="99"/>
    <w:lsdException w:name="Table 3D effects 1" w:uiPriority="99"/>
    <w:lsdException w:name="HTML Typewriter" w:uiPriority="99"/>
    <w:lsdException w:name="HTML Variable" w:uiPriority="99"/>
    <w:lsdException w:name="index 1" w:uiPriority="99"/>
    <w:lsdException w:name="Table List 7" w:uiPriority="99"/>
    <w:lsdException w:name="Colorful Grid Accent 6" w:uiPriority="73" w:semiHidden="false" w:unhideWhenUsed="false"/>
    <w:lsdException w:name="Table Web 3" w:uiPriority="99"/>
    <w:lsdException w:name="Medium Shading 1 Accent 2" w:uiPriority="63" w:semiHidden="false" w:unhideWhenUsed="false"/>
    <w:lsdException w:name="List Number 3" w:uiPriority="99"/>
    <w:lsdException w:name="Medium Shading 2 Accent 3" w:uiPriority="64" w:semiHidden="false" w:unhideWhenUsed="false"/>
    <w:lsdException w:name="heading 6" w:uiPriority="0" w:semiHidden="false" w:qFormat="true"/>
    <w:lsdException w:name="Medium Grid 2 Accent 1" w:uiPriority="68" w:semiHidden="false" w:unhideWhenUsed="false"/>
    <w:lsdException w:name="Medium Grid 2 Accent 6" w:uiPriority="68" w:semiHidden="false" w:unhideWhenUsed="false"/>
    <w:lsdException w:name="Light Shading Accent 6" w:uiPriority="60" w:semiHidden="false" w:unhideWhenUsed="false"/>
    <w:lsdException w:name="Normal (Web)" w:uiPriority="99" w:qFormat="true"/>
    <w:lsdException w:name="Light Shading Accent 2" w:uiPriority="60" w:semiHidden="false" w:unhideWhenUsed="false"/>
    <w:lsdException w:name="Dark List Accent 5" w:uiPriority="70" w:semiHidden="false" w:unhideWhenUsed="false"/>
    <w:lsdException w:name="Table List 6" w:uiPriority="99"/>
    <w:lsdException w:name="index 2" w:uiPriority="99"/>
    <w:lsdException w:name="index 7" w:uiPriority="99"/>
    <w:lsdException w:name="Body Text Indent" w:uiPriority="99" w:semiHidden="false" w:qFormat="true"/>
    <w:lsdException w:name="List Bullet" w:uiPriority="99"/>
    <w:lsdException w:name="List Continue 5" w:uiPriority="99"/>
    <w:lsdException w:name="Note Heading" w:uiPriority="99"/>
    <w:lsdException w:name="Table Columns 2" w:uiPriority="99"/>
    <w:lsdException w:name="Medium Grid 2 Accent 4" w:uiPriority="68" w:semiHidden="false" w:unhideWhenUsed="false"/>
    <w:lsdException w:name="Table Grid 3" w:uiPriority="99"/>
    <w:lsdException w:name="Medium Grid 3" w:uiPriority="69" w:semiHidden="false" w:unhideWhenUsed="false"/>
    <w:lsdException w:name="Normal Indent" w:uiPriority="99" w:qFormat="true"/>
    <w:lsdException w:name="Medium Grid 1 Accent 4" w:uiPriority="67" w:semiHidden="false" w:unhideWhenUsed="false"/>
    <w:lsdException w:name="Colorful Shading Accent 2" w:uiPriority="71" w:semiHidden="false" w:unhideWhenUsed="false"/>
    <w:lsdException w:name="Colorful Shading Accent 3" w:uiPriority="71" w:semiHidden="false" w:unhideWhenUsed="false"/>
    <w:lsdException w:name="Light List Accent 4" w:uiPriority="61" w:semiHidden="false" w:unhideWhenUsed="false"/>
    <w:lsdException w:name="Medium List 2 Accent 4" w:uiPriority="66" w:semiHidden="false" w:unhideWhenUsed="false"/>
    <w:lsdException w:name="List" w:uiPriority="99"/>
    <w:lsdException w:name="Colorful List Accent 4" w:uiPriority="72" w:semiHidden="false" w:unhideWhenUsed="false"/>
    <w:lsdException w:name="Colorful Shading" w:uiPriority="71" w:semiHidden="false" w:unhideWhenUsed="false"/>
    <w:lsdException w:name="heading 7" w:uiPriority="0" w:semiHidden="false" w:qFormat="true"/>
    <w:lsdException w:name="Table List 1" w:uiPriority="99"/>
    <w:lsdException w:name="Medium Grid 2 Accent 3" w:uiPriority="68" w:semiHidden="false" w:unhideWhenUsed="false"/>
    <w:lsdException w:name="toc 3" w:uiPriority="39"/>
    <w:lsdException w:name="Medium Grid 1 Accent 5" w:uiPriority="67" w:semiHidden="false" w:unhideWhenUsed="false"/>
    <w:lsdException w:name="Medium Shading 2 Accent 2" w:uiPriority="64" w:semiHidden="false" w:unhideWhenUsed="false"/>
    <w:lsdException w:name="envelope address" w:uiPriority="99"/>
    <w:lsdException w:name="Default Paragraph Font" w:uiPriority="1" w:qFormat="true"/>
    <w:lsdException w:name="List Continue 3" w:uiPriority="99"/>
    <w:lsdException w:name="Medium Shading 2 Accent 5" w:uiPriority="64" w:semiHidden="false" w:unhideWhenUsed="false"/>
    <w:lsdException w:name="table of figures" w:uiPriority="99"/>
    <w:lsdException w:name="Light Grid Accent 3" w:uiPriority="62" w:semiHidden="false" w:unhideWhenUsed="false"/>
    <w:lsdException w:name="Colorful List Accent 3" w:uiPriority="72" w:semiHidden="false" w:unhideWhenUsed="false"/>
    <w:lsdException w:name="Light List Accent 1" w:uiPriority="61" w:semiHidden="false" w:unhideWhenUsed="false"/>
    <w:lsdException w:name="toc 2" w:uiPriority="39"/>
    <w:lsdException w:name="Hyperlink" w:uiPriority="99"/>
    <w:lsdException w:name="Medium List 1 Accent 1" w:uiPriority="65" w:semiHidden="false" w:unhideWhenUsed="false"/>
    <w:lsdException w:name="Medium Shading 1 Accent 6" w:uiPriority="63" w:semiHidden="false" w:unhideWhenUsed="false"/>
    <w:lsdException w:name="Medium List 2 Accent 1" w:uiPriority="66" w:semiHidden="false" w:unhideWhenUsed="false"/>
    <w:lsdException w:name="heading 8" w:uiPriority="0" w:semiHidden="false" w:qFormat="true"/>
    <w:lsdException w:name="footnote text" w:uiPriority="99"/>
    <w:lsdException w:name="Medium List 2 Accent 3" w:uiPriority="66" w:semiHidden="false" w:unhideWhenUsed="false"/>
    <w:lsdException w:name="Medium Grid 3 Accent 6" w:uiPriority="69" w:semiHidden="false" w:unhideWhenUsed="false"/>
    <w:lsdException w:name="Light Shading Accent 4" w:uiPriority="60" w:semiHidden="false" w:unhideWhenUsed="false"/>
    <w:lsdException w:name="Signature" w:uiPriority="99"/>
    <w:lsdException w:name="heading 9" w:uiPriority="0" w:semiHidden="false" w:qFormat="true"/>
    <w:lsdException w:name="Dark List Accent 4" w:uiPriority="70" w:semiHidden="false" w:unhideWhenUsed="false"/>
    <w:lsdException w:name="Table Grid" w:uiPriority="0" w:semiHidden="false" w:unhideWhenUsed="false" w:qFormat="true"/>
    <w:lsdException w:name="Table Grid 6" w:uiPriority="99"/>
    <w:lsdException w:name="Light Grid" w:uiPriority="62" w:semiHidden="false" w:unhideWhenUsed="false"/>
    <w:lsdException w:name="Body Text Indent 2" w:uiPriority="99"/>
    <w:lsdException w:name="List Paragraph" w:uiPriority="34" w:semiHidden="false" w:unhideWhenUsed="false" w:qFormat="true"/>
    <w:lsdException w:name="index 3" w:uiPriority="99"/>
    <w:lsdException w:name="Dark List Accent 6" w:uiPriority="70" w:semiHidden="false" w:unhideWhenUsed="false"/>
    <w:lsdException w:name="Table Contemporary" w:uiPriority="99"/>
    <w:lsdException w:name="Message Header" w:uiPriority="99"/>
    <w:lsdException w:name="Table Classic 2" w:uiPriority="99"/>
    <w:lsdException w:name="heading 4" w:uiPriority="0" w:semiHidden="false" w:qFormat="true"/>
    <w:lsdException w:name="heading 1" w:uiPriority="9" w:semiHidden="false" w:unhideWhenUsed="false" w:qFormat="true"/>
    <w:lsdException w:name="Table Colorful 3" w:uiPriority="99"/>
    <w:lsdException w:name="Colorful Grid Accent 1" w:uiPriority="73" w:semiHidden="false" w:unhideWhenUsed="false"/>
    <w:lsdException w:name="Light Shading Accent 1" w:uiPriority="60" w:semiHidden="false" w:unhideWhenUsed="false"/>
    <w:lsdException w:name="E-mail Signature" w:uiPriority="99"/>
    <w:lsdException w:name="Table Grid 2" w:uiPriority="99"/>
    <w:lsdException w:name="Table Classic 3" w:uiPriority="99"/>
    <w:lsdException w:name="Salutation" w:uiPriority="99"/>
    <w:lsdException w:name="Body Text First Indent 2" w:uiPriority="99" w:semiHidden="false" w:qFormat="true"/>
    <w:lsdException w:name="Medium List 1 Accent 3" w:uiPriority="65" w:semiHidden="false" w:unhideWhenUsed="false"/>
    <w:lsdException w:name="Medium List 1" w:uiPriority="65" w:semiHidden="false" w:unhideWhenUsed="false"/>
    <w:lsdException w:name="Medium Grid 3 Accent 4" w:uiPriority="69" w:semiHidden="false" w:unhideWhenUsed="false"/>
    <w:lsdException w:name="Table Theme" w:uiPriority="99"/>
    <w:lsdException w:name="Medium Grid 1 Accent 2" w:uiPriority="67" w:semiHidden="false" w:unhideWhenUsed="false"/>
    <w:lsdException w:name="Medium Shading 1 Accent 1" w:uiPriority="63" w:semiHidden="false" w:unhideWhenUsed="false"/>
    <w:lsdException w:name="Table Grid 1" w:uiPriority="99"/>
    <w:lsdException w:name="List Bullet 5" w:uiPriority="99"/>
    <w:lsdException w:name="Table Columns 1" w:uiPriority="99"/>
    <w:lsdException w:name="toc 1" w:uiPriority="39" w:semiHidden="false" w:unhideWhenUsed="false" w:qFormat="true"/>
    <w:lsdException w:name="toc 6" w:uiPriority="39"/>
    <w:lsdException w:name="Document Map" w:uiPriority="99" w:qFormat="true"/>
    <w:lsdException w:name="toc 4" w:uiPriority="39"/>
    <w:lsdException w:name="toc 5" w:uiPriority="39"/>
    <w:lsdException w:name="Colorful Grid Accent 4" w:uiPriority="73" w:semiHidden="false" w:unhideWhenUsed="false"/>
    <w:lsdException w:name="List Number" w:uiPriority="99"/>
    <w:lsdException w:name="Table Colorful 2" w:uiPriority="99"/>
    <w:lsdException w:name="index 8" w:uiPriority="99"/>
    <w:lsdException w:name="Medium Grid 3 Accent 1" w:uiPriority="69" w:semiHidden="false" w:unhideWhenUsed="false"/>
    <w:lsdException w:name="Medium List 2" w:uiPriority="66" w:semiHidden="false" w:unhideWhenUsed="false"/>
    <w:lsdException w:name="Table List 3" w:uiPriority="99"/>
    <w:lsdException w:name="Medium Grid 1 Accent 3" w:uiPriority="67" w:semiHidden="false" w:unhideWhenUsed="false"/>
    <w:lsdException w:name="List 3" w:uiPriority="99"/>
    <w:lsdException w:name="index 4" w:uiPriority="99"/>
    <w:lsdException w:name="annotation reference" w:uiPriority="0" w:semiHidden="false" w:qFormat="true"/>
    <w:lsdException w:name="Medium Shading 2 Accent 6" w:uiPriority="64" w:semiHidden="false" w:unhideWhenUsed="false"/>
    <w:lsdException w:name="List 5" w:uiPriority="99"/>
    <w:lsdException w:name="Light List Accent 3" w:uiPriority="61" w:semiHidden="false" w:unhideWhenUsed="false"/>
    <w:lsdException w:name="Colorful Grid" w:uiPriority="73" w:semiHidden="false" w:unhideWhenUsed="false"/>
    <w:lsdException w:name="Light Grid Accent 4" w:uiPriority="62" w:semiHidden="false" w:unhideWhenUsed="false"/>
    <w:lsdException w:name="Colorful Grid Accent 3" w:uiPriority="73" w:semiHidden="false" w:unhideWhenUsed="false"/>
    <w:lsdException w:name="Colorful Shading Accent 6" w:uiPriority="71" w:semiHidden="false" w:unhideWhenUsed="false"/>
    <w:lsdException w:name="endnote reference" w:uiPriority="99"/>
    <w:lsdException w:name="Medium Grid 2" w:uiPriority="68" w:semiHidden="false" w:unhideWhenUsed="false"/>
    <w:lsdException w:name="List Number 2" w:uiPriority="99"/>
    <w:lsdException w:name="annotation text" w:uiPriority="0" w:semiHidden="false" w:qFormat="true"/>
    <w:lsdException w:name="Colorful List Accent 1" w:uiPriority="72" w:semiHidden="false" w:unhideWhenUsed="false"/>
    <w:lsdException w:name="toc 8" w:uiPriority="39"/>
    <w:lsdException w:name="Table Grid 5" w:uiPriority="99"/>
    <w:lsdException w:name="Dark List" w:uiPriority="70" w:semiHidden="false" w:unhideWhenUsed="false"/>
    <w:lsdException w:name="Colorful Grid Accent 5" w:uiPriority="73" w:semiHidden="false" w:unhideWhenUsed="false"/>
    <w:lsdException w:name="footnote reference" w:uiPriority="99"/>
    <w:lsdException w:name="Table Colorful 1" w:uiPriority="99"/>
    <w:lsdException w:name="Light Grid Accent 1" w:uiPriority="62" w:semiHidden="false" w:unhideWhenUsed="false"/>
    <w:lsdException w:name="List Number 4" w:uiPriority="99"/>
    <w:lsdException w:name="index 9" w:uiPriority="99"/>
    <w:lsdException w:name="index 6" w:uiPriority="99"/>
    <w:lsdException w:name="Medium Grid 3 Accent 5" w:uiPriority="69" w:semiHidden="false" w:unhideWhenUsed="false"/>
    <w:lsdException w:name="Table Web 2" w:uiPriority="99"/>
    <w:lsdException w:name="Table Elegant" w:uiPriority="99"/>
    <w:lsdException w:name="HTML Preformatted" w:uiPriority="99"/>
    <w:lsdException w:name="annotation subject" w:uiPriority="99" w:qFormat="true"/>
    <w:lsdException w:name="Normal Table" w:uiPriority="99" w:qFormat="true"/>
    <w:lsdException w:name="heading 2" w:uiPriority="0" w:semiHidden="false" w:qFormat="true"/>
    <w:lsdException w:name="Table 3D effects 3" w:uiPriority="99"/>
    <w:lsdException w:name="Medium List 2 Accent 6" w:uiPriority="66" w:semiHidden="false" w:unhideWhenUsed="false"/>
    <w:lsdException w:name="Dark List Accent 2" w:uiPriority="70" w:semiHidden="false" w:unhideWhenUsed="false"/>
    <w:lsdException w:name="HTML Address" w:uiPriority="99"/>
    <w:lsdException w:name="List Continue 2" w:uiPriority="99"/>
    <w:lsdException w:name="Medium List 1 Accent 5" w:uiPriority="65" w:semiHidden="false" w:unhideWhenUsed="false"/>
    <w:lsdException w:name="endnote text" w:uiPriority="99"/>
    <w:lsdException w:name="Table Subtle 1" w:uiPriority="99"/>
    <w:lsdException w:name="Medium Grid 1 Accent 1" w:uiPriority="67" w:semiHidden="false" w:unhideWhenUsed="false"/>
    <w:lsdException w:name="List Continue" w:uiPriority="99"/>
    <w:lsdException w:name="Light Grid Accent 6" w:uiPriority="62" w:semiHidden="false" w:unhideWhenUsed="false"/>
    <w:lsdException w:name="Table Grid 7" w:uiPriority="99"/>
    <w:lsdException w:name="Light List Accent 2" w:uiPriority="61" w:semiHidden="false" w:unhideWhenUsed="false"/>
    <w:lsdException w:name="index 5" w:uiPriority="99"/>
    <w:lsdException w:name="Colorful Grid Accent 2" w:uiPriority="73" w:semiHidden="false" w:unhideWhenUsed="false"/>
    <w:lsdException w:name="Medium Grid 3 Accent 3" w:uiPriority="69" w:semiHidden="false" w:unhideWhenUsed="false"/>
    <w:lsdException w:name="Table Web 1" w:uiPriority="99"/>
    <w:lsdException w:name="Light List Accent 5" w:uiPriority="61" w:semiHidden="false" w:unhideWhenUsed="false"/>
    <w:lsdException w:name="footer" w:uiPriority="99" w:semiHidden="false" w:qFormat="true"/>
    <w:lsdException w:name="Medium Shading 1 Accent 5" w:uiPriority="63" w:semiHidden="false" w:unhideWhenUsed="false"/>
    <w:lsdException w:name="Colorful List Accent 6" w:uiPriority="72" w:semiHidden="false" w:unhideWhenUsed="false"/>
    <w:lsdException w:name="Medium List 1 Accent 2" w:uiPriority="65" w:semiHidden="false" w:unhideWhenUsed="false"/>
    <w:lsdException w:name="Table List 2" w:uiPriority="99"/>
    <w:lsdException w:name="Table Professional" w:uiPriority="99"/>
    <w:lsdException w:name="Colorful List Accent 5" w:uiPriority="72" w:semiHidden="false" w:unhideWhenUsed="false"/>
    <w:lsdException w:name="Table Classic 4" w:uiPriority="99"/>
    <w:lsdException w:name="Light Shading Accent 5" w:uiPriority="60" w:semiHidden="false" w:unhideWhenUsed="false"/>
    <w:lsdException w:name="Table Grid 4" w:uiPriority="99"/>
    <w:lsdException w:name="Medium List 2 Accent 2" w:uiPriority="66" w:semiHidden="false" w:unhideWhenUsed="false"/>
    <w:lsdException w:name="Table Grid 8" w:uiPriority="99"/>
    <w:lsdException w:name="caption" w:uiPriority="35" w:qFormat="true"/>
    <w:lsdException w:name="line number" w:uiPriority="99"/>
    <w:lsdException w:name="Medium Shading 2" w:uiPriority="64" w:semiHidden="false" w:unhideWhenUsed="false"/>
    <w:lsdException w:name="Table Columns 4" w:uiPriority="99"/>
    <w:lsdException w:name="Light Grid Accent 2" w:uiPriority="62" w:semiHidden="false" w:unhideWhenUsed="false"/>
    <w:lsdException w:name="HTML Code" w:uiPriority="99"/>
    <w:lsdException w:name="List 2" w:uiPriority="99"/>
    <w:lsdException w:name="Body Text 3" w:uiPriority="99"/>
    <w:lsdException w:name="Body Text 2" w:uiPriority="99" w:semiHidden="false" w:qFormat="true"/>
    <w:lsdException w:name="List Bullet 2" w:uiPriority="99"/>
    <w:lsdException w:name="Table Columns 3" w:uiPriority="99"/>
    <w:lsdException w:name="Body Text First Indent" w:uiPriority="99" w:qFormat="true"/>
    <w:lsdException w:name="Closing" w:uiPriority="99"/>
    <w:lsdException w:name="Normal" w:uiPriority="0" w:semiHidden="false" w:unhideWhenUsed="false" w:qFormat="true"/>
    <w:lsdException w:name="toc 9" w:uiPriority="39"/>
    <w:lsdException w:name="List Bullet 4" w:uiPriority="99"/>
    <w:lsdException w:name="Block Text" w:uiPriority="99"/>
    <w:lsdException w:name="Medium Grid 2 Accent 5" w:uiPriority="68" w:semiHidden="false" w:unhideWhenUsed="false"/>
    <w:lsdException w:name="Medium List 1 Accent 4" w:uiPriority="65" w:semiHidden="false" w:unhideWhenUsed="false"/>
    <w:lsdException w:name="Title" w:uiPriority="10" w:semiHidden="false" w:unhideWhenUsed="false" w:qFormat="true"/>
    <w:lsdException w:name="toc 7" w:uiPriority="39"/>
    <w:lsdException w:name="Table Classic 1" w:uiPriority="99"/>
    <w:lsdException w:name="Table Subtle 2" w:uiPriority="99"/>
    <w:lsdException w:name="Subtitle" w:uiPriority="11" w:semiHidden="false" w:unhideWhenUsed="false" w:qFormat="true"/>
    <w:lsdException w:name="Medium Grid 3 Accent 2" w:uiPriority="69" w:semiHidden="false" w:unhideWhenUsed="false"/>
    <w:lsdException w:name="Medium Shading 2 Accent 4" w:uiPriority="64" w:semiHidden="false" w:unhideWhenUsed="false"/>
    <w:lsdException w:name="Dark List Accent 1" w:uiPriority="70" w:semiHidden="false" w:unhideWhenUsed="false"/>
    <w:lsdException w:name="Light Shading Accent 3" w:uiPriority="60" w:semiHidden="false" w:unhideWhenUsed="false"/>
  </w:latentStyles>
  <w:style w:type="character" w:styleId="00002c">
    <w:name w:val="page number"/>
    <w:uiPriority w:val="0"/>
    <w:qFormat/>
  </w:style>
  <w:style w:type="character" w:styleId="000005" w:customStyle="true">
    <w:name w:val="标题 2 字符"/>
    <w:basedOn w:val="000014"/>
    <w:link w:val="000004"/>
    <w:uiPriority w:val="0"/>
    <w:qFormat/>
    <w:rPr>
      <w:rFonts w:asciiTheme="majorHAnsi" w:hAnsiTheme="majorHAnsi" w:eastAsiaTheme="majorEastAsia" w:cstheme="majorBidi"/>
      <w:b/>
      <w:bCs/>
      <w:sz w:val="32"/>
      <w:szCs w:val="32"/>
    </w:rPr>
  </w:style>
  <w:style w:type="table" w:styleId="000015" w:default="true">
    <w:name w:val="Normal Table"/>
    <w:uiPriority w:val="99"/>
    <w:semiHidden/>
    <w:unhideWhenUsed/>
    <w:qFormat/>
    <w:tblPr>
      <w:tblCellMar>
        <w:top w:w="0" w:type="dxa"/>
        <w:left w:w="108" w:type="dxa"/>
        <w:bottom w:w="0" w:type="dxa"/>
        <w:right w:w="108" w:type="dxa"/>
      </w:tblCellMar>
    </w:tblPr>
  </w:style>
  <w:style w:type="paragraph" w:styleId="00001b">
    <w:name w:val="Body Text"/>
    <w:basedOn w:val="000001"/>
    <w:next w:val="00001c"/>
    <w:uiPriority w:val="99"/>
    <w:semiHidden/>
    <w:unhideWhenUsed/>
    <w:qFormat/>
    <w:pPr>
      <w:spacing w:after="120"/>
    </w:pPr>
  </w:style>
  <w:style w:type="paragraph" w:styleId="000006">
    <w:name w:val="heading 3"/>
    <w:basedOn w:val="000001"/>
    <w:next w:val="000001"/>
    <w:link w:val="000007"/>
    <w:uiPriority w:val="0"/>
    <w:unhideWhenUsed/>
    <w:qFormat/>
    <w:pPr>
      <w:keepNext/>
      <w:keepLines/>
      <w:spacing w:before="260" w:after="260" w:line="416" w:lineRule="auto"/>
      <w:ind w:left="720"/>
      <w:outlineLvl w:val="2"/>
    </w:pPr>
    <w:rPr>
      <w:b/>
      <w:bCs/>
      <w:sz w:val="32"/>
      <w:szCs w:val="32"/>
    </w:rPr>
  </w:style>
  <w:style w:type="paragraph" w:styleId="000029">
    <w:name w:val="Body Text First Indent"/>
    <w:basedOn w:val="00001b"/>
    <w:next w:val="000001"/>
    <w:uiPriority w:val="99"/>
    <w:semiHidden/>
    <w:unhideWhenUsed/>
    <w:qFormat/>
    <w:pPr>
      <w:ind w:firstLine="420" w:firstLineChars="100"/>
    </w:pPr>
  </w:style>
  <w:style w:type="character" w:styleId="00000d" w:customStyle="true">
    <w:name w:val="标题 6 字符"/>
    <w:basedOn w:val="000014"/>
    <w:link w:val="00000c"/>
    <w:uiPriority w:val="0"/>
    <w:qFormat/>
    <w:rPr>
      <w:rFonts w:asciiTheme="majorHAnsi" w:hAnsiTheme="majorHAnsi" w:eastAsiaTheme="majorEastAsia" w:cstheme="majorBidi"/>
      <w:b/>
      <w:bCs/>
      <w:sz w:val="24"/>
      <w:szCs w:val="24"/>
    </w:rPr>
  </w:style>
  <w:style w:type="paragraph" w:styleId="000023">
    <w:name w:val="header"/>
    <w:basedOn w:val="000001"/>
    <w:link w:val="000024"/>
    <w:uiPriority w:val="99"/>
    <w:unhideWhenUsed/>
    <w:qFormat/>
    <w:pPr>
      <w:pBdr>
        <w:bottom w:val="single" w:color="auto" w:sz="6" w:space="1"/>
      </w:pBdr>
      <w:tabs>
        <w:tab w:val="center" w:pos="4153"/>
        <w:tab w:val="right" w:pos="8306"/>
      </w:tabs>
      <w:snapToGrid w:val="false"/>
      <w:jc w:val="center"/>
    </w:pPr>
    <w:rPr>
      <w:sz w:val="18"/>
      <w:szCs w:val="18"/>
    </w:rPr>
  </w:style>
  <w:style w:type="character" w:styleId="00002d">
    <w:name w:val="annotation reference"/>
    <w:basedOn w:val="000014"/>
    <w:uiPriority w:val="0"/>
    <w:unhideWhenUsed/>
    <w:qFormat/>
    <w:rPr>
      <w:rFonts w:ascii="Tahoma" w:hAnsi="Tahoma"/>
      <w:sz w:val="21"/>
      <w:szCs w:val="21"/>
    </w:rPr>
  </w:style>
  <w:style w:type="character" w:styleId="000033" w:customStyle="true">
    <w:name w:val="font41"/>
    <w:basedOn w:val="000014"/>
    <w:autoRedefine/>
    <w:uiPriority w:val="0"/>
    <w:qFormat/>
    <w:rPr>
      <w:rFonts w:hint="eastAsia" w:ascii="宋体" w:hAnsi="宋体" w:eastAsia="宋体" w:cs="宋体"/>
      <w:color w:val="000000"/>
      <w:sz w:val="16"/>
      <w:szCs w:val="16"/>
      <w:u w:val="none"/>
    </w:rPr>
  </w:style>
  <w:style w:type="character" w:styleId="00003c" w:customStyle="true">
    <w:name w:val="font131"/>
    <w:basedOn w:val="000014"/>
    <w:uiPriority w:val="0"/>
    <w:qFormat/>
    <w:rPr>
      <w:rFonts w:hint="default" w:ascii="Times New Roman" w:hAnsi="Times New Roman" w:cs="Times New Roman"/>
      <w:color w:val="000000"/>
      <w:sz w:val="14"/>
      <w:szCs w:val="14"/>
      <w:u w:val="none"/>
    </w:rPr>
  </w:style>
  <w:style w:type="paragraph" w:styleId="000001" w:default="true">
    <w:name w:val="Normal"/>
    <w:uiPriority w:val="0"/>
    <w:qFormat/>
    <w:pPr>
      <w:widowControl w:val="false"/>
      <w:jc w:val="both"/>
    </w:pPr>
    <w:rPr>
      <w:rFonts w:asciiTheme="minorHAnsi" w:hAnsiTheme="minorHAnsi" w:eastAsiaTheme="minorEastAsia" w:cstheme="minorBidi"/>
      <w:kern w:val="2"/>
      <w:sz w:val="21"/>
      <w:szCs w:val="22"/>
      <w:lang w:val="en-US" w:eastAsia="zh-CN" w:bidi="ar-SA"/>
    </w:rPr>
  </w:style>
  <w:style w:type="paragraph" w:styleId="00001e">
    <w:name w:val="Date"/>
    <w:basedOn w:val="000001"/>
    <w:next w:val="000001"/>
    <w:uiPriority w:val="0"/>
    <w:qFormat/>
    <w:pPr>
      <w:snapToGrid w:val="false"/>
    </w:pPr>
    <w:rPr>
      <w:rFonts w:eastAsia="华文中宋"/>
      <w:sz w:val="24"/>
    </w:rPr>
  </w:style>
  <w:style w:type="character" w:styleId="00000f" w:customStyle="true">
    <w:name w:val="标题 7 字符"/>
    <w:basedOn w:val="000014"/>
    <w:link w:val="00000e"/>
    <w:uiPriority w:val="0"/>
    <w:qFormat/>
    <w:rPr>
      <w:b/>
      <w:bCs/>
      <w:sz w:val="24"/>
      <w:szCs w:val="24"/>
    </w:rPr>
  </w:style>
  <w:style w:type="character" w:styleId="000022" w:customStyle="true">
    <w:name w:val="页脚 字符"/>
    <w:basedOn w:val="000014"/>
    <w:link w:val="000021"/>
    <w:uiPriority w:val="99"/>
    <w:qFormat/>
    <w:rPr>
      <w:sz w:val="18"/>
      <w:szCs w:val="18"/>
    </w:rPr>
  </w:style>
  <w:style w:type="paragraph" w:styleId="000017">
    <w:name w:val="Document Map"/>
    <w:basedOn w:val="000001"/>
    <w:link w:val="000018"/>
    <w:uiPriority w:val="99"/>
    <w:semiHidden/>
    <w:unhideWhenUsed/>
    <w:qFormat/>
    <w:rPr>
      <w:rFonts w:ascii="宋体" w:eastAsia="宋体"/>
      <w:sz w:val="18"/>
      <w:szCs w:val="18"/>
    </w:rPr>
  </w:style>
  <w:style w:type="paragraph" w:styleId="00002e" w:customStyle="true">
    <w:name w:val="样式 Arial 行距: 1.5 倍行距"/>
    <w:uiPriority w:val="0"/>
    <w:qFormat/>
    <w:pPr>
      <w:widowControl w:val="false"/>
      <w:spacing w:line="360" w:lineRule="auto"/>
      <w:ind w:firstLine="200" w:firstLineChars="200"/>
      <w:jc w:val="both"/>
    </w:pPr>
    <w:rPr>
      <w:rFonts w:asciiTheme="minorHAnsi" w:hAnsiTheme="minorHAnsi" w:eastAsiaTheme="minorEastAsia" w:cstheme="minorBidi"/>
      <w:kern w:val="2"/>
      <w:sz w:val="21"/>
      <w:szCs w:val="20"/>
      <w:lang w:val="en-US" w:eastAsia="zh-CN" w:bidi="ar-SA"/>
    </w:rPr>
  </w:style>
  <w:style w:type="character" w:styleId="000037" w:customStyle="true">
    <w:name w:val="font61"/>
    <w:basedOn w:val="000014"/>
    <w:autoRedefine/>
    <w:uiPriority w:val="0"/>
    <w:qFormat/>
    <w:rPr>
      <w:rFonts w:ascii="Arial" w:hAnsi="Arial" w:cs="Arial"/>
      <w:color w:val="000000"/>
      <w:sz w:val="16"/>
      <w:szCs w:val="16"/>
      <w:u w:val="none"/>
    </w:rPr>
  </w:style>
  <w:style w:type="character" w:styleId="000032" w:customStyle="true">
    <w:name w:val="font21"/>
    <w:basedOn w:val="000014"/>
    <w:autoRedefine/>
    <w:uiPriority w:val="0"/>
    <w:qFormat/>
    <w:rPr>
      <w:rFonts w:ascii="Arial" w:hAnsi="Arial" w:cs="Arial"/>
      <w:color w:val="000000"/>
      <w:sz w:val="16"/>
      <w:szCs w:val="16"/>
      <w:u w:val="none"/>
    </w:rPr>
  </w:style>
  <w:style w:type="paragraph" w:styleId="00000c">
    <w:name w:val="heading 6"/>
    <w:basedOn w:val="000001"/>
    <w:next w:val="000001"/>
    <w:link w:val="00000d"/>
    <w:uiPriority w:val="0"/>
    <w:unhideWhenUsed/>
    <w:qFormat/>
    <w:pPr>
      <w:keepNext/>
      <w:keepLines/>
      <w:spacing w:before="240" w:after="64" w:line="320" w:lineRule="auto"/>
      <w:outlineLvl w:val="5"/>
    </w:pPr>
    <w:rPr>
      <w:rFonts w:asciiTheme="majorHAnsi" w:hAnsiTheme="majorHAnsi" w:eastAsiaTheme="majorEastAsia" w:cstheme="majorBidi"/>
      <w:b/>
      <w:bCs/>
      <w:sz w:val="24"/>
      <w:szCs w:val="24"/>
    </w:rPr>
  </w:style>
  <w:style w:type="character" w:styleId="000011" w:customStyle="true">
    <w:name w:val="标题 8 字符"/>
    <w:basedOn w:val="000014"/>
    <w:link w:val="000010"/>
    <w:uiPriority w:val="0"/>
    <w:qFormat/>
    <w:rPr>
      <w:rFonts w:asciiTheme="majorHAnsi" w:hAnsiTheme="majorHAnsi" w:eastAsiaTheme="majorEastAsia" w:cstheme="majorBidi"/>
      <w:sz w:val="24"/>
      <w:szCs w:val="24"/>
    </w:rPr>
  </w:style>
  <w:style w:type="character" w:styleId="00002f" w:customStyle="true">
    <w:name w:val="font122"/>
    <w:basedOn w:val="000014"/>
    <w:uiPriority w:val="0"/>
    <w:qFormat/>
    <w:rPr>
      <w:rFonts w:hint="eastAsia" w:ascii="宋体" w:hAnsi="宋体" w:eastAsia="宋体" w:cs="宋体"/>
      <w:color w:val="000000"/>
      <w:sz w:val="14"/>
      <w:szCs w:val="14"/>
      <w:u w:val="none"/>
    </w:rPr>
  </w:style>
  <w:style w:type="paragraph" w:styleId="000027">
    <w:name w:val="annotation subject"/>
    <w:basedOn w:val="000019"/>
    <w:next w:val="000019"/>
    <w:link w:val="000028"/>
    <w:uiPriority w:val="99"/>
    <w:semiHidden/>
    <w:unhideWhenUsed/>
    <w:qFormat/>
    <w:rPr>
      <w:rFonts w:asciiTheme="minorHAnsi" w:hAnsiTheme="minorHAnsi" w:eastAsiaTheme="minorEastAsia" w:cstheme="minorBidi"/>
      <w:b/>
      <w:bCs/>
      <w:szCs w:val="22"/>
    </w:rPr>
  </w:style>
  <w:style w:type="paragraph" w:styleId="00001c">
    <w:name w:val="Body Text 2"/>
    <w:basedOn w:val="000001"/>
    <w:uiPriority w:val="99"/>
    <w:unhideWhenUsed/>
    <w:qFormat/>
    <w:pPr>
      <w:spacing w:after="120" w:line="480" w:lineRule="auto"/>
    </w:pPr>
  </w:style>
  <w:style w:type="paragraph" w:styleId="00003b">
    <w:name w:val="List Paragraph"/>
    <w:basedOn w:val="000001"/>
    <w:uiPriority w:val="34"/>
    <w:qFormat/>
    <w:pPr>
      <w:ind w:firstLine="420" w:firstLineChars="200"/>
    </w:pPr>
  </w:style>
  <w:style w:type="character" w:styleId="000013" w:customStyle="true">
    <w:name w:val="标题 9 字符"/>
    <w:basedOn w:val="000014"/>
    <w:link w:val="000012"/>
    <w:uiPriority w:val="0"/>
    <w:qFormat/>
    <w:rPr>
      <w:rFonts w:asciiTheme="majorHAnsi" w:hAnsiTheme="majorHAnsi" w:eastAsiaTheme="majorEastAsia" w:cstheme="majorBidi"/>
      <w:szCs w:val="21"/>
    </w:rPr>
  </w:style>
  <w:style w:type="paragraph" w:styleId="000002">
    <w:name w:val="heading 1"/>
    <w:basedOn w:val="000001"/>
    <w:next w:val="000001"/>
    <w:link w:val="000003"/>
    <w:uiPriority w:val="9"/>
    <w:qFormat/>
    <w:pPr>
      <w:keepNext/>
      <w:keepLines/>
      <w:spacing w:before="340" w:after="330" w:line="578" w:lineRule="auto"/>
      <w:outlineLvl w:val="0"/>
    </w:pPr>
    <w:rPr>
      <w:b/>
      <w:bCs/>
      <w:kern w:val="44"/>
      <w:sz w:val="44"/>
      <w:szCs w:val="44"/>
    </w:rPr>
  </w:style>
  <w:style w:type="paragraph" w:styleId="00000e">
    <w:name w:val="heading 7"/>
    <w:basedOn w:val="000001"/>
    <w:next w:val="000001"/>
    <w:link w:val="00000f"/>
    <w:uiPriority w:val="0"/>
    <w:unhideWhenUsed/>
    <w:qFormat/>
    <w:pPr>
      <w:keepNext/>
      <w:keepLines/>
      <w:spacing w:before="240" w:after="64" w:line="320" w:lineRule="auto"/>
      <w:outlineLvl w:val="6"/>
    </w:pPr>
    <w:rPr>
      <w:b/>
      <w:bCs/>
      <w:sz w:val="24"/>
      <w:szCs w:val="24"/>
    </w:rPr>
  </w:style>
  <w:style w:type="character" w:styleId="000039" w:customStyle="true">
    <w:name w:val="font11"/>
    <w:basedOn w:val="000014"/>
    <w:autoRedefine/>
    <w:uiPriority w:val="0"/>
    <w:qFormat/>
    <w:rPr>
      <w:rFonts w:hint="eastAsia" w:ascii="宋体" w:hAnsi="宋体" w:eastAsia="宋体" w:cs="宋体"/>
      <w:color w:val="000000"/>
      <w:sz w:val="18"/>
      <w:szCs w:val="18"/>
      <w:u w:val="none"/>
    </w:rPr>
  </w:style>
  <w:style w:type="character" w:styleId="000020" w:customStyle="true">
    <w:name w:val="批注框文本 字符"/>
    <w:basedOn w:val="000014"/>
    <w:link w:val="00001f"/>
    <w:uiPriority w:val="99"/>
    <w:semiHidden/>
    <w:qFormat/>
    <w:rPr>
      <w:sz w:val="18"/>
      <w:szCs w:val="18"/>
    </w:rPr>
  </w:style>
  <w:style w:type="character" w:styleId="00003a" w:customStyle="true">
    <w:name w:val="font121"/>
    <w:basedOn w:val="000014"/>
    <w:uiPriority w:val="0"/>
    <w:qFormat/>
    <w:rPr>
      <w:rFonts w:hint="eastAsia" w:ascii="宋体" w:hAnsi="宋体" w:eastAsia="宋体" w:cs="宋体"/>
      <w:color w:val="000000"/>
      <w:sz w:val="14"/>
      <w:szCs w:val="14"/>
      <w:u w:val="none"/>
    </w:rPr>
  </w:style>
  <w:style w:type="character" w:styleId="000035" w:customStyle="true">
    <w:name w:val="font51"/>
    <w:basedOn w:val="000014"/>
    <w:autoRedefine/>
    <w:uiPriority w:val="0"/>
    <w:qFormat/>
    <w:rPr>
      <w:rFonts w:hint="default" w:ascii="Times New Roman" w:hAnsi="Times New Roman" w:cs="Times New Roman"/>
      <w:color w:val="000000"/>
      <w:sz w:val="16"/>
      <w:szCs w:val="16"/>
      <w:u w:val="none"/>
    </w:rPr>
  </w:style>
  <w:style w:type="character" w:styleId="000018" w:customStyle="true">
    <w:name w:val="文档结构图 字符"/>
    <w:basedOn w:val="000014"/>
    <w:link w:val="000017"/>
    <w:uiPriority w:val="99"/>
    <w:semiHidden/>
    <w:qFormat/>
    <w:rPr>
      <w:rFonts w:ascii="宋体" w:eastAsia="宋体"/>
      <w:sz w:val="18"/>
      <w:szCs w:val="18"/>
    </w:rPr>
  </w:style>
  <w:style w:type="paragraph" w:styleId="00002a">
    <w:name w:val="Body Text First Indent 2"/>
    <w:basedOn w:val="00001d"/>
    <w:next w:val="000001"/>
    <w:uiPriority w:val="99"/>
    <w:unhideWhenUsed/>
    <w:qFormat/>
    <w:pPr>
      <w:ind w:firstLine="420"/>
    </w:pPr>
  </w:style>
  <w:style w:type="character" w:styleId="000031" w:customStyle="true">
    <w:name w:val="表格字体 Char"/>
    <w:basedOn w:val="000014"/>
    <w:link w:val="000030"/>
    <w:uiPriority w:val="0"/>
    <w:qFormat/>
    <w:rPr>
      <w:rFonts w:ascii="Times New Roman" w:hAnsi="Times New Roman" w:eastAsia="宋体" w:cs="Times New Roman"/>
      <w:szCs w:val="24"/>
    </w:rPr>
  </w:style>
  <w:style w:type="paragraph" w:styleId="000030" w:customStyle="true">
    <w:name w:val="表格字体"/>
    <w:basedOn w:val="000001"/>
    <w:next w:val="000016"/>
    <w:link w:val="000031"/>
    <w:uiPriority w:val="0"/>
    <w:qFormat/>
    <w:rPr>
      <w:rFonts w:ascii="Times New Roman" w:hAnsi="Times New Roman" w:eastAsia="宋体" w:cs="Times New Roman"/>
      <w:szCs w:val="24"/>
    </w:rPr>
  </w:style>
  <w:style w:type="paragraph" w:styleId="000034" w:customStyle="true">
    <w:name w:val="正文文字 6"/>
    <w:next w:val="000001"/>
    <w:uiPriority w:val="0"/>
    <w:qFormat/>
    <w:pPr>
      <w:widowControl w:val="false"/>
      <w:ind w:left="240"/>
      <w:jc w:val="both"/>
    </w:pPr>
    <w:rPr>
      <w:rFonts w:ascii="宋体" w:hAnsi="Times New Roman" w:eastAsia="宋体" w:cs="Times New Roman"/>
      <w:b/>
      <w:bCs/>
      <w:kern w:val="2"/>
      <w:sz w:val="32"/>
      <w:szCs w:val="32"/>
      <w:lang w:val="en-US" w:eastAsia="zh-CN" w:bidi="ar-SA"/>
    </w:rPr>
  </w:style>
  <w:style w:type="paragraph" w:styleId="00001f">
    <w:name w:val="Balloon Text"/>
    <w:basedOn w:val="000001"/>
    <w:link w:val="000020"/>
    <w:uiPriority w:val="99"/>
    <w:semiHidden/>
    <w:unhideWhenUsed/>
    <w:qFormat/>
    <w:rPr>
      <w:sz w:val="18"/>
      <w:szCs w:val="18"/>
    </w:rPr>
  </w:style>
  <w:style w:type="paragraph" w:styleId="000025">
    <w:name w:val="toc 1"/>
    <w:basedOn w:val="000001"/>
    <w:next w:val="000001"/>
    <w:uiPriority w:val="39"/>
    <w:qFormat/>
    <w:pPr>
      <w:tabs>
        <w:tab w:val="right" w:leader="dot" w:pos="8302"/>
      </w:tabs>
      <w:spacing w:beforeLines="50" w:afterLines="50" w:line="300" w:lineRule="auto"/>
    </w:pPr>
    <w:rPr>
      <w:rFonts w:ascii="Times New Roman" w:hAnsi="Times New Roman" w:eastAsia="楷体_GB2312" w:cs="Arial"/>
      <w:b/>
      <w:sz w:val="24"/>
    </w:rPr>
  </w:style>
  <w:style w:type="paragraph" w:styleId="000016">
    <w:name w:val="Normal Indent"/>
    <w:basedOn w:val="000001"/>
    <w:uiPriority w:val="99"/>
    <w:semiHidden/>
    <w:unhideWhenUsed/>
    <w:qFormat/>
    <w:pPr>
      <w:ind w:firstLine="420" w:firstLineChars="200"/>
    </w:pPr>
  </w:style>
  <w:style w:type="character" w:styleId="000024" w:customStyle="true">
    <w:name w:val="页眉 字符"/>
    <w:basedOn w:val="000014"/>
    <w:link w:val="000023"/>
    <w:uiPriority w:val="99"/>
    <w:qFormat/>
    <w:rPr>
      <w:sz w:val="18"/>
      <w:szCs w:val="18"/>
    </w:rPr>
  </w:style>
  <w:style w:type="paragraph" w:styleId="000019">
    <w:name w:val="annotation text"/>
    <w:basedOn w:val="000001"/>
    <w:link w:val="00001a"/>
    <w:uiPriority w:val="0"/>
    <w:unhideWhenUsed/>
    <w:qFormat/>
    <w:pPr>
      <w:jc w:val="left"/>
    </w:pPr>
    <w:rPr>
      <w:rFonts w:ascii="Times New Roman" w:hAnsi="Times New Roman" w:eastAsia="宋体" w:cs="Times New Roman"/>
      <w:szCs w:val="24"/>
    </w:rPr>
  </w:style>
  <w:style w:type="character" w:styleId="000009" w:customStyle="true">
    <w:name w:val="标题 4 字符"/>
    <w:basedOn w:val="000014"/>
    <w:link w:val="000008"/>
    <w:uiPriority w:val="0"/>
    <w:qFormat/>
    <w:rPr>
      <w:rFonts w:asciiTheme="majorHAnsi" w:hAnsiTheme="majorHAnsi" w:eastAsiaTheme="majorEastAsia" w:cstheme="majorBidi"/>
      <w:b/>
      <w:bCs/>
      <w:sz w:val="28"/>
      <w:szCs w:val="28"/>
    </w:rPr>
  </w:style>
  <w:style w:type="paragraph" w:styleId="000038" w:customStyle="true">
    <w:name w:val="无间隔1"/>
    <w:uiPriority w:val="1"/>
    <w:qFormat/>
    <w:rPr>
      <w:rFonts w:ascii="Calibri" w:hAnsi="Calibri" w:eastAsia="宋体" w:cs="Times New Roman"/>
      <w:sz w:val="22"/>
      <w:lang w:val="en-US" w:eastAsia="zh-CN" w:bidi="ar-SA"/>
    </w:rPr>
  </w:style>
  <w:style w:type="paragraph" w:styleId="00001d">
    <w:name w:val="Body Text Indent"/>
    <w:basedOn w:val="000001"/>
    <w:uiPriority w:val="99"/>
    <w:unhideWhenUsed/>
    <w:qFormat/>
    <w:pPr>
      <w:spacing w:after="120"/>
      <w:ind w:left="420" w:leftChars="200"/>
    </w:pPr>
  </w:style>
  <w:style w:type="paragraph" w:styleId="000012">
    <w:name w:val="heading 9"/>
    <w:basedOn w:val="000001"/>
    <w:next w:val="000001"/>
    <w:link w:val="000013"/>
    <w:uiPriority w:val="0"/>
    <w:unhideWhenUsed/>
    <w:qFormat/>
    <w:pPr>
      <w:keepNext/>
      <w:keepLines/>
      <w:spacing w:before="240" w:after="64" w:line="320" w:lineRule="auto"/>
      <w:outlineLvl w:val="8"/>
    </w:pPr>
    <w:rPr>
      <w:rFonts w:asciiTheme="majorHAnsi" w:hAnsiTheme="majorHAnsi" w:eastAsiaTheme="majorEastAsia" w:cstheme="majorBidi"/>
      <w:szCs w:val="21"/>
    </w:rPr>
  </w:style>
  <w:style w:type="character" w:styleId="00001a" w:customStyle="true">
    <w:name w:val="批注文字 字符"/>
    <w:basedOn w:val="000014"/>
    <w:link w:val="000019"/>
    <w:uiPriority w:val="0"/>
    <w:qFormat/>
    <w:rPr>
      <w:rFonts w:ascii="Times New Roman" w:hAnsi="Times New Roman" w:eastAsia="宋体" w:cs="Times New Roman"/>
      <w:szCs w:val="24"/>
    </w:rPr>
  </w:style>
  <w:style w:type="paragraph" w:styleId="000021">
    <w:name w:val="footer"/>
    <w:basedOn w:val="000001"/>
    <w:link w:val="000022"/>
    <w:uiPriority w:val="99"/>
    <w:unhideWhenUsed/>
    <w:qFormat/>
    <w:pPr>
      <w:tabs>
        <w:tab w:val="center" w:pos="4153"/>
        <w:tab w:val="right" w:pos="8306"/>
      </w:tabs>
      <w:snapToGrid w:val="false"/>
      <w:jc w:val="left"/>
    </w:pPr>
    <w:rPr>
      <w:sz w:val="18"/>
      <w:szCs w:val="18"/>
    </w:rPr>
  </w:style>
  <w:style w:type="character" w:styleId="000007" w:customStyle="true">
    <w:name w:val="标题 3 字符"/>
    <w:basedOn w:val="000014"/>
    <w:link w:val="000006"/>
    <w:uiPriority w:val="0"/>
    <w:qFormat/>
    <w:rPr>
      <w:b/>
      <w:bCs/>
      <w:sz w:val="32"/>
      <w:szCs w:val="32"/>
    </w:rPr>
  </w:style>
  <w:style w:type="paragraph" w:styleId="000010">
    <w:name w:val="heading 8"/>
    <w:basedOn w:val="000001"/>
    <w:next w:val="000001"/>
    <w:link w:val="000011"/>
    <w:uiPriority w:val="0"/>
    <w:unhideWhenUsed/>
    <w:qFormat/>
    <w:pPr>
      <w:keepNext/>
      <w:keepLines/>
      <w:spacing w:before="240" w:after="64" w:line="320" w:lineRule="auto"/>
      <w:outlineLvl w:val="7"/>
    </w:pPr>
    <w:rPr>
      <w:rFonts w:asciiTheme="majorHAnsi" w:hAnsiTheme="majorHAnsi" w:eastAsiaTheme="majorEastAsia" w:cstheme="majorBidi"/>
      <w:sz w:val="24"/>
      <w:szCs w:val="24"/>
    </w:rPr>
  </w:style>
  <w:style w:type="character" w:styleId="000014" w:default="true">
    <w:name w:val="Default Paragraph Font"/>
    <w:uiPriority w:val="1"/>
    <w:semiHidden/>
    <w:unhideWhenUsed/>
    <w:qFormat/>
  </w:style>
  <w:style w:type="character" w:styleId="000028" w:customStyle="true">
    <w:name w:val="批注主题 字符"/>
    <w:basedOn w:val="00001a"/>
    <w:link w:val="000027"/>
    <w:uiPriority w:val="99"/>
    <w:semiHidden/>
    <w:qFormat/>
    <w:rPr>
      <w:rFonts w:ascii="Times New Roman" w:hAnsi="Times New Roman" w:eastAsia="宋体" w:cs="Times New Roman"/>
      <w:b/>
      <w:bCs/>
      <w:szCs w:val="24"/>
    </w:rPr>
  </w:style>
  <w:style w:type="paragraph" w:styleId="000004">
    <w:name w:val="heading 2"/>
    <w:basedOn w:val="000001"/>
    <w:next w:val="000001"/>
    <w:link w:val="000005"/>
    <w:uiPriority w:val="0"/>
    <w:unhideWhenUsed/>
    <w:qFormat/>
    <w:pPr>
      <w:keepNext/>
      <w:keepLines/>
      <w:spacing w:before="260" w:after="260" w:line="416" w:lineRule="auto"/>
      <w:outlineLvl w:val="1"/>
    </w:pPr>
    <w:rPr>
      <w:rFonts w:asciiTheme="majorHAnsi" w:hAnsiTheme="majorHAnsi" w:eastAsiaTheme="majorEastAsia" w:cstheme="majorBidi"/>
      <w:b/>
      <w:bCs/>
      <w:sz w:val="32"/>
      <w:szCs w:val="32"/>
    </w:rPr>
  </w:style>
  <w:style w:type="character" w:styleId="00000b" w:customStyle="true">
    <w:name w:val="标题 5 字符"/>
    <w:basedOn w:val="000014"/>
    <w:link w:val="00000a"/>
    <w:uiPriority w:val="0"/>
    <w:qFormat/>
    <w:rPr>
      <w:b/>
      <w:bCs/>
      <w:sz w:val="28"/>
      <w:szCs w:val="28"/>
    </w:rPr>
  </w:style>
  <w:style w:type="paragraph" w:styleId="000026">
    <w:name w:val="Normal (Web)"/>
    <w:basedOn w:val="000001"/>
    <w:uiPriority w:val="99"/>
    <w:semiHidden/>
    <w:unhideWhenUsed/>
    <w:qFormat/>
    <w:rPr>
      <w:sz w:val="24"/>
    </w:rPr>
  </w:style>
  <w:style w:type="character" w:styleId="000003" w:customStyle="true">
    <w:name w:val="标题 1 字符"/>
    <w:basedOn w:val="000014"/>
    <w:link w:val="000002"/>
    <w:uiPriority w:val="9"/>
    <w:qFormat/>
    <w:rPr>
      <w:b/>
      <w:bCs/>
      <w:kern w:val="44"/>
      <w:sz w:val="44"/>
      <w:szCs w:val="44"/>
    </w:rPr>
  </w:style>
  <w:style w:type="paragraph" w:styleId="00000a">
    <w:name w:val="heading 5"/>
    <w:basedOn w:val="000001"/>
    <w:next w:val="000001"/>
    <w:link w:val="00000b"/>
    <w:uiPriority w:val="0"/>
    <w:unhideWhenUsed/>
    <w:qFormat/>
    <w:pPr>
      <w:keepNext/>
      <w:keepLines/>
      <w:spacing w:before="280" w:after="290" w:line="377" w:lineRule="auto"/>
      <w:ind w:left="1009" w:hanging="1009"/>
      <w:outlineLvl w:val="4"/>
    </w:pPr>
    <w:rPr>
      <w:b/>
      <w:bCs/>
      <w:sz w:val="28"/>
      <w:szCs w:val="28"/>
    </w:rPr>
  </w:style>
  <w:style w:type="paragraph" w:styleId="000008">
    <w:name w:val="heading 4"/>
    <w:basedOn w:val="000001"/>
    <w:next w:val="000001"/>
    <w:link w:val="000009"/>
    <w:uiPriority w:val="0"/>
    <w:unhideWhenUsed/>
    <w:qFormat/>
    <w:pPr>
      <w:keepNext/>
      <w:keepLines/>
      <w:spacing w:before="280" w:after="290" w:line="377" w:lineRule="auto"/>
      <w:ind w:left="862" w:hanging="862"/>
      <w:outlineLvl w:val="3"/>
    </w:pPr>
    <w:rPr>
      <w:rFonts w:asciiTheme="majorHAnsi" w:hAnsiTheme="majorHAnsi" w:eastAsiaTheme="majorEastAsia" w:cstheme="majorBidi"/>
      <w:b/>
      <w:bCs/>
      <w:sz w:val="28"/>
      <w:szCs w:val="28"/>
    </w:rPr>
  </w:style>
  <w:style w:type="table" w:styleId="000036" w:customStyle="true">
    <w:name w:val="Table Normal"/>
    <w:uiPriority w:val="0"/>
    <w:qFormat/>
    <w:tblPr>
      <w:tblCellMar>
        <w:top w:w="0" w:type="dxa"/>
        <w:left w:w="0" w:type="dxa"/>
        <w:bottom w:w="0" w:type="dxa"/>
        <w:right w:w="0" w:type="dxa"/>
      </w:tblCellMar>
    </w:tblPr>
  </w:style>
  <w:style w:type="table" w:styleId="00002b">
    <w:name w:val="Table Grid"/>
    <w:basedOn w:val="000015"/>
    <w:uiPriority w:val="0"/>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Relationships xmlns="http://schemas.openxmlformats.org/package/2006/relationships"><Relationship Id="rId8" Type="http://schemas.openxmlformats.org/officeDocument/2006/relationships/image" Target="media/image4.png" /><Relationship Id="rId7" Type="http://schemas.openxmlformats.org/officeDocument/2006/relationships/image" Target="media/image3.png" /><Relationship Id="rId1" Type="http://schemas.openxmlformats.org/officeDocument/2006/relationships/settings" Target="settings.xml" /><Relationship Id="rId0" Type="http://schemas.openxmlformats.org/officeDocument/2006/relationships/styles" Target="styles.xml" /><Relationship Id="rId2"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jpg" /><Relationship Id="rId3" Type="http://schemas.openxmlformats.org/officeDocument/2006/relationships/theme" Target="theme/theme1.xml" /><Relationship Id="rId4"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2025-10-28T10:26:18Z</dcterms:created>
  <dcterms:modified xsi:type="dcterms:W3CDTF">2025-10-28T10:26:18Z</dcterms:modified>
</cp:coreProperties>
</file>