
<file path=[Content_Types].xml><?xml version="1.0" encoding="utf-8"?>
<Types xmlns="http://schemas.openxmlformats.org/package/2006/content-types">
  <Default Extension="png" ContentType="image/pn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oter2.xml" ContentType="application/vnd.openxmlformats-officedocument.wordprocessingml.footer+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14="http://schemas.microsoft.com/office/word/2010/wordml"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xmlns:mc="http://schemas.openxmlformats.org/markup-compatibility/2006" mc:Ignorable="w14">
  <w:body>
    <w:p>
      <w:pPr>
        <w:pageBreakBefore/>
        <w:overflowPunct w:val="false"/>
        <w:adjustRightInd w:val="false"/>
        <w:snapToGrid w:val="false"/>
        <w:spacing w:line="560" w:lineRule="atLeast"/>
        <w:textAlignment w:val="bottom"/>
        <w:rPr>
          <w:rFonts w:ascii="仿宋" w:hAnsi="仿宋" w:eastAsia="仿宋" w:cstheme="minorEastAsia"/>
          <w:bCs/>
          <w:snapToGrid w:val="false"/>
          <w:kern w:val="0"/>
          <w:sz w:val="32"/>
          <w:szCs w:val="32"/>
        </w:rPr>
      </w:pPr>
      <w:r>
        <w:rPr>
          <w:rFonts w:hint="eastAsia" w:ascii="仿宋" w:hAnsi="仿宋" w:eastAsia="仿宋" w:cstheme="minorEastAsia"/>
          <w:bCs/>
          <w:snapToGrid w:val="false"/>
          <w:kern w:val="0"/>
          <w:sz w:val="32"/>
          <w:szCs w:val="32"/>
        </w:rPr>
        <w:t>附件</w:t>
      </w:r>
      <w:r>
        <w:rPr>
          <w:rFonts w:ascii="仿宋" w:hAnsi="仿宋" w:eastAsia="仿宋" w:cstheme="minorEastAsia"/>
          <w:bCs/>
          <w:snapToGrid w:val="false"/>
          <w:kern w:val="0"/>
          <w:sz w:val="32"/>
          <w:szCs w:val="32"/>
        </w:rPr>
        <w:t>1</w:t>
      </w:r>
      <w:r>
        <w:rPr>
          <w:rFonts w:hint="eastAsia" w:ascii="仿宋" w:hAnsi="仿宋" w:eastAsia="仿宋" w:cstheme="minorEastAsia"/>
          <w:bCs/>
          <w:snapToGrid w:val="false"/>
          <w:kern w:val="0"/>
          <w:sz w:val="32"/>
          <w:szCs w:val="32"/>
        </w:rPr>
        <w:t>：</w:t>
      </w:r>
    </w:p>
    <w:p>
      <w:pPr>
        <w:overflowPunct w:val="false"/>
        <w:snapToGrid w:val="false"/>
        <w:spacing w:line="316" w:lineRule="auto"/>
        <w:ind w:firstLine="1680"/>
        <w:textAlignment w:val="bottom"/>
        <w:rPr>
          <w:rFonts w:ascii="仿宋" w:hAnsi="仿宋" w:eastAsia="仿宋"/>
        </w:rPr>
      </w:pPr>
      <w:r>
        <w:rPr>
          <w:rFonts w:hint="eastAsia" w:ascii="仿宋" w:hAnsi="仿宋" w:eastAsia="仿宋"/>
          <w:kern w:val="0"/>
          <w:sz w:val="24"/>
        </w:rPr>
        <w:t xml:space="preserve">                           </w:t>
      </w:r>
      <w:r>
        <w:rPr>
          <w:rFonts w:hint="eastAsia" w:ascii="仿宋" w:hAnsi="仿宋" w:eastAsia="仿宋"/>
        </w:rPr>
        <w:t>编号</w:t>
      </w:r>
      <w:r>
        <w:rPr>
          <w:rFonts w:hint="eastAsia" w:ascii="仿宋" w:hAnsi="仿宋" w:eastAsia="仿宋"/>
          <w:lang w:eastAsia="zh-CN"/>
        </w:rPr>
        <w:t>：</w:t>
      </w:r>
      <w:r>
        <w:rPr>
          <w:rFonts w:hint="eastAsia" w:ascii="仿宋" w:hAnsi="仿宋" w:eastAsia="仿宋" w:cs="Times New Roman"/>
          <w:sz w:val="21"/>
          <w:szCs w:val="21"/>
          <w:u w:val="single"/>
          <w:shd w:val="pct10" w:color="auto" w:fill="FFFFFF"/>
          <w:lang w:val="en-US" w:eastAsia="zh-CN"/>
        </w:rPr>
        <w:t>中原银评估字2025第</w:t>
      </w:r>
      <w:r>
        <w:rPr>
          <w:rFonts w:hint="eastAsia" w:ascii="仿宋" w:hAnsi="仿宋" w:eastAsia="仿宋"/>
          <w:sz w:val="28"/>
          <w:szCs w:val="28"/>
          <w:u w:val="single"/>
          <w:shd w:val="pct10" w:color="auto" w:fill="FFFFFF"/>
        </w:rPr>
        <w:t xml:space="preserve">      </w:t>
      </w:r>
      <w:r>
        <w:rPr>
          <w:rFonts w:ascii="Calibri" w:hAnsi="Calibri" w:eastAsia="仿宋" w:cs="Calibri"/>
        </w:rPr>
        <w:t> </w:t>
      </w:r>
    </w:p>
    <w:p>
      <w:pPr>
        <w:rPr>
          <w:rFonts w:ascii="仿宋" w:hAnsi="仿宋" w:eastAsia="仿宋"/>
        </w:rPr>
      </w:pPr>
      <w:r>
        <w:rPr>
          <w:rFonts w:ascii="Calibri" w:hAnsi="Calibri" w:eastAsia="仿宋" w:cs="Calibri"/>
        </w:rPr>
        <w:t> </w:t>
      </w:r>
    </w:p>
    <w:p>
      <w:pPr>
        <w:rPr>
          <w:rFonts w:ascii="仿宋" w:hAnsi="仿宋" w:eastAsia="仿宋"/>
        </w:rPr>
      </w:pPr>
      <w:r>
        <w:rPr>
          <w:rFonts w:ascii="Calibri" w:hAnsi="Calibri" w:eastAsia="仿宋" w:cs="Calibri"/>
        </w:rPr>
        <w:t> </w:t>
      </w:r>
    </w:p>
    <w:p>
      <w:pPr>
        <w:rPr>
          <w:rFonts w:ascii="仿宋" w:hAnsi="仿宋" w:eastAsia="仿宋"/>
        </w:rPr>
      </w:pPr>
      <w:r>
        <w:rPr>
          <w:rFonts w:ascii="Calibri" w:hAnsi="Calibri" w:eastAsia="仿宋" w:cs="Calibri"/>
        </w:rPr>
        <w:t> </w:t>
      </w:r>
    </w:p>
    <w:p>
      <w:pPr>
        <w:rPr>
          <w:rFonts w:ascii="仿宋" w:hAnsi="仿宋" w:eastAsia="仿宋"/>
        </w:rPr>
      </w:pPr>
      <w:r>
        <w:rPr>
          <w:rFonts w:ascii="Calibri" w:hAnsi="Calibri" w:eastAsia="仿宋" w:cs="Calibri"/>
        </w:rPr>
        <w:t> </w:t>
      </w:r>
    </w:p>
    <w:p>
      <w:pPr>
        <w:jc w:val="center"/>
        <w:rPr>
          <w:rFonts w:ascii="仿宋" w:hAnsi="仿宋" w:eastAsia="仿宋" w:cs="宋体"/>
          <w:kern w:val="0"/>
          <w:sz w:val="24"/>
        </w:rPr>
      </w:pPr>
    </w:p>
    <w:p>
      <w:pPr>
        <w:spacing w:line="480" w:lineRule="auto"/>
        <w:jc w:val="center"/>
        <w:rPr>
          <w:rFonts w:ascii="仿宋" w:hAnsi="仿宋" w:eastAsia="仿宋"/>
          <w:b/>
          <w:sz w:val="48"/>
        </w:rPr>
      </w:pPr>
      <w:r>
        <w:rPr>
          <w:rFonts w:hint="eastAsia" w:ascii="仿宋" w:hAnsi="仿宋" w:eastAsia="仿宋"/>
          <w:b/>
          <w:sz w:val="48"/>
        </w:rPr>
        <w:t>中 原 银 行 项 目 评 估 报 告</w:t>
      </w:r>
    </w:p>
    <w:p>
      <w:pPr>
        <w:spacing w:line="480" w:lineRule="auto"/>
        <w:jc w:val="center"/>
        <w:rPr>
          <w:rFonts w:ascii="仿宋" w:hAnsi="仿宋" w:eastAsia="仿宋" w:cs="宋体"/>
          <w:kern w:val="0"/>
          <w:sz w:val="24"/>
        </w:rPr>
      </w:pPr>
      <w:r>
        <w:rPr>
          <w:rFonts w:hint="eastAsia" w:ascii="仿宋" w:hAnsi="仿宋" w:eastAsia="仿宋"/>
          <w:sz w:val="28"/>
          <w:szCs w:val="28"/>
        </w:rPr>
        <w:t>（适用于固定资产贷款）</w:t>
      </w:r>
    </w:p>
    <w:p>
      <w:pPr>
        <w:rPr>
          <w:rFonts w:ascii="仿宋" w:hAnsi="仿宋" w:eastAsia="仿宋"/>
        </w:rPr>
      </w:pPr>
      <w:r>
        <w:rPr>
          <w:rFonts w:ascii="Calibri" w:hAnsi="Calibri" w:eastAsia="仿宋" w:cs="Calibri"/>
        </w:rPr>
        <w:t> </w:t>
      </w:r>
    </w:p>
    <w:p>
      <w:pPr>
        <w:rPr>
          <w:rFonts w:ascii="仿宋" w:hAnsi="仿宋" w:eastAsia="仿宋"/>
        </w:rPr>
      </w:pPr>
      <w:r>
        <w:rPr>
          <w:rFonts w:ascii="Calibri" w:hAnsi="Calibri" w:eastAsia="仿宋" w:cs="Calibri"/>
        </w:rPr>
        <w:t> </w:t>
      </w: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tabs>
          <w:tab w:val="left" w:pos="8200"/>
        </w:tabs>
        <w:ind w:right="326" w:rightChars="0"/>
        <w:rPr>
          <w:rFonts w:hint="eastAsia" w:ascii="仿宋" w:hAnsi="仿宋" w:eastAsia="仿宋"/>
          <w:sz w:val="28"/>
        </w:rPr>
      </w:pPr>
      <w:r>
        <w:rPr>
          <w:rFonts w:hint="eastAsia" w:ascii="仿宋" w:hAnsi="仿宋" w:eastAsia="仿宋"/>
          <w:sz w:val="28"/>
        </w:rPr>
        <w:t>项 目 名 称：河南大成包装材料有限公司源网荷储一体化项目</w:t>
      </w:r>
    </w:p>
    <w:p>
      <w:pPr>
        <w:ind w:right="560"/>
        <w:rPr>
          <w:rFonts w:hint="eastAsia" w:ascii="仿宋" w:hAnsi="仿宋" w:eastAsia="仿宋"/>
          <w:sz w:val="28"/>
        </w:rPr>
      </w:pPr>
      <w:r>
        <w:rPr>
          <w:rFonts w:hint="eastAsia" w:ascii="仿宋" w:hAnsi="仿宋" w:eastAsia="仿宋"/>
          <w:sz w:val="28"/>
        </w:rPr>
        <w:t>借款人名 称：河南中原智慧冷链物流园管理运营有限公司</w:t>
      </w:r>
    </w:p>
    <w:p>
      <w:pPr>
        <w:ind w:right="560"/>
        <w:rPr>
          <w:rFonts w:ascii="仿宋" w:hAnsi="仿宋" w:eastAsia="仿宋"/>
        </w:rPr>
      </w:pPr>
      <w:r>
        <w:rPr>
          <w:rFonts w:hint="eastAsia" w:ascii="仿宋" w:hAnsi="仿宋" w:eastAsia="仿宋"/>
          <w:sz w:val="28"/>
        </w:rPr>
        <w:t>经 办 机 构：</w:t>
      </w:r>
      <w:r>
        <w:rPr>
          <w:rFonts w:hint="eastAsia" w:ascii="仿宋" w:hAnsi="仿宋" w:eastAsia="仿宋"/>
          <w:sz w:val="28"/>
          <w:szCs w:val="28"/>
          <w:u w:val="single"/>
          <w:shd w:val="pct10" w:color="auto" w:fill="FFFFFF"/>
          <w:lang w:val="en-US" w:eastAsia="zh-CN"/>
        </w:rPr>
        <w:t>新乡</w:t>
      </w:r>
      <w:r>
        <w:rPr>
          <w:rFonts w:hint="eastAsia" w:ascii="仿宋" w:hAnsi="仿宋" w:eastAsia="仿宋"/>
          <w:sz w:val="28"/>
          <w:szCs w:val="28"/>
          <w:u w:val="single"/>
          <w:shd w:val="pct10" w:color="auto" w:fill="FFFFFF"/>
          <w:lang w:eastAsia="zh-CN"/>
        </w:rPr>
        <w:t>分行</w:t>
      </w:r>
      <w:r>
        <w:rPr>
          <w:rFonts w:hint="eastAsia" w:ascii="仿宋" w:hAnsi="仿宋" w:eastAsia="仿宋"/>
          <w:sz w:val="28"/>
          <w:szCs w:val="28"/>
          <w:u w:val="single"/>
          <w:shd w:val="pct10" w:color="auto" w:fill="FFFFFF"/>
          <w:lang w:val="en-US" w:eastAsia="zh-CN"/>
        </w:rPr>
        <w:t>获嘉县</w:t>
      </w:r>
      <w:r>
        <w:rPr>
          <w:rFonts w:hint="eastAsia" w:ascii="仿宋" w:hAnsi="仿宋" w:eastAsia="仿宋"/>
          <w:sz w:val="28"/>
          <w:szCs w:val="28"/>
          <w:u w:val="single"/>
          <w:shd w:val="pct10" w:color="auto" w:fill="FFFFFF"/>
          <w:lang w:eastAsia="zh-CN"/>
        </w:rPr>
        <w:t>支行</w:t>
      </w:r>
      <w:r>
        <w:rPr>
          <w:rFonts w:hint="eastAsia" w:ascii="仿宋" w:hAnsi="仿宋" w:eastAsia="仿宋"/>
          <w:sz w:val="28"/>
          <w:szCs w:val="28"/>
          <w:u w:val="single"/>
          <w:shd w:val="pct10" w:color="auto" w:fill="FFFFFF"/>
        </w:rPr>
        <w:t xml:space="preserve">   </w:t>
      </w:r>
      <w:r>
        <w:rPr>
          <w:rFonts w:hint="eastAsia" w:ascii="仿宋" w:hAnsi="仿宋" w:eastAsia="仿宋"/>
          <w:sz w:val="28"/>
          <w:szCs w:val="28"/>
          <w:u w:val="single"/>
          <w:shd w:val="pct10" w:color="auto" w:fill="FFFFFF"/>
          <w:lang w:val="en-US" w:eastAsia="zh-CN"/>
        </w:rPr>
        <w:t xml:space="preserve">                      </w:t>
      </w:r>
      <w:r>
        <w:rPr>
          <w:rFonts w:hint="eastAsia" w:ascii="仿宋" w:hAnsi="仿宋" w:eastAsia="仿宋"/>
          <w:sz w:val="28"/>
          <w:szCs w:val="28"/>
          <w:u w:val="single"/>
          <w:shd w:val="pct10" w:color="auto" w:fill="FFFFFF"/>
        </w:rPr>
        <w:t xml:space="preserve">        </w:t>
      </w:r>
    </w:p>
    <w:p>
      <w:pPr>
        <w:ind w:right="560"/>
        <w:rPr>
          <w:rFonts w:ascii="仿宋" w:hAnsi="仿宋" w:eastAsia="仿宋"/>
        </w:rPr>
      </w:pPr>
      <w:r>
        <w:rPr>
          <w:rFonts w:hint="eastAsia" w:ascii="仿宋" w:hAnsi="仿宋" w:eastAsia="仿宋"/>
          <w:sz w:val="28"/>
        </w:rPr>
        <w:t>审 核 机 构：</w:t>
      </w:r>
      <w:r>
        <w:rPr>
          <w:rFonts w:hint="eastAsia" w:ascii="仿宋" w:hAnsi="仿宋" w:eastAsia="仿宋"/>
          <w:sz w:val="28"/>
          <w:szCs w:val="28"/>
          <w:u w:val="single"/>
          <w:shd w:val="pct10" w:color="auto" w:fill="FFFFFF"/>
        </w:rPr>
        <w:t xml:space="preserve"> </w:t>
      </w:r>
      <w:r>
        <w:rPr>
          <w:rFonts w:hint="eastAsia" w:ascii="仿宋" w:hAnsi="仿宋" w:eastAsia="仿宋"/>
          <w:color w:val="FF0000"/>
          <w:sz w:val="28"/>
          <w:szCs w:val="28"/>
          <w:u w:val="single"/>
          <w:shd w:val="pct10" w:color="auto" w:fill="FFFFFF"/>
          <w:lang w:eastAsia="zh-CN"/>
        </w:rPr>
        <w:t>总行授信管理部</w:t>
      </w:r>
      <w:r>
        <w:rPr>
          <w:rFonts w:hint="eastAsia" w:ascii="仿宋" w:hAnsi="仿宋" w:eastAsia="仿宋"/>
          <w:sz w:val="28"/>
          <w:szCs w:val="28"/>
          <w:u w:val="single"/>
          <w:shd w:val="pct10" w:color="auto" w:fill="FFFFFF"/>
          <w:lang w:val="en-US" w:eastAsia="zh-CN"/>
        </w:rPr>
        <w:t xml:space="preserve">               </w:t>
      </w:r>
      <w:r>
        <w:rPr>
          <w:rFonts w:hint="eastAsia" w:ascii="仿宋" w:hAnsi="仿宋" w:eastAsia="仿宋"/>
          <w:sz w:val="28"/>
          <w:szCs w:val="28"/>
          <w:u w:val="single"/>
          <w:shd w:val="pct10" w:color="auto" w:fill="FFFFFF"/>
        </w:rPr>
        <w:t xml:space="preserve">            </w:t>
      </w:r>
      <w:r>
        <w:rPr>
          <w:rFonts w:ascii="Calibri" w:hAnsi="Calibri" w:eastAsia="仿宋" w:cs="Calibri"/>
        </w:rPr>
        <w:t> </w:t>
      </w:r>
    </w:p>
    <w:p>
      <w:pPr>
        <w:ind w:right="560"/>
        <w:rPr>
          <w:rFonts w:ascii="仿宋" w:hAnsi="仿宋" w:eastAsia="仿宋"/>
        </w:rPr>
      </w:pPr>
      <w:r>
        <w:rPr>
          <w:rFonts w:hint="eastAsia" w:ascii="仿宋" w:hAnsi="仿宋" w:eastAsia="仿宋"/>
          <w:sz w:val="28"/>
        </w:rPr>
        <w:t>生 效 日 期：</w:t>
      </w:r>
      <w:r>
        <w:rPr>
          <w:rFonts w:hint="eastAsia" w:ascii="仿宋" w:hAnsi="仿宋" w:eastAsia="仿宋"/>
          <w:sz w:val="28"/>
          <w:szCs w:val="28"/>
          <w:u w:val="single"/>
          <w:shd w:val="pct10" w:color="auto" w:fill="FFFFFF"/>
          <w:lang w:val="en-US" w:eastAsia="zh-CN"/>
        </w:rPr>
        <w:t>2025.6.</w:t>
      </w:r>
      <w:r>
        <w:rPr>
          <w:rFonts w:hint="eastAsia" w:ascii="仿宋" w:hAnsi="仿宋" w:eastAsia="仿宋"/>
          <w:sz w:val="28"/>
          <w:szCs w:val="28"/>
          <w:u w:val="single"/>
          <w:shd w:val="pct10" w:color="auto" w:fill="FFFFFF"/>
          <w:lang w:val="en-US" w:eastAsia="zh-CN"/>
        </w:rPr>
        <w:t>10</w:t>
      </w:r>
      <w:r>
        <w:rPr>
          <w:rFonts w:hint="eastAsia" w:ascii="仿宋" w:hAnsi="仿宋" w:eastAsia="仿宋"/>
          <w:sz w:val="28"/>
          <w:szCs w:val="28"/>
          <w:u w:val="single"/>
          <w:shd w:val="pct10" w:color="auto" w:fill="FFFFFF"/>
        </w:rPr>
        <w:t xml:space="preserve">     </w:t>
      </w:r>
      <w:r>
        <w:rPr>
          <w:rFonts w:ascii="Calibri" w:hAnsi="Calibri" w:eastAsia="仿宋" w:cs="Calibri"/>
        </w:rPr>
        <w:t> </w:t>
      </w:r>
    </w:p>
    <w:p>
      <w:pPr>
        <w:ind w:right="560" w:firstLine="1680" w:firstLineChars="800"/>
        <w:rPr>
          <w:rFonts w:ascii="仿宋" w:hAnsi="仿宋" w:eastAsia="仿宋"/>
        </w:rPr>
      </w:pPr>
    </w:p>
    <w:p>
      <w:pPr>
        <w:tabs>
          <w:tab w:val="left" w:pos="1260"/>
        </w:tabs>
        <w:spacing w:line="480" w:lineRule="auto"/>
        <w:ind w:right="-17" w:firstLine="1680" w:firstLineChars="800"/>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snapToGrid w:val="false"/>
        <w:jc w:val="center"/>
        <w:rPr>
          <w:rFonts w:ascii="仿宋" w:hAnsi="仿宋" w:eastAsia="仿宋" w:cstheme="majorEastAsia"/>
          <w:b/>
          <w:sz w:val="36"/>
          <w:szCs w:val="36"/>
        </w:rPr>
      </w:pPr>
    </w:p>
    <w:p>
      <w:pPr>
        <w:snapToGrid w:val="false"/>
        <w:jc w:val="center"/>
        <w:rPr>
          <w:rFonts w:ascii="仿宋" w:hAnsi="仿宋" w:eastAsia="仿宋" w:cstheme="majorEastAsia"/>
          <w:b/>
          <w:sz w:val="36"/>
          <w:szCs w:val="36"/>
        </w:rPr>
      </w:pPr>
    </w:p>
    <w:p>
      <w:pPr>
        <w:snapToGrid w:val="false"/>
        <w:jc w:val="center"/>
        <w:rPr>
          <w:rFonts w:ascii="仿宋" w:hAnsi="仿宋" w:eastAsia="仿宋" w:cstheme="majorEastAsia"/>
          <w:b/>
          <w:sz w:val="36"/>
          <w:szCs w:val="36"/>
        </w:rPr>
      </w:pPr>
    </w:p>
    <w:p>
      <w:pPr>
        <w:rPr/>
        <w:sectPr>
          <w:pgSz w:w="11906" w:h="16838"/>
          <w:pgMar w:top="1440" w:right="1800" w:bottom="1440" w:left="1800" w:header="851" w:footer="992" w:gutter="0"/>
          <w:cols w:space="425" w:num="1"/>
          <w:docGrid w:type="lines" w:linePitch="312" w:charSpace="0"/>
        </w:sectPr>
      </w:pPr>
    </w:p>
    <w:p>
      <w:pPr>
        <w:snapToGrid w:val="false"/>
        <w:jc w:val="center"/>
        <w:rPr>
          <w:rFonts w:ascii="仿宋" w:hAnsi="仿宋" w:eastAsia="仿宋" w:cstheme="majorEastAsia"/>
          <w:b/>
          <w:sz w:val="36"/>
          <w:szCs w:val="36"/>
        </w:rPr>
      </w:pPr>
      <w:r>
        <w:rPr>
          <w:rFonts w:hint="eastAsia" w:ascii="仿宋" w:hAnsi="仿宋" w:eastAsia="仿宋" w:cstheme="majorEastAsia"/>
          <w:b/>
          <w:sz w:val="36"/>
          <w:szCs w:val="36"/>
        </w:rPr>
        <w:t>目</w:t>
      </w:r>
      <w:r>
        <w:rPr>
          <w:rFonts w:ascii="Calibri" w:hAnsi="Calibri" w:eastAsia="仿宋" w:cs="Calibri"/>
          <w:b/>
          <w:sz w:val="36"/>
          <w:szCs w:val="36"/>
        </w:rPr>
        <w:t>  </w:t>
      </w:r>
      <w:r>
        <w:rPr>
          <w:rFonts w:hint="eastAsia" w:ascii="仿宋" w:hAnsi="仿宋" w:eastAsia="仿宋" w:cstheme="majorEastAsia"/>
          <w:b/>
          <w:sz w:val="36"/>
          <w:szCs w:val="36"/>
        </w:rPr>
        <w:t>录</w:t>
      </w:r>
    </w:p>
    <w:p>
      <w:pPr>
        <w:rPr>
          <w:rFonts w:ascii="仿宋" w:hAnsi="仿宋" w:eastAsia="仿宋" w:cs="宋体"/>
          <w:kern w:val="0"/>
          <w:sz w:val="24"/>
        </w:rPr>
      </w:pPr>
      <w:r>
        <w:rPr>
          <w:rFonts w:ascii="Calibri" w:hAnsi="Calibri" w:eastAsia="仿宋" w:cs="Calibri"/>
        </w:rPr>
        <w:t> </w:t>
      </w:r>
    </w:p>
    <w:p>
      <w:pPr>
        <w:ind w:firstLine="602" w:firstLineChars="200"/>
        <w:rPr>
          <w:rFonts w:ascii="仿宋" w:hAnsi="仿宋" w:eastAsia="仿宋"/>
          <w:b/>
          <w:bCs/>
          <w:sz w:val="30"/>
          <w:szCs w:val="30"/>
        </w:rPr>
      </w:pPr>
      <w:r>
        <w:rPr>
          <w:rFonts w:hint="eastAsia" w:ascii="仿宋" w:hAnsi="仿宋" w:eastAsia="仿宋"/>
          <w:b/>
          <w:bCs/>
          <w:sz w:val="30"/>
          <w:szCs w:val="30"/>
        </w:rPr>
        <w:t>第一章 总评价</w:t>
      </w:r>
    </w:p>
    <w:p>
      <w:pPr>
        <w:ind w:firstLine="602" w:firstLineChars="200"/>
        <w:rPr>
          <w:rFonts w:ascii="仿宋" w:hAnsi="仿宋" w:eastAsia="仿宋"/>
          <w:b/>
          <w:bCs/>
          <w:sz w:val="30"/>
          <w:szCs w:val="30"/>
        </w:rPr>
      </w:pPr>
      <w:r>
        <w:rPr>
          <w:rFonts w:hint="eastAsia" w:ascii="仿宋" w:hAnsi="仿宋" w:eastAsia="仿宋"/>
          <w:b/>
          <w:bCs/>
          <w:sz w:val="30"/>
          <w:szCs w:val="30"/>
        </w:rPr>
        <w:t>第二章 项目参与人评价</w:t>
      </w:r>
    </w:p>
    <w:p>
      <w:pPr>
        <w:ind w:firstLine="602" w:firstLineChars="200"/>
        <w:rPr>
          <w:rFonts w:ascii="仿宋" w:hAnsi="仿宋" w:eastAsia="仿宋"/>
          <w:b/>
          <w:bCs/>
          <w:sz w:val="30"/>
          <w:szCs w:val="30"/>
        </w:rPr>
      </w:pPr>
      <w:r>
        <w:rPr>
          <w:rFonts w:hint="eastAsia" w:ascii="仿宋" w:hAnsi="仿宋" w:eastAsia="仿宋"/>
          <w:b/>
          <w:bCs/>
          <w:sz w:val="30"/>
          <w:szCs w:val="30"/>
        </w:rPr>
        <w:t>第三章 项目概况与回报模式评估</w:t>
        <w:tab/>
      </w:r>
    </w:p>
    <w:p>
      <w:pPr>
        <w:ind w:firstLine="602" w:firstLineChars="200"/>
        <w:rPr>
          <w:rFonts w:ascii="仿宋" w:hAnsi="仿宋" w:eastAsia="仿宋"/>
          <w:b/>
          <w:bCs/>
          <w:sz w:val="30"/>
          <w:szCs w:val="30"/>
        </w:rPr>
      </w:pPr>
      <w:r>
        <w:rPr>
          <w:rFonts w:hint="eastAsia" w:ascii="仿宋" w:hAnsi="仿宋" w:eastAsia="仿宋"/>
          <w:b/>
          <w:bCs/>
          <w:sz w:val="30"/>
          <w:szCs w:val="30"/>
        </w:rPr>
        <w:t>第四章 项目市场评估</w:t>
      </w:r>
    </w:p>
    <w:p>
      <w:pPr>
        <w:ind w:firstLine="602" w:firstLineChars="200"/>
        <w:rPr>
          <w:rFonts w:ascii="仿宋" w:hAnsi="仿宋" w:eastAsia="仿宋"/>
          <w:b/>
          <w:bCs/>
          <w:sz w:val="30"/>
          <w:szCs w:val="30"/>
        </w:rPr>
      </w:pPr>
      <w:r>
        <w:rPr>
          <w:rFonts w:hint="eastAsia" w:ascii="仿宋" w:hAnsi="仿宋" w:eastAsia="仿宋"/>
          <w:b/>
          <w:bCs/>
          <w:sz w:val="30"/>
          <w:szCs w:val="30"/>
        </w:rPr>
        <w:t>第五章 投资估算与筹资方案评估</w:t>
      </w:r>
    </w:p>
    <w:p>
      <w:pPr>
        <w:ind w:firstLine="602" w:firstLineChars="200"/>
        <w:rPr>
          <w:rFonts w:ascii="仿宋" w:hAnsi="仿宋" w:eastAsia="仿宋"/>
          <w:b/>
          <w:bCs/>
          <w:sz w:val="30"/>
          <w:szCs w:val="30"/>
        </w:rPr>
      </w:pPr>
      <w:r>
        <w:rPr>
          <w:rFonts w:hint="eastAsia" w:ascii="仿宋" w:hAnsi="仿宋" w:eastAsia="仿宋"/>
          <w:b/>
          <w:bCs/>
          <w:sz w:val="30"/>
          <w:szCs w:val="30"/>
        </w:rPr>
        <w:t>第六章 财务效益与偿债能力评估</w:t>
      </w:r>
    </w:p>
    <w:p>
      <w:pPr>
        <w:ind w:firstLine="602" w:firstLineChars="200"/>
        <w:rPr>
          <w:rFonts w:ascii="仿宋" w:hAnsi="仿宋" w:eastAsia="仿宋"/>
          <w:b/>
          <w:bCs/>
          <w:sz w:val="30"/>
          <w:szCs w:val="30"/>
        </w:rPr>
      </w:pPr>
      <w:r>
        <w:rPr>
          <w:rFonts w:hint="eastAsia" w:ascii="仿宋" w:hAnsi="仿宋" w:eastAsia="仿宋"/>
          <w:b/>
          <w:bCs/>
          <w:sz w:val="30"/>
          <w:szCs w:val="30"/>
        </w:rPr>
        <w:t>第七章 不确定性分析与风险评估</w:t>
      </w: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rPr/>
        <w:sectPr>
          <w:footerReference r:id="rId5" w:type="default"/>
          <w:pgSz w:w="11906" w:h="16838"/>
          <w:pgMar w:top="1440" w:right="1800" w:bottom="1440" w:left="1800" w:header="851" w:footer="992" w:gutter="0"/>
          <w:pgNumType w:start="1"/>
          <w:cols w:space="425" w:num="1"/>
          <w:docGrid w:type="lines" w:linePitch="312" w:charSpace="0"/>
        </w:sectPr>
      </w:pPr>
    </w:p>
    <w:p>
      <w:pPr>
        <w:pStyle w:val="00003b"/>
        <w:numPr>
          <w:ilvl w:val="255"/>
          <w:numId w:val="0"/>
        </w:numPr>
        <w:overflowPunct w:val="false"/>
        <w:snapToGrid w:val="false"/>
        <w:spacing w:line="360" w:lineRule="auto"/>
        <w:jc w:val="center"/>
        <w:textAlignment w:val="bottom"/>
        <w:rPr>
          <w:rFonts w:ascii="仿宋" w:hAnsi="仿宋" w:eastAsia="仿宋" w:cstheme="majorEastAsia"/>
          <w:b/>
          <w:kern w:val="0"/>
          <w:sz w:val="36"/>
          <w:szCs w:val="36"/>
        </w:rPr>
      </w:pPr>
    </w:p>
    <w:p>
      <w:pPr>
        <w:pStyle w:val="000004"/>
        <w:spacing w:before="0" w:after="0" w:line="360" w:lineRule="auto"/>
        <w:jc w:val="cente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第一章 总评价</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一、项目评估结论主要指标</w:t>
      </w:r>
    </w:p>
    <w:tbl>
      <w:tblPr>
        <w:tblStyle w:val="00000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9"/>
        <w:gridCol w:w="1780"/>
        <w:gridCol w:w="1656"/>
        <w:gridCol w:w="1379"/>
        <w:gridCol w:w="3408"/>
      </w:tblGrid>
      <w:tr>
        <w:trPr>
          <w:trHeight w:val="300"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项目名称</w:t>
            </w:r>
          </w:p>
        </w:tc>
        <w:tc>
          <w:tcPr>
            <w:tcW w:w="8223" w:type="dxa"/>
            <w:gridSpan w:val="4"/>
            <w:tcBorders>
              <w:tl2br w:val="nil"/>
              <w:tr2bl w:val="nil"/>
            </w:tcBorders>
            <w:noWrap w:val="false"/>
            <w:tcMar>
              <w:top w:w="15" w:type="dxa"/>
              <w:left w:w="15" w:type="dxa"/>
              <w:right w:w="15" w:type="dxa"/>
            </w:tcMar>
            <w:vAlign w:val="center"/>
          </w:tcPr>
          <w:p>
            <w:pPr>
              <w:widowControl/>
              <w:jc w:val="left"/>
              <w:textAlignment w:val="cente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河南大成包装材料有限公司源网荷储一体化项目</w:t>
            </w:r>
          </w:p>
        </w:tc>
      </w:tr>
      <w:tr>
        <w:trPr>
          <w:trHeight w:val="300"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借款人名称</w:t>
            </w:r>
          </w:p>
        </w:tc>
        <w:tc>
          <w:tcPr>
            <w:tcW w:w="8223" w:type="dxa"/>
            <w:gridSpan w:val="4"/>
            <w:tcBorders>
              <w:tl2br w:val="nil"/>
              <w:tr2bl w:val="nil"/>
            </w:tcBorders>
            <w:noWrap w:val="false"/>
            <w:tcMar>
              <w:top w:w="15" w:type="dxa"/>
              <w:left w:w="15" w:type="dxa"/>
              <w:right w:w="15" w:type="dxa"/>
            </w:tcMar>
            <w:vAlign w:val="center"/>
          </w:tcPr>
          <w:p>
            <w:pP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河南中原智慧冷链物流园管理运营有限公司</w:t>
            </w:r>
          </w:p>
        </w:tc>
      </w:tr>
      <w:tr>
        <w:trPr>
          <w:trHeight w:val="178"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项目所属行业</w:t>
            </w:r>
          </w:p>
        </w:tc>
        <w:tc>
          <w:tcPr>
            <w:tcW w:w="8223" w:type="dxa"/>
            <w:gridSpan w:val="4"/>
            <w:tcBorders>
              <w:tl2br w:val="nil"/>
              <w:tr2bl w:val="nil"/>
            </w:tcBorders>
            <w:noWrap w:val="false"/>
            <w:tcMar>
              <w:top w:w="15" w:type="dxa"/>
              <w:left w:w="15" w:type="dxa"/>
              <w:right w:w="15" w:type="dxa"/>
            </w:tcMar>
            <w:vAlign w:val="center"/>
          </w:tcPr>
          <w:p>
            <w:pPr>
              <w:rPr>
                <w:rFonts w:hint="eastAsia" w:ascii="仿宋" w:hAnsi="仿宋" w:eastAsia="仿宋" w:cs="宋体"/>
                <w:color w:val="FF0000"/>
                <w:szCs w:val="21"/>
                <w:lang w:val="en-US" w:eastAsia="zh-CN"/>
              </w:rPr>
            </w:pPr>
          </w:p>
        </w:tc>
      </w:tr>
      <w:tr>
        <w:trPr>
          <w:trHeight w:val="95"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建设期+运营期</w:t>
            </w:r>
          </w:p>
        </w:tc>
        <w:tc>
          <w:tcPr>
            <w:tcW w:w="8223" w:type="dxa"/>
            <w:gridSpan w:val="4"/>
            <w:tcBorders>
              <w:tl2br w:val="nil"/>
              <w:tr2bl w:val="nil"/>
            </w:tcBorders>
            <w:noWrap w:val="false"/>
            <w:tcMar>
              <w:top w:w="15" w:type="dxa"/>
              <w:left w:w="15" w:type="dxa"/>
              <w:right w:w="15" w:type="dxa"/>
            </w:tcMar>
            <w:vAlign w:val="center"/>
          </w:tcPr>
          <w:p>
            <w:pP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0.5年+11.5年</w:t>
            </w:r>
          </w:p>
        </w:tc>
      </w:tr>
      <w:tr>
        <w:trPr>
          <w:trHeight w:val="279"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项目内容</w:t>
            </w:r>
          </w:p>
        </w:tc>
        <w:tc>
          <w:tcPr>
            <w:tcW w:w="8223" w:type="dxa"/>
            <w:gridSpan w:val="4"/>
            <w:tcBorders>
              <w:tl2br w:val="nil"/>
              <w:tr2bl w:val="nil"/>
            </w:tcBorders>
            <w:noWrap w:val="false"/>
            <w:tcMar>
              <w:top w:w="15" w:type="dxa"/>
              <w:left w:w="15" w:type="dxa"/>
              <w:right w:w="15" w:type="dxa"/>
            </w:tcMar>
            <w:vAlign w:val="center"/>
          </w:tcPr>
          <w:p>
            <w:pPr>
              <w:rPr>
                <w:rFonts w:hint="default" w:ascii="仿宋" w:hAnsi="仿宋" w:eastAsia="仿宋" w:cs="宋体"/>
                <w:color w:val="000000"/>
                <w:szCs w:val="21"/>
                <w:highlight w:val="yellow"/>
                <w:lang w:val="en-US" w:eastAsia="zh-CN"/>
              </w:rPr>
            </w:pPr>
            <w:r>
              <w:rPr>
                <w:rFonts w:hint="eastAsia" w:ascii="仿宋" w:hAnsi="仿宋" w:eastAsia="仿宋" w:cs="宋体"/>
                <w:color w:val="000000"/>
                <w:kern w:val="0"/>
                <w:szCs w:val="21"/>
                <w:lang w:val="en-US" w:eastAsia="zh-CN" w:bidi="ar"/>
              </w:rPr>
              <w:t>本项目在获嘉县产业集聚区创业孵化园区内工业厂房屋顶部署5956KW的分布式光伏发电系统，并配套安装用户侧储能设施，总规模达到20MW/40MWh。此外，项目规划安装5个光伏充电桩，并同步实施园区其他相关配套工程。通过源网荷储一体化方案，项目所产出的新能源电力将直供给大成包装使用。</w:t>
            </w:r>
          </w:p>
        </w:tc>
      </w:tr>
      <w:tr>
        <w:trPr>
          <w:trHeight w:val="441"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项目主要产品与生产能力(产品名称、计量单位)</w:t>
            </w:r>
          </w:p>
        </w:tc>
        <w:tc>
          <w:tcPr>
            <w:tcW w:w="8223" w:type="dxa"/>
            <w:gridSpan w:val="4"/>
            <w:tcBorders>
              <w:tl2br w:val="nil"/>
              <w:tr2bl w:val="nil"/>
            </w:tcBorders>
            <w:noWrap w:val="false"/>
            <w:tcMar>
              <w:top w:w="15" w:type="dxa"/>
              <w:left w:w="15" w:type="dxa"/>
              <w:right w:w="15" w:type="dxa"/>
            </w:tcMar>
            <w:vAlign w:val="center"/>
          </w:tcPr>
          <w:p>
            <w:pPr>
              <w:rPr>
                <w:rFonts w:hint="default" w:ascii="仿宋" w:hAnsi="仿宋" w:eastAsia="仿宋" w:cs="宋体"/>
                <w:color w:val="000000"/>
                <w:szCs w:val="21"/>
                <w:highlight w:val="yellow"/>
                <w:lang w:val="en-US" w:eastAsia="zh-CN"/>
              </w:rPr>
            </w:pPr>
            <w:r>
              <w:rPr>
                <w:rFonts w:hint="eastAsia" w:ascii="仿宋" w:hAnsi="仿宋" w:eastAsia="仿宋" w:cs="宋体"/>
                <w:color w:val="000000"/>
                <w:szCs w:val="21"/>
                <w:lang w:eastAsia="zh-CN"/>
              </w:rPr>
              <w:t>本项目</w:t>
            </w:r>
            <w:r>
              <w:rPr>
                <w:rFonts w:hint="eastAsia" w:ascii="仿宋" w:hAnsi="仿宋" w:eastAsia="仿宋" w:cs="宋体"/>
                <w:color w:val="000000"/>
                <w:szCs w:val="21"/>
                <w:lang w:val="en-US" w:eastAsia="zh-CN"/>
              </w:rPr>
              <w:t>在获嘉县产业集聚区创业孵化园区内工业厂房屋顶</w:t>
            </w:r>
            <w:r>
              <w:rPr>
                <w:rFonts w:hint="eastAsia" w:ascii="仿宋" w:hAnsi="仿宋" w:eastAsia="仿宋" w:cs="宋体"/>
                <w:color w:val="000000"/>
                <w:kern w:val="0"/>
                <w:szCs w:val="21"/>
                <w:lang w:val="en-US" w:eastAsia="zh-CN" w:bidi="ar"/>
              </w:rPr>
              <w:t>及周边可使用空地上安装分布式光伏发电装置，</w:t>
            </w:r>
            <w:r>
              <w:rPr>
                <w:rFonts w:hint="eastAsia" w:ascii="仿宋" w:hAnsi="仿宋" w:eastAsia="仿宋" w:cs="宋体"/>
                <w:color w:val="000000"/>
                <w:szCs w:val="21"/>
                <w:lang w:val="en-US" w:eastAsia="zh-CN"/>
              </w:rPr>
              <w:t>装机容量为</w:t>
            </w:r>
            <w:r>
              <w:rPr>
                <w:rFonts w:hint="eastAsia" w:ascii="仿宋" w:hAnsi="仿宋" w:eastAsia="仿宋" w:cs="宋体"/>
                <w:color w:val="000000"/>
                <w:szCs w:val="21"/>
              </w:rPr>
              <w:t>5</w:t>
            </w:r>
            <w:r>
              <w:rPr>
                <w:rFonts w:hint="eastAsia" w:ascii="仿宋" w:hAnsi="仿宋" w:eastAsia="仿宋" w:cs="宋体"/>
                <w:color w:val="000000"/>
                <w:szCs w:val="21"/>
                <w:lang w:val="en-US" w:eastAsia="zh-CN"/>
              </w:rPr>
              <w:t>956</w:t>
            </w:r>
            <w:r>
              <w:rPr>
                <w:rFonts w:hint="eastAsia" w:ascii="仿宋" w:hAnsi="仿宋" w:eastAsia="仿宋" w:cs="宋体"/>
                <w:color w:val="000000"/>
                <w:szCs w:val="21"/>
              </w:rPr>
              <w:t>KW</w:t>
            </w:r>
            <w:r>
              <w:rPr>
                <w:rFonts w:hint="eastAsia" w:ascii="仿宋" w:hAnsi="仿宋" w:eastAsia="仿宋" w:cs="宋体"/>
                <w:color w:val="000000"/>
                <w:szCs w:val="21"/>
                <w:lang w:val="en-US" w:eastAsia="zh-CN"/>
              </w:rPr>
              <w:t>并建设用户侧储能电站20</w:t>
            </w:r>
            <w:r>
              <w:rPr>
                <w:rFonts w:hint="eastAsia" w:ascii="仿宋" w:hAnsi="仿宋" w:eastAsia="仿宋" w:cs="宋体"/>
                <w:color w:val="000000"/>
                <w:szCs w:val="21"/>
              </w:rPr>
              <w:t>MW/</w:t>
            </w:r>
            <w:r>
              <w:rPr>
                <w:rFonts w:hint="eastAsia" w:ascii="仿宋" w:hAnsi="仿宋" w:eastAsia="仿宋" w:cs="宋体"/>
                <w:color w:val="000000"/>
                <w:szCs w:val="21"/>
                <w:lang w:val="en-US" w:eastAsia="zh-CN"/>
              </w:rPr>
              <w:t>40</w:t>
            </w:r>
            <w:r>
              <w:rPr>
                <w:rFonts w:hint="eastAsia" w:ascii="仿宋" w:hAnsi="仿宋" w:eastAsia="仿宋" w:cs="宋体"/>
                <w:color w:val="000000"/>
                <w:szCs w:val="21"/>
              </w:rPr>
              <w:t>MWh</w:t>
            </w:r>
            <w:r>
              <w:rPr>
                <w:rFonts w:hint="eastAsia" w:ascii="仿宋" w:hAnsi="仿宋" w:eastAsia="仿宋" w:cs="宋体"/>
                <w:color w:val="000000"/>
                <w:szCs w:val="21"/>
                <w:lang w:eastAsia="zh-CN"/>
              </w:rPr>
              <w:t>。</w:t>
            </w:r>
            <w:r>
              <w:rPr>
                <w:rFonts w:hint="eastAsia" w:ascii="仿宋" w:hAnsi="仿宋" w:eastAsia="仿宋" w:cs="宋体"/>
                <w:color w:val="000000"/>
                <w:szCs w:val="21"/>
                <w:lang w:val="en-US" w:eastAsia="zh-CN"/>
              </w:rPr>
              <w:t>光伏年产电量约为718.07万千瓦时，运营期内光伏发电售价0.57元/千瓦时；储能电站年储存电量约为1324.80万千瓦时，运营期内储能进行峰谷套利，峰谷价差为0.61元/千万时。</w:t>
            </w:r>
          </w:p>
        </w:tc>
      </w:tr>
      <w:tr>
        <w:trPr>
          <w:trHeight w:val="274" w:hRule="atLeast"/>
          <w:jc w:val="center"/>
        </w:trPr>
        <w:tc>
          <w:tcPr>
            <w:tcW w:w="1519"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szCs w:val="21"/>
              </w:rPr>
            </w:pPr>
            <w:r>
              <w:rPr>
                <w:rFonts w:hint="eastAsia" w:ascii="仿宋" w:hAnsi="仿宋" w:eastAsia="仿宋" w:cs="宋体"/>
                <w:color w:val="000000"/>
                <w:kern w:val="0"/>
                <w:szCs w:val="21"/>
                <w:lang w:bidi="ar"/>
              </w:rPr>
              <w:t>项目行政批复</w:t>
            </w:r>
            <w:r>
              <w:rPr>
                <w:rFonts w:hint="eastAsia" w:ascii="仿宋" w:hAnsi="仿宋" w:eastAsia="仿宋" w:cs="宋体"/>
                <w:szCs w:val="21"/>
              </w:rPr>
              <w:t>手续完成度</w:t>
            </w:r>
          </w:p>
        </w:tc>
        <w:tc>
          <w:tcPr>
            <w:tcW w:w="8223" w:type="dxa"/>
            <w:gridSpan w:val="4"/>
            <w:tcBorders>
              <w:tl2br w:val="nil"/>
              <w:tr2bl w:val="nil"/>
            </w:tcBorders>
            <w:noWrap w:val="false"/>
            <w:tcMar>
              <w:top w:w="15" w:type="dxa"/>
              <w:left w:w="15" w:type="dxa"/>
              <w:right w:w="15" w:type="dxa"/>
            </w:tcMar>
            <w:vAlign w:val="center"/>
          </w:tcPr>
          <w:p>
            <w:pPr>
              <w:rPr>
                <w:rFonts w:hint="eastAsia" w:ascii="仿宋" w:hAnsi="仿宋" w:eastAsia="仿宋" w:cs="宋体"/>
                <w:color w:val="000000"/>
                <w:szCs w:val="21"/>
              </w:rPr>
            </w:pPr>
            <w:r>
              <w:rPr>
                <w:rFonts w:hint="eastAsia" w:ascii="仿宋" w:hAnsi="仿宋" w:eastAsia="仿宋" w:cs="宋体"/>
                <w:color w:val="000000"/>
                <w:szCs w:val="21"/>
                <w:highlight w:val="none"/>
              </w:rPr>
              <w:t>完备，清单见评估报告第三章</w:t>
            </w:r>
          </w:p>
        </w:tc>
      </w:tr>
      <w:tr>
        <w:trPr>
          <w:trHeight w:val="188" w:hRule="atLeast"/>
          <w:jc w:val="center"/>
        </w:trPr>
        <w:tc>
          <w:tcPr>
            <w:tcW w:w="1519" w:type="dxa"/>
            <w:vMerge w:val="restart"/>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投资估算与筹资方案</w:t>
            </w:r>
          </w:p>
        </w:tc>
        <w:tc>
          <w:tcPr>
            <w:tcW w:w="1780" w:type="dxa"/>
            <w:tcBorders>
              <w:tl2br w:val="nil"/>
              <w:tr2bl w:val="nil"/>
            </w:tcBorders>
            <w:noWrap w:val="false"/>
            <w:tcMar>
              <w:top w:w="15" w:type="dxa"/>
              <w:left w:w="15" w:type="dxa"/>
              <w:right w:w="15" w:type="dxa"/>
            </w:tcMar>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项目评估指标</w:t>
            </w:r>
          </w:p>
        </w:tc>
        <w:tc>
          <w:tcPr>
            <w:tcW w:w="1656" w:type="dxa"/>
            <w:tcBorders>
              <w:tl2br w:val="nil"/>
              <w:tr2bl w:val="nil"/>
            </w:tcBorders>
            <w:noWrap w:val="false"/>
            <w:tcMar>
              <w:top w:w="15" w:type="dxa"/>
              <w:left w:w="15" w:type="dxa"/>
              <w:right w:w="15" w:type="dxa"/>
            </w:tcMar>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评估测算</w:t>
            </w:r>
          </w:p>
        </w:tc>
        <w:tc>
          <w:tcPr>
            <w:tcW w:w="1379" w:type="dxa"/>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可行性研究报告</w:t>
            </w:r>
          </w:p>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或初步设计（如有）</w:t>
            </w:r>
          </w:p>
        </w:tc>
        <w:tc>
          <w:tcPr>
            <w:tcW w:w="3408" w:type="dxa"/>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备注</w:t>
            </w:r>
          </w:p>
        </w:tc>
      </w:tr>
      <w:tr>
        <w:trPr>
          <w:trHeight w:val="90"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1、项目总投资（万元）</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8767.59</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8767.59</w:t>
            </w:r>
          </w:p>
        </w:tc>
        <w:tc>
          <w:tcPr>
            <w:tcW w:w="3408" w:type="dxa"/>
            <w:tcBorders>
              <w:tl2br w:val="nil"/>
              <w:tr2bl w:val="nil"/>
            </w:tcBorders>
            <w:noWrap/>
            <w:tcMar>
              <w:top w:w="15" w:type="dxa"/>
              <w:left w:w="15" w:type="dxa"/>
              <w:right w:w="15" w:type="dxa"/>
            </w:tcMar>
            <w:vAlign w:val="center"/>
          </w:tcPr>
          <w:p>
            <w:pP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项目建议书批复总投资</w:t>
            </w:r>
            <w:r>
              <w:rPr>
                <w:rFonts w:hint="eastAsia" w:ascii="仿宋" w:hAnsi="仿宋" w:eastAsia="仿宋" w:cs="宋体"/>
                <w:color w:val="000000"/>
                <w:szCs w:val="21"/>
                <w:highlight w:val="none"/>
                <w:lang w:val="en-US" w:eastAsia="zh-CN"/>
              </w:rPr>
              <w:t>8767.59</w:t>
            </w:r>
            <w:r>
              <w:rPr>
                <w:rFonts w:hint="eastAsia" w:ascii="仿宋" w:hAnsi="仿宋" w:eastAsia="仿宋" w:cs="宋体"/>
                <w:color w:val="000000"/>
                <w:szCs w:val="21"/>
                <w:lang w:val="en-US" w:eastAsia="zh-CN"/>
              </w:rPr>
              <w:t>万元与可行性研究报告总投资一致。</w:t>
            </w:r>
          </w:p>
        </w:tc>
      </w:tr>
      <w:tr>
        <w:trPr>
          <w:trHeight w:val="239"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2、项目资本金（万元）</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1767.59</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1767.59</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237"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ind w:firstLine="315" w:firstLineChars="150"/>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项目资本金比例（%）</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20.16%</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20.16%</w:t>
            </w:r>
          </w:p>
        </w:tc>
        <w:tc>
          <w:tcPr>
            <w:tcW w:w="3408"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p>
        </w:tc>
      </w:tr>
      <w:tr>
        <w:trPr>
          <w:trHeight w:val="394"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3、拟申请银行贷款金额（万元）</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7000.00</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7000.00</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385"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ind w:firstLine="210" w:firstLineChars="100"/>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其中：我行拟贷款金额（万元）</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7000.00</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7000.00</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110"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4、其他资金</w:t>
            </w:r>
          </w:p>
        </w:tc>
        <w:tc>
          <w:tcPr>
            <w:tcW w:w="1656" w:type="dxa"/>
            <w:tcBorders>
              <w:tl2br w:val="nil"/>
              <w:tr2bl w:val="nil"/>
            </w:tcBorders>
            <w:noWrap w:val="false"/>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c>
          <w:tcPr>
            <w:tcW w:w="1379"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318" w:hRule="atLeast"/>
          <w:jc w:val="center"/>
        </w:trPr>
        <w:tc>
          <w:tcPr>
            <w:tcW w:w="1519" w:type="dxa"/>
            <w:vMerge w:val="restart"/>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项目财务效益测算</w:t>
            </w: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1、项目投资利润率（%）（总利润/总投资）</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48.37</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FF0000"/>
                <w:szCs w:val="21"/>
                <w:lang w:val="en-US" w:eastAsia="zh-CN"/>
              </w:rPr>
            </w:pPr>
            <w:r>
              <w:rPr>
                <w:rFonts w:hint="eastAsia" w:ascii="仿宋" w:hAnsi="仿宋" w:eastAsia="仿宋" w:cs="宋体"/>
                <w:color w:val="000000"/>
                <w:szCs w:val="21"/>
                <w:highlight w:val="none"/>
                <w:lang w:val="en-US" w:eastAsia="zh-CN"/>
              </w:rPr>
              <w:t>48.37</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FF0000"/>
                <w:szCs w:val="21"/>
              </w:rPr>
            </w:pPr>
            <w:r>
              <w:rPr>
                <w:rFonts w:hint="eastAsia" w:ascii="仿宋" w:hAnsi="仿宋" w:eastAsia="仿宋" w:cs="宋体"/>
                <w:color w:val="000000"/>
                <w:szCs w:val="21"/>
                <w:highlight w:val="none"/>
                <w:lang w:val="en-US" w:eastAsia="zh-CN"/>
              </w:rPr>
              <w:t>-</w:t>
            </w:r>
          </w:p>
        </w:tc>
      </w:tr>
      <w:tr>
        <w:trPr>
          <w:trHeight w:val="157"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2、项目销售利润率（%）（总利润/总销售收入）</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29.55</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FF0000"/>
                <w:szCs w:val="21"/>
                <w:lang w:val="en-US" w:eastAsia="zh-CN"/>
              </w:rPr>
            </w:pPr>
            <w:r>
              <w:rPr>
                <w:rFonts w:hint="eastAsia" w:ascii="仿宋" w:hAnsi="仿宋" w:eastAsia="仿宋" w:cs="宋体"/>
                <w:color w:val="000000"/>
                <w:szCs w:val="21"/>
                <w:highlight w:val="none"/>
                <w:lang w:val="en-US" w:eastAsia="zh-CN"/>
              </w:rPr>
              <w:t>29.55</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FF0000"/>
                <w:szCs w:val="21"/>
              </w:rPr>
            </w:pPr>
            <w:r>
              <w:rPr>
                <w:rFonts w:hint="eastAsia" w:ascii="仿宋" w:hAnsi="仿宋" w:eastAsia="仿宋" w:cs="宋体"/>
                <w:color w:val="000000"/>
                <w:szCs w:val="21"/>
                <w:highlight w:val="none"/>
                <w:lang w:val="en-US" w:eastAsia="zh-CN"/>
              </w:rPr>
              <w:t>-</w:t>
            </w:r>
          </w:p>
        </w:tc>
      </w:tr>
      <w:tr>
        <w:trPr>
          <w:trHeight w:val="299"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3、项目财务内部收益率（税后）（%）</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7.98</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7.98</w:t>
            </w:r>
          </w:p>
        </w:tc>
        <w:tc>
          <w:tcPr>
            <w:tcW w:w="3408"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p>
        </w:tc>
      </w:tr>
      <w:tr>
        <w:trPr>
          <w:trHeight w:val="251"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4、项目财务净现值（税后）（万元）</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2151.65</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2151.65</w:t>
            </w:r>
          </w:p>
        </w:tc>
        <w:tc>
          <w:tcPr>
            <w:tcW w:w="3408" w:type="dxa"/>
            <w:tcBorders>
              <w:tl2br w:val="nil"/>
              <w:tr2bl w:val="nil"/>
            </w:tcBorders>
            <w:noWrap/>
            <w:tcMar>
              <w:top w:w="15" w:type="dxa"/>
              <w:left w:w="15" w:type="dxa"/>
              <w:right w:w="15" w:type="dxa"/>
            </w:tcMar>
            <w:vAlign w:val="center"/>
          </w:tcPr>
          <w:p>
            <w:pPr>
              <w:rPr>
                <w:rFonts w:hint="default" w:ascii="仿宋" w:hAnsi="仿宋" w:eastAsia="仿宋" w:cs="宋体"/>
                <w:color w:val="000000"/>
                <w:szCs w:val="21"/>
                <w:lang w:val="en-US" w:eastAsia="zh-CN"/>
              </w:rPr>
            </w:pP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ind w:firstLine="315" w:firstLineChars="150"/>
              <w:jc w:val="left"/>
              <w:textAlignment w:val="center"/>
              <w:rPr>
                <w:rFonts w:ascii="仿宋" w:hAnsi="仿宋" w:eastAsia="仿宋" w:cs="宋体"/>
                <w:szCs w:val="21"/>
                <w:highlight w:val="none"/>
              </w:rPr>
            </w:pPr>
            <w:r>
              <w:rPr>
                <w:rFonts w:hint="eastAsia" w:ascii="仿宋" w:hAnsi="仿宋" w:eastAsia="仿宋" w:cs="宋体"/>
                <w:kern w:val="0"/>
                <w:szCs w:val="21"/>
                <w:highlight w:val="none"/>
                <w:lang w:bidi="ar"/>
              </w:rPr>
              <w:t>其中：折现率（%）</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4.2</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4.2</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kern w:val="0"/>
                <w:szCs w:val="21"/>
                <w:lang w:bidi="ar"/>
              </w:rPr>
            </w:pPr>
            <w:r>
              <w:rPr>
                <w:rFonts w:hint="eastAsia" w:ascii="仿宋" w:hAnsi="仿宋" w:eastAsia="仿宋" w:cs="宋体"/>
                <w:kern w:val="0"/>
                <w:szCs w:val="21"/>
                <w:lang w:bidi="ar"/>
              </w:rPr>
              <w:t>5、项目静态投资回收期（年或月）</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11.26</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11.26</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kern w:val="0"/>
                <w:szCs w:val="21"/>
                <w:lang w:bidi="ar"/>
              </w:rPr>
            </w:pPr>
            <w:r>
              <w:rPr>
                <w:rFonts w:ascii="仿宋" w:hAnsi="仿宋" w:eastAsia="仿宋" w:cs="宋体"/>
                <w:kern w:val="0"/>
                <w:szCs w:val="21"/>
                <w:lang w:bidi="ar"/>
              </w:rPr>
              <w:t>6</w:t>
            </w:r>
            <w:r>
              <w:rPr>
                <w:rFonts w:hint="eastAsia" w:ascii="仿宋" w:hAnsi="仿宋" w:eastAsia="仿宋" w:cs="宋体"/>
                <w:kern w:val="0"/>
                <w:szCs w:val="21"/>
                <w:lang w:bidi="ar"/>
              </w:rPr>
              <w:t>、项目动态投资回收期（年或月）</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yellow"/>
                <w:lang w:val="en-US" w:eastAsia="zh-CN"/>
              </w:rPr>
            </w:pPr>
            <w:r>
              <w:rPr>
                <w:rFonts w:hint="eastAsia" w:ascii="仿宋" w:hAnsi="仿宋" w:eastAsia="仿宋" w:cs="宋体"/>
                <w:color w:val="000000"/>
                <w:szCs w:val="21"/>
                <w:highlight w:val="none"/>
                <w:lang w:val="en-US" w:eastAsia="zh-CN"/>
              </w:rPr>
              <w:t>11.02</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11.02</w:t>
            </w:r>
          </w:p>
        </w:tc>
        <w:tc>
          <w:tcPr>
            <w:tcW w:w="3408" w:type="dxa"/>
            <w:tcBorders>
              <w:tl2br w:val="nil"/>
              <w:tr2bl w:val="nil"/>
            </w:tcBorders>
            <w:noWrap/>
            <w:tcMar>
              <w:top w:w="15" w:type="dxa"/>
              <w:left w:w="15" w:type="dxa"/>
              <w:right w:w="15" w:type="dxa"/>
            </w:tcMar>
            <w:vAlign w:val="center"/>
          </w:tcPr>
          <w:p>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trPr>
          <w:trHeight w:val="336" w:hRule="atLeast"/>
          <w:jc w:val="center"/>
        </w:trPr>
        <w:tc>
          <w:tcPr>
            <w:tcW w:w="1519" w:type="dxa"/>
            <w:vMerge w:val="restart"/>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r>
              <w:rPr>
                <w:rFonts w:hint="eastAsia" w:ascii="仿宋" w:hAnsi="仿宋" w:eastAsia="仿宋" w:cs="宋体"/>
                <w:color w:val="000000"/>
                <w:szCs w:val="21"/>
              </w:rPr>
              <w:t>评估预测主要参数</w:t>
            </w: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kern w:val="0"/>
                <w:szCs w:val="21"/>
                <w:highlight w:val="none"/>
                <w:lang w:bidi="ar"/>
              </w:rPr>
            </w:pPr>
            <w:r>
              <w:rPr>
                <w:rFonts w:hint="eastAsia" w:ascii="仿宋" w:hAnsi="仿宋" w:eastAsia="仿宋" w:cs="宋体"/>
                <w:color w:val="000000"/>
                <w:kern w:val="0"/>
                <w:szCs w:val="21"/>
                <w:highlight w:val="none"/>
                <w:lang w:bidi="ar"/>
              </w:rPr>
              <w:t>1、项目计算期</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12</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12</w:t>
            </w:r>
          </w:p>
        </w:tc>
        <w:tc>
          <w:tcPr>
            <w:tcW w:w="3408" w:type="dxa"/>
            <w:tcBorders>
              <w:tl2br w:val="nil"/>
              <w:tr2bl w:val="nil"/>
            </w:tcBorders>
            <w:noWrap/>
            <w:tcMar>
              <w:top w:w="15" w:type="dxa"/>
              <w:left w:w="15" w:type="dxa"/>
              <w:right w:w="15" w:type="dxa"/>
            </w:tcMar>
            <w:vAlign w:val="center"/>
          </w:tcPr>
          <w:p>
            <w:pPr>
              <w:jc w:val="left"/>
              <w:rPr>
                <w:rFonts w:hint="default" w:ascii="仿宋" w:hAnsi="仿宋" w:eastAsia="仿宋" w:cs="宋体"/>
                <w:color w:val="000000"/>
                <w:szCs w:val="21"/>
                <w:highlight w:val="magenta"/>
                <w:lang w:val="en-US"/>
              </w:rPr>
            </w:pPr>
            <w:r>
              <w:rPr>
                <w:rFonts w:hint="eastAsia" w:ascii="仿宋" w:hAnsi="仿宋" w:eastAsia="仿宋" w:cs="宋体"/>
                <w:color w:val="000000"/>
                <w:szCs w:val="21"/>
                <w:highlight w:val="none"/>
                <w:lang w:val="en-US" w:eastAsia="zh-CN"/>
              </w:rPr>
              <w:t>1.可行性研究报告计算期限为依据银行贷款偿还期制定；2.根据我行《固定资产投资项目评估办法》要求，基础产业、基础设施建设以及学校、医院等公益性项目的计算期可以适当延长，但不宜超过30年。综上，出于审慎考虑，该项目计算期调整为12年。</w:t>
            </w: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highlight w:val="none"/>
                <w:lang w:val="en-US" w:eastAsia="zh-CN" w:bidi="ar"/>
              </w:rPr>
              <w:t>2、单位造价</w:t>
            </w:r>
          </w:p>
        </w:tc>
        <w:tc>
          <w:tcPr>
            <w:tcW w:w="1656" w:type="dxa"/>
            <w:tcBorders>
              <w:tl2br w:val="nil"/>
              <w:tr2bl w:val="nil"/>
            </w:tcBorders>
            <w:noWrap w:val="false"/>
            <w:tcMar>
              <w:top w:w="15" w:type="dxa"/>
              <w:left w:w="15" w:type="dxa"/>
              <w:right w:w="15" w:type="dxa"/>
            </w:tcMar>
            <w:vAlign w:val="center"/>
          </w:tcPr>
          <w:p>
            <w:pPr>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光伏综合建造单价2.87元/瓦</w:t>
            </w:r>
            <w:r>
              <w:rPr>
                <w:rFonts w:hint="eastAsia" w:ascii="仿宋" w:hAnsi="仿宋" w:eastAsia="仿宋" w:cs="宋体"/>
                <w:color w:val="000000"/>
                <w:szCs w:val="21"/>
                <w:lang w:val="en-US" w:eastAsia="zh-CN"/>
              </w:rPr>
              <w:t>；</w:t>
            </w:r>
          </w:p>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储能综合建造单价1.27元/瓦时</w:t>
            </w:r>
            <w:r>
              <w:rPr>
                <w:rFonts w:hint="eastAsia" w:ascii="仿宋" w:hAnsi="仿宋" w:eastAsia="仿宋" w:cs="宋体"/>
                <w:color w:val="000000"/>
                <w:szCs w:val="21"/>
                <w:lang w:val="en-US" w:eastAsia="zh-CN"/>
              </w:rPr>
              <w:t>；600kw液冷光储充电桩综合建造价110万/个</w:t>
            </w:r>
          </w:p>
        </w:tc>
        <w:tc>
          <w:tcPr>
            <w:tcW w:w="1379" w:type="dxa"/>
            <w:tcBorders>
              <w:tl2br w:val="nil"/>
              <w:tr2bl w:val="nil"/>
            </w:tcBorders>
            <w:noWrap/>
            <w:tcMar>
              <w:top w:w="15" w:type="dxa"/>
              <w:left w:w="15" w:type="dxa"/>
              <w:right w:w="15" w:type="dxa"/>
            </w:tcMar>
            <w:vAlign w:val="center"/>
          </w:tcPr>
          <w:p>
            <w:pPr>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光伏综合建造单价2.87元/瓦</w:t>
            </w:r>
            <w:r>
              <w:rPr>
                <w:rFonts w:hint="eastAsia" w:ascii="仿宋" w:hAnsi="仿宋" w:eastAsia="仿宋" w:cs="宋体"/>
                <w:color w:val="000000"/>
                <w:szCs w:val="21"/>
                <w:lang w:val="en-US" w:eastAsia="zh-CN"/>
              </w:rPr>
              <w:t>；</w:t>
            </w:r>
          </w:p>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储能综合建造单价1.27元/瓦时</w:t>
            </w:r>
            <w:r>
              <w:rPr>
                <w:rFonts w:hint="eastAsia" w:ascii="仿宋" w:hAnsi="仿宋" w:eastAsia="仿宋" w:cs="宋体"/>
                <w:color w:val="000000"/>
                <w:szCs w:val="21"/>
                <w:lang w:val="en-US" w:eastAsia="zh-CN"/>
              </w:rPr>
              <w:t>；600kw液冷光储充电桩综合建造价110万/个</w:t>
            </w:r>
          </w:p>
        </w:tc>
        <w:tc>
          <w:tcPr>
            <w:tcW w:w="3408" w:type="dxa"/>
            <w:tcBorders>
              <w:tl2br w:val="nil"/>
              <w:tr2bl w:val="nil"/>
            </w:tcBorders>
            <w:noWrap/>
            <w:tcMar>
              <w:top w:w="15" w:type="dxa"/>
              <w:left w:w="15" w:type="dxa"/>
              <w:right w:w="15" w:type="dxa"/>
            </w:tcMar>
            <w:vAlign w:val="center"/>
          </w:tcPr>
          <w:p>
            <w:pPr>
              <w:ind/>
              <w:jc w:val="center"/>
              <w:rPr>
                <w:rFonts w:hint="default" w:ascii="仿宋" w:hAnsi="仿宋" w:eastAsia="仿宋" w:cs="宋体"/>
                <w:color w:val="000000"/>
                <w:szCs w:val="21"/>
                <w:lang w:val="en-US" w:eastAsia="zh-CN"/>
              </w:rPr>
            </w:pPr>
            <w:r>
              <w:rPr>
                <w:rFonts w:hint="eastAsia" w:ascii="仿宋" w:hAnsi="仿宋" w:eastAsia="仿宋" w:cs="宋体"/>
                <w:color w:val="auto"/>
                <w:sz w:val="22"/>
                <w:szCs w:val="22"/>
              </w:rPr>
              <w:t>据</w:t>
            </w:r>
            <w:r>
              <w:rPr>
                <w:rFonts w:ascii="仿宋" w:hAnsi="仿宋" w:eastAsia="仿宋" w:cs="宋体"/>
                <w:color w:val="auto"/>
                <w:sz w:val="22"/>
                <w:szCs w:val="22"/>
              </w:rPr>
              <w:t>中国光伏行业协会</w:t>
            </w:r>
            <w:r>
              <w:rPr>
                <w:rFonts w:hint="eastAsia" w:ascii="仿宋" w:hAnsi="仿宋" w:eastAsia="仿宋" w:cs="宋体"/>
                <w:color w:val="auto"/>
                <w:sz w:val="22"/>
                <w:szCs w:val="22"/>
              </w:rPr>
              <w:t>测算，</w:t>
            </w:r>
            <w:r>
              <w:rPr>
                <w:rFonts w:ascii="仿宋" w:hAnsi="仿宋" w:eastAsia="仿宋" w:cs="宋体"/>
                <w:color w:val="auto"/>
                <w:sz w:val="22"/>
                <w:szCs w:val="22"/>
              </w:rPr>
              <w:t>2022年工商业分布式电站初始全投资成本为3.74元/W，2023年预计将降至3.42元/W，</w:t>
            </w:r>
            <w:r>
              <w:rPr>
                <w:rFonts w:hint="eastAsia" w:ascii="仿宋" w:hAnsi="仿宋" w:eastAsia="仿宋" w:cs="宋体"/>
                <w:color w:val="auto"/>
                <w:sz w:val="22"/>
                <w:szCs w:val="22"/>
                <w:lang w:val="en-US" w:eastAsia="zh-CN"/>
              </w:rPr>
              <w:t>本</w:t>
            </w:r>
            <w:r>
              <w:rPr>
                <w:rFonts w:hint="eastAsia" w:ascii="仿宋" w:hAnsi="仿宋" w:eastAsia="仿宋" w:cs="宋体"/>
                <w:color w:val="auto"/>
                <w:sz w:val="22"/>
                <w:szCs w:val="22"/>
              </w:rPr>
              <w:t>项目</w:t>
            </w:r>
            <w:r>
              <w:rPr>
                <w:rFonts w:hint="eastAsia" w:ascii="仿宋" w:hAnsi="仿宋" w:eastAsia="仿宋" w:cs="宋体"/>
                <w:color w:val="auto"/>
                <w:sz w:val="22"/>
                <w:szCs w:val="22"/>
                <w:lang w:val="en-US" w:eastAsia="zh-CN"/>
              </w:rPr>
              <w:t>光伏</w:t>
            </w:r>
            <w:r>
              <w:rPr>
                <w:rFonts w:hint="eastAsia" w:ascii="仿宋" w:hAnsi="仿宋" w:eastAsia="仿宋" w:cs="宋体"/>
                <w:color w:val="auto"/>
                <w:sz w:val="22"/>
                <w:szCs w:val="22"/>
              </w:rPr>
              <w:t>单位造价成本</w:t>
            </w:r>
            <w:r>
              <w:rPr>
                <w:rFonts w:hint="eastAsia" w:ascii="仿宋" w:hAnsi="仿宋" w:eastAsia="仿宋" w:cs="宋体"/>
                <w:color w:val="auto"/>
                <w:sz w:val="22"/>
                <w:szCs w:val="22"/>
                <w:lang w:eastAsia="zh-CN"/>
              </w:rPr>
              <w:t>为</w:t>
            </w:r>
            <w:r>
              <w:rPr>
                <w:rFonts w:hint="eastAsia" w:ascii="仿宋" w:hAnsi="仿宋" w:eastAsia="仿宋" w:cs="宋体"/>
                <w:color w:val="auto"/>
                <w:sz w:val="22"/>
                <w:szCs w:val="22"/>
                <w:lang w:val="en-US" w:eastAsia="zh-CN"/>
              </w:rPr>
              <w:t>2.87</w:t>
            </w:r>
            <w:r>
              <w:rPr>
                <w:rFonts w:ascii="仿宋" w:hAnsi="仿宋" w:eastAsia="仿宋" w:cs="宋体"/>
                <w:color w:val="auto"/>
                <w:sz w:val="22"/>
                <w:szCs w:val="22"/>
              </w:rPr>
              <w:t>元/W</w:t>
            </w:r>
            <w:r>
              <w:rPr>
                <w:rFonts w:hint="eastAsia" w:ascii="仿宋" w:hAnsi="仿宋" w:eastAsia="仿宋" w:cs="宋体"/>
                <w:color w:val="auto"/>
                <w:sz w:val="22"/>
                <w:szCs w:val="22"/>
                <w:lang w:eastAsia="zh-CN"/>
              </w:rPr>
              <w:t>，</w:t>
            </w:r>
            <w:r>
              <w:rPr>
                <w:rFonts w:hint="eastAsia" w:ascii="仿宋" w:hAnsi="仿宋" w:eastAsia="仿宋" w:cs="宋体"/>
                <w:color w:val="auto"/>
                <w:sz w:val="22"/>
                <w:szCs w:val="22"/>
                <w:lang w:val="en-US" w:eastAsia="zh-CN"/>
              </w:rPr>
              <w:t>储能单位造价1.27元/Wh，</w:t>
            </w:r>
            <w:r>
              <w:rPr>
                <w:rFonts w:hint="eastAsia" w:ascii="仿宋" w:hAnsi="仿宋" w:eastAsia="仿宋" w:cs="宋体"/>
                <w:color w:val="auto"/>
                <w:sz w:val="22"/>
                <w:szCs w:val="22"/>
                <w:lang w:val="en-US" w:eastAsia="zh-CN"/>
              </w:rPr>
              <w:t>光伏充电桩（600kw液冷）其中包含充电桩单桩价格65万元，单桩光伏车棚及储能模块合计价格约为45万元，合计110万元</w:t>
            </w:r>
            <w:r>
              <w:rPr>
                <w:rFonts w:hint="eastAsia" w:ascii="仿宋" w:hAnsi="仿宋" w:eastAsia="仿宋" w:cs="宋体"/>
                <w:color w:val="auto"/>
                <w:sz w:val="22"/>
                <w:szCs w:val="22"/>
                <w:lang w:val="en-US" w:eastAsia="zh-CN"/>
              </w:rPr>
              <w:t>低于</w:t>
            </w:r>
            <w:r>
              <w:rPr>
                <w:rFonts w:hint="eastAsia" w:ascii="仿宋" w:hAnsi="仿宋" w:eastAsia="仿宋" w:cs="宋体"/>
                <w:color w:val="auto"/>
                <w:sz w:val="22"/>
                <w:szCs w:val="22"/>
              </w:rPr>
              <w:t>行业</w:t>
            </w:r>
            <w:r>
              <w:rPr>
                <w:rFonts w:hint="eastAsia" w:ascii="仿宋" w:hAnsi="仿宋" w:eastAsia="仿宋" w:cs="宋体"/>
                <w:color w:val="auto"/>
                <w:sz w:val="22"/>
                <w:szCs w:val="22"/>
                <w:lang w:eastAsia="zh-CN"/>
              </w:rPr>
              <w:t>平均，</w:t>
            </w:r>
            <w:r>
              <w:rPr>
                <w:rFonts w:hint="eastAsia" w:ascii="仿宋" w:hAnsi="仿宋" w:eastAsia="仿宋" w:cs="宋体"/>
                <w:color w:val="auto"/>
                <w:sz w:val="22"/>
                <w:szCs w:val="22"/>
                <w:lang w:val="en-US" w:eastAsia="zh-CN"/>
              </w:rPr>
              <w:t>比较合理。</w:t>
            </w: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highlight w:val="none"/>
                <w:lang w:val="en-US" w:eastAsia="zh-CN" w:bidi="ar"/>
              </w:rPr>
              <w:t>3、生产负荷</w:t>
            </w:r>
          </w:p>
        </w:tc>
        <w:tc>
          <w:tcPr>
            <w:tcW w:w="1656" w:type="dxa"/>
            <w:tcBorders>
              <w:tl2br w:val="nil"/>
              <w:tr2bl w:val="nil"/>
            </w:tcBorders>
            <w:noWrap w:val="false"/>
            <w:tcMar>
              <w:top w:w="15" w:type="dxa"/>
              <w:left w:w="15" w:type="dxa"/>
              <w:right w:w="15" w:type="dxa"/>
            </w:tcMar>
            <w:vAlign w:val="center"/>
          </w:tcPr>
          <w:p>
            <w:pPr>
              <w:jc w:val="both"/>
              <w:rPr>
                <w:rFonts w:hint="eastAsia" w:ascii="仿宋" w:hAnsi="仿宋" w:eastAsia="仿宋" w:cs="宋体"/>
                <w:b w:val="false"/>
                <w:bCs w:val="false"/>
                <w:sz w:val="22"/>
                <w:szCs w:val="22"/>
              </w:rPr>
            </w:pPr>
            <w:r>
              <w:rPr>
                <w:rFonts w:hint="eastAsia" w:ascii="仿宋" w:hAnsi="仿宋" w:eastAsia="仿宋" w:cs="宋体"/>
                <w:b w:val="false"/>
                <w:bCs w:val="false"/>
                <w:sz w:val="22"/>
                <w:szCs w:val="22"/>
              </w:rPr>
              <w:t>①</w:t>
            </w:r>
            <w:r>
              <w:rPr>
                <w:rFonts w:ascii="仿宋" w:hAnsi="仿宋" w:eastAsia="仿宋" w:cs="宋体"/>
                <w:b w:val="false"/>
                <w:bCs w:val="false"/>
                <w:sz w:val="22"/>
                <w:szCs w:val="22"/>
              </w:rPr>
              <w:t>发电</w:t>
            </w:r>
            <w:r>
              <w:rPr>
                <w:rFonts w:hint="eastAsia" w:ascii="仿宋" w:hAnsi="仿宋" w:eastAsia="仿宋" w:cs="宋体"/>
                <w:b w:val="false"/>
                <w:bCs w:val="false"/>
                <w:sz w:val="22"/>
                <w:szCs w:val="22"/>
                <w:lang w:val="en-US" w:eastAsia="zh-CN"/>
              </w:rPr>
              <w:t>天</w:t>
            </w:r>
            <w:r>
              <w:rPr>
                <w:rFonts w:ascii="仿宋" w:hAnsi="仿宋" w:eastAsia="仿宋" w:cs="宋体"/>
                <w:b w:val="false"/>
                <w:bCs w:val="false"/>
                <w:sz w:val="22"/>
                <w:szCs w:val="22"/>
              </w:rPr>
              <w:t>数</w:t>
            </w:r>
            <w:r>
              <w:rPr>
                <w:rFonts w:hint="eastAsia" w:ascii="仿宋" w:hAnsi="仿宋" w:eastAsia="仿宋" w:cs="宋体"/>
                <w:b w:val="false"/>
                <w:bCs w:val="false"/>
                <w:sz w:val="22"/>
                <w:szCs w:val="22"/>
                <w:lang w:val="en-US" w:eastAsia="zh-CN"/>
              </w:rPr>
              <w:t>按360天</w:t>
            </w:r>
            <w:r>
              <w:rPr>
                <w:rFonts w:hint="eastAsia" w:ascii="仿宋" w:hAnsi="仿宋" w:eastAsia="仿宋" w:cs="宋体"/>
                <w:b w:val="false"/>
                <w:bCs w:val="false"/>
                <w:sz w:val="22"/>
                <w:szCs w:val="22"/>
                <w:lang w:eastAsia="zh-CN"/>
              </w:rPr>
              <w:t>测算</w:t>
            </w:r>
            <w:r>
              <w:rPr>
                <w:rFonts w:hint="eastAsia" w:ascii="仿宋" w:hAnsi="仿宋" w:eastAsia="仿宋" w:cs="宋体"/>
                <w:b w:val="false"/>
                <w:bCs w:val="false"/>
                <w:sz w:val="22"/>
                <w:szCs w:val="22"/>
              </w:rPr>
              <w:t>；</w:t>
            </w:r>
          </w:p>
          <w:p>
            <w:pPr>
              <w:jc w:val="center"/>
              <w:rPr>
                <w:rFonts w:hint="eastAsia" w:ascii="仿宋" w:hAnsi="仿宋" w:eastAsia="仿宋" w:cs="宋体"/>
                <w:sz w:val="22"/>
                <w:szCs w:val="22"/>
              </w:rPr>
            </w:pPr>
            <w:r>
              <w:rPr>
                <w:rFonts w:hint="eastAsia" w:ascii="仿宋" w:hAnsi="仿宋" w:eastAsia="仿宋" w:cs="宋体"/>
                <w:sz w:val="22"/>
                <w:szCs w:val="22"/>
              </w:rPr>
              <w:t>②640Wp单晶N型</w:t>
            </w:r>
            <w:r>
              <w:rPr>
                <w:rFonts w:ascii="仿宋" w:hAnsi="仿宋" w:eastAsia="仿宋" w:cs="宋体"/>
                <w:sz w:val="22"/>
                <w:szCs w:val="22"/>
              </w:rPr>
              <w:t>组件考虑首年</w:t>
            </w:r>
            <w:r>
              <w:rPr>
                <w:rFonts w:hint="eastAsia" w:ascii="仿宋" w:hAnsi="仿宋" w:eastAsia="仿宋" w:cs="宋体"/>
                <w:sz w:val="22"/>
                <w:szCs w:val="22"/>
                <w:lang w:val="en-US" w:eastAsia="zh-CN"/>
              </w:rPr>
              <w:t>1</w:t>
            </w:r>
            <w:r>
              <w:rPr>
                <w:rFonts w:ascii="仿宋" w:hAnsi="仿宋" w:eastAsia="仿宋" w:cs="宋体"/>
                <w:sz w:val="22"/>
                <w:szCs w:val="22"/>
              </w:rPr>
              <w:t>%衰减后续每年0.</w:t>
            </w:r>
            <w:r>
              <w:rPr>
                <w:rFonts w:hint="eastAsia" w:ascii="仿宋" w:hAnsi="仿宋" w:eastAsia="仿宋" w:cs="宋体"/>
                <w:sz w:val="22"/>
                <w:szCs w:val="22"/>
                <w:lang w:val="en-US" w:eastAsia="zh-CN"/>
              </w:rPr>
              <w:t>4</w:t>
            </w:r>
            <w:r>
              <w:rPr>
                <w:rFonts w:ascii="仿宋" w:hAnsi="仿宋" w:eastAsia="仿宋" w:cs="宋体"/>
                <w:sz w:val="22"/>
                <w:szCs w:val="22"/>
              </w:rPr>
              <w:t>%衰减</w:t>
            </w:r>
            <w:r>
              <w:rPr>
                <w:rFonts w:hint="eastAsia" w:ascii="仿宋" w:hAnsi="仿宋" w:eastAsia="仿宋" w:cs="宋体"/>
                <w:sz w:val="22"/>
                <w:szCs w:val="22"/>
              </w:rPr>
              <w:t>；</w:t>
            </w:r>
          </w:p>
          <w:p>
            <w:pPr>
              <w:jc w:val="center"/>
              <w:rPr>
                <w:rFonts w:hint="default" w:ascii="仿宋" w:hAnsi="仿宋" w:eastAsia="仿宋" w:cs="宋体"/>
                <w:color w:val="000000"/>
                <w:szCs w:val="21"/>
                <w:lang w:val="en-US" w:eastAsia="zh-CN"/>
              </w:rPr>
            </w:pPr>
            <w:r>
              <w:rPr>
                <w:rFonts w:hint="eastAsia" w:ascii="仿宋" w:hAnsi="仿宋" w:eastAsia="仿宋" w:cs="宋体"/>
                <w:sz w:val="22"/>
                <w:szCs w:val="22"/>
                <w:lang w:val="en-US" w:eastAsia="zh-CN"/>
              </w:rPr>
              <w:t>③储能波谷时段由国网充电，波峰时段放电；</w:t>
            </w:r>
          </w:p>
        </w:tc>
        <w:tc>
          <w:tcPr>
            <w:tcW w:w="1379" w:type="dxa"/>
            <w:tcBorders>
              <w:tl2br w:val="nil"/>
              <w:tr2bl w:val="nil"/>
            </w:tcBorders>
            <w:noWrap/>
            <w:tcMar>
              <w:top w:w="15" w:type="dxa"/>
              <w:left w:w="15" w:type="dxa"/>
              <w:right w:w="15" w:type="dxa"/>
            </w:tcMar>
            <w:vAlign w:val="center"/>
          </w:tcPr>
          <w:p>
            <w:pPr>
              <w:jc w:val="both"/>
              <w:rPr>
                <w:rFonts w:hint="eastAsia" w:ascii="仿宋" w:hAnsi="仿宋" w:eastAsia="仿宋" w:cs="宋体"/>
                <w:b w:val="false"/>
                <w:bCs w:val="false"/>
                <w:sz w:val="22"/>
                <w:szCs w:val="22"/>
              </w:rPr>
            </w:pPr>
            <w:r>
              <w:rPr>
                <w:rFonts w:hint="eastAsia" w:ascii="仿宋" w:hAnsi="仿宋" w:eastAsia="仿宋" w:cs="宋体"/>
                <w:b w:val="false"/>
                <w:bCs w:val="false"/>
                <w:sz w:val="22"/>
                <w:szCs w:val="22"/>
              </w:rPr>
              <w:t>①</w:t>
            </w:r>
            <w:r>
              <w:rPr>
                <w:rFonts w:ascii="仿宋" w:hAnsi="仿宋" w:eastAsia="仿宋" w:cs="宋体"/>
                <w:b w:val="false"/>
                <w:bCs w:val="false"/>
                <w:sz w:val="22"/>
                <w:szCs w:val="22"/>
              </w:rPr>
              <w:t>发电</w:t>
            </w:r>
            <w:r>
              <w:rPr>
                <w:rFonts w:hint="eastAsia" w:ascii="仿宋" w:hAnsi="仿宋" w:eastAsia="仿宋" w:cs="宋体"/>
                <w:b w:val="false"/>
                <w:bCs w:val="false"/>
                <w:sz w:val="22"/>
                <w:szCs w:val="22"/>
                <w:lang w:val="en-US" w:eastAsia="zh-CN"/>
              </w:rPr>
              <w:t>天</w:t>
            </w:r>
            <w:r>
              <w:rPr>
                <w:rFonts w:ascii="仿宋" w:hAnsi="仿宋" w:eastAsia="仿宋" w:cs="宋体"/>
                <w:b w:val="false"/>
                <w:bCs w:val="false"/>
                <w:sz w:val="22"/>
                <w:szCs w:val="22"/>
              </w:rPr>
              <w:t>数</w:t>
            </w:r>
            <w:r>
              <w:rPr>
                <w:rFonts w:hint="eastAsia" w:ascii="仿宋" w:hAnsi="仿宋" w:eastAsia="仿宋" w:cs="宋体"/>
                <w:b w:val="false"/>
                <w:bCs w:val="false"/>
                <w:sz w:val="22"/>
                <w:szCs w:val="22"/>
                <w:lang w:val="en-US" w:eastAsia="zh-CN"/>
              </w:rPr>
              <w:t>按360天</w:t>
            </w:r>
            <w:r>
              <w:rPr>
                <w:rFonts w:hint="eastAsia" w:ascii="仿宋" w:hAnsi="仿宋" w:eastAsia="仿宋" w:cs="宋体"/>
                <w:b w:val="false"/>
                <w:bCs w:val="false"/>
                <w:sz w:val="22"/>
                <w:szCs w:val="22"/>
                <w:lang w:eastAsia="zh-CN"/>
              </w:rPr>
              <w:t>测算</w:t>
            </w:r>
            <w:r>
              <w:rPr>
                <w:rFonts w:hint="eastAsia" w:ascii="仿宋" w:hAnsi="仿宋" w:eastAsia="仿宋" w:cs="宋体"/>
                <w:b w:val="false"/>
                <w:bCs w:val="false"/>
                <w:sz w:val="22"/>
                <w:szCs w:val="22"/>
              </w:rPr>
              <w:t>；</w:t>
            </w:r>
          </w:p>
          <w:p>
            <w:pPr>
              <w:jc w:val="center"/>
              <w:rPr>
                <w:rFonts w:hint="eastAsia" w:ascii="仿宋" w:hAnsi="仿宋" w:eastAsia="仿宋" w:cs="宋体"/>
                <w:sz w:val="22"/>
                <w:szCs w:val="22"/>
              </w:rPr>
            </w:pPr>
            <w:r>
              <w:rPr>
                <w:rFonts w:hint="eastAsia" w:ascii="仿宋" w:hAnsi="仿宋" w:eastAsia="仿宋" w:cs="宋体"/>
                <w:sz w:val="22"/>
                <w:szCs w:val="22"/>
              </w:rPr>
              <w:t>②640Wp单晶N型</w:t>
            </w:r>
            <w:r>
              <w:rPr>
                <w:rFonts w:ascii="仿宋" w:hAnsi="仿宋" w:eastAsia="仿宋" w:cs="宋体"/>
                <w:sz w:val="22"/>
                <w:szCs w:val="22"/>
              </w:rPr>
              <w:t>组件考虑首年</w:t>
            </w:r>
            <w:r>
              <w:rPr>
                <w:rFonts w:hint="eastAsia" w:ascii="仿宋" w:hAnsi="仿宋" w:eastAsia="仿宋" w:cs="宋体"/>
                <w:sz w:val="22"/>
                <w:szCs w:val="22"/>
                <w:lang w:val="en-US" w:eastAsia="zh-CN"/>
              </w:rPr>
              <w:t>1</w:t>
            </w:r>
            <w:r>
              <w:rPr>
                <w:rFonts w:ascii="仿宋" w:hAnsi="仿宋" w:eastAsia="仿宋" w:cs="宋体"/>
                <w:sz w:val="22"/>
                <w:szCs w:val="22"/>
              </w:rPr>
              <w:t>%衰减后续每年0.</w:t>
            </w:r>
            <w:r>
              <w:rPr>
                <w:rFonts w:hint="eastAsia" w:ascii="仿宋" w:hAnsi="仿宋" w:eastAsia="仿宋" w:cs="宋体"/>
                <w:sz w:val="22"/>
                <w:szCs w:val="22"/>
                <w:lang w:val="en-US" w:eastAsia="zh-CN"/>
              </w:rPr>
              <w:t>4</w:t>
            </w:r>
            <w:r>
              <w:rPr>
                <w:rFonts w:ascii="仿宋" w:hAnsi="仿宋" w:eastAsia="仿宋" w:cs="宋体"/>
                <w:sz w:val="22"/>
                <w:szCs w:val="22"/>
              </w:rPr>
              <w:t>%衰减</w:t>
            </w:r>
            <w:r>
              <w:rPr>
                <w:rFonts w:hint="eastAsia" w:ascii="仿宋" w:hAnsi="仿宋" w:eastAsia="仿宋" w:cs="宋体"/>
                <w:sz w:val="22"/>
                <w:szCs w:val="22"/>
              </w:rPr>
              <w:t>；</w:t>
            </w:r>
          </w:p>
          <w:p>
            <w:pPr>
              <w:jc w:val="center"/>
              <w:rPr>
                <w:rFonts w:hint="default" w:ascii="仿宋" w:hAnsi="仿宋" w:eastAsia="仿宋" w:cs="宋体"/>
                <w:color w:val="000000"/>
                <w:szCs w:val="21"/>
                <w:lang w:val="en-US" w:eastAsia="zh-CN"/>
              </w:rPr>
            </w:pPr>
            <w:r>
              <w:rPr>
                <w:rFonts w:hint="eastAsia" w:ascii="仿宋" w:hAnsi="仿宋" w:eastAsia="仿宋" w:cs="宋体"/>
                <w:sz w:val="22"/>
                <w:szCs w:val="22"/>
                <w:lang w:val="en-US" w:eastAsia="zh-CN"/>
              </w:rPr>
              <w:t>③储能波谷时段由国网充电，波峰时段放电；</w:t>
            </w:r>
          </w:p>
        </w:tc>
        <w:tc>
          <w:tcPr>
            <w:tcW w:w="3408"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仿宋"/>
                <w:lang w:val="en-US" w:eastAsia="zh-CN"/>
              </w:rPr>
              <w:t>①</w:t>
            </w:r>
            <w:r>
              <w:rPr>
                <w:rFonts w:hint="eastAsia" w:ascii="仿宋" w:hAnsi="仿宋" w:eastAsia="仿宋" w:cs="仿宋"/>
              </w:rPr>
              <w:t>根据Global Solar Atlas太阳能资源分析软件进行计算</w:t>
            </w:r>
            <w:r>
              <w:rPr>
                <w:rFonts w:hint="eastAsia" w:ascii="仿宋" w:hAnsi="仿宋" w:eastAsia="仿宋" w:cs="仿宋"/>
                <w:lang w:eastAsia="zh-CN"/>
              </w:rPr>
              <w:t>，</w:t>
            </w:r>
            <w:r>
              <w:rPr>
                <w:rFonts w:hint="eastAsia" w:ascii="仿宋" w:hAnsi="仿宋" w:eastAsia="仿宋" w:cs="仿宋"/>
              </w:rPr>
              <w:t>光伏发电时段在8:00-18:00</w:t>
            </w:r>
            <w:r>
              <w:rPr>
                <w:rFonts w:hint="eastAsia" w:ascii="仿宋" w:hAnsi="仿宋" w:eastAsia="仿宋" w:cs="仿宋"/>
                <w:lang w:eastAsia="zh-CN"/>
              </w:rPr>
              <w:t>。1KW光伏装机容量每日发电量为3.3</w:t>
            </w:r>
            <w:r>
              <w:rPr>
                <w:rFonts w:hint="eastAsia" w:ascii="仿宋" w:hAnsi="仿宋" w:eastAsia="仿宋" w:cs="仿宋"/>
                <w:lang w:val="en-US" w:eastAsia="zh-CN"/>
              </w:rPr>
              <w:t>49</w:t>
            </w:r>
            <w:r>
              <w:rPr>
                <w:rFonts w:hint="eastAsia" w:ascii="仿宋" w:hAnsi="仿宋" w:eastAsia="仿宋" w:cs="仿宋"/>
                <w:lang w:eastAsia="zh-CN"/>
              </w:rPr>
              <w:t>kWh/kWp/天。本项目预计年发电量3.3</w:t>
            </w:r>
            <w:r>
              <w:rPr>
                <w:rFonts w:hint="eastAsia" w:ascii="仿宋" w:hAnsi="仿宋" w:eastAsia="仿宋" w:cs="仿宋"/>
                <w:lang w:val="en-US" w:eastAsia="zh-CN"/>
              </w:rPr>
              <w:t>49</w:t>
            </w:r>
            <w:r>
              <w:rPr>
                <w:rFonts w:hint="eastAsia" w:ascii="仿宋" w:hAnsi="仿宋" w:eastAsia="仿宋" w:cs="仿宋"/>
                <w:lang w:eastAsia="zh-CN"/>
              </w:rPr>
              <w:t>kWh/kWp/天*5</w:t>
            </w:r>
            <w:r>
              <w:rPr>
                <w:rFonts w:hint="eastAsia" w:ascii="仿宋" w:hAnsi="仿宋" w:eastAsia="仿宋" w:cs="仿宋"/>
                <w:lang w:val="en-US" w:eastAsia="zh-CN"/>
              </w:rPr>
              <w:t>956</w:t>
            </w:r>
            <w:r>
              <w:rPr>
                <w:rFonts w:hint="eastAsia" w:ascii="仿宋" w:hAnsi="仿宋" w:eastAsia="仿宋" w:cs="仿宋"/>
                <w:lang w:eastAsia="zh-CN"/>
              </w:rPr>
              <w:t>kwp*360 天=</w:t>
            </w:r>
            <w:r>
              <w:rPr>
                <w:rFonts w:hint="eastAsia" w:ascii="仿宋" w:hAnsi="仿宋" w:eastAsia="仿宋" w:cs="仿宋"/>
                <w:lang w:val="en-US" w:eastAsia="zh-CN"/>
              </w:rPr>
              <w:t>718.07</w:t>
            </w:r>
            <w:r>
              <w:rPr>
                <w:rFonts w:hint="eastAsia" w:ascii="仿宋" w:hAnsi="仿宋" w:eastAsia="仿宋" w:cs="仿宋"/>
                <w:lang w:eastAsia="zh-CN"/>
              </w:rPr>
              <w:t>万kwh。</w:t>
            </w:r>
            <w:r>
              <w:rPr>
                <w:rFonts w:hint="eastAsia" w:ascii="仿宋" w:hAnsi="仿宋" w:eastAsia="仿宋" w:cs="仿宋"/>
                <w:lang w:val="en-US" w:eastAsia="zh-CN"/>
              </w:rPr>
              <w:t>②20</w:t>
            </w:r>
            <w:r>
              <w:rPr>
                <w:rFonts w:hint="eastAsia" w:ascii="仿宋" w:hAnsi="仿宋" w:eastAsia="仿宋" w:cs="仿宋"/>
              </w:rPr>
              <w:t>MW/</w:t>
            </w:r>
            <w:r>
              <w:rPr>
                <w:rFonts w:hint="eastAsia" w:ascii="仿宋" w:hAnsi="仿宋" w:eastAsia="仿宋" w:cs="仿宋"/>
                <w:lang w:val="en-US" w:eastAsia="zh-CN"/>
              </w:rPr>
              <w:t>40</w:t>
            </w:r>
            <w:r>
              <w:rPr>
                <w:rFonts w:hint="eastAsia" w:ascii="仿宋" w:hAnsi="仿宋" w:eastAsia="仿宋" w:cs="仿宋"/>
              </w:rPr>
              <w:t>MWh</w:t>
            </w:r>
            <w:r>
              <w:rPr>
                <w:rFonts w:hint="eastAsia" w:ascii="仿宋" w:hAnsi="仿宋" w:eastAsia="仿宋" w:cs="仿宋"/>
                <w:lang w:val="en-US" w:eastAsia="zh-CN"/>
              </w:rPr>
              <w:t>的储能电站每天放电约为36800kwh*360天=1324.80万kwh</w:t>
            </w:r>
            <w:r>
              <w:rPr>
                <w:rFonts w:hint="eastAsia" w:ascii="仿宋" w:hAnsi="仿宋" w:eastAsia="仿宋" w:cs="仿宋"/>
                <w:color w:val="000000"/>
                <w:szCs w:val="21"/>
                <w:highlight w:val="none"/>
                <w:lang w:val="en-US" w:eastAsia="zh-CN"/>
              </w:rPr>
              <w:t>。</w:t>
            </w: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jc w:val="left"/>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hint="default" w:ascii="仿宋" w:hAnsi="仿宋" w:eastAsia="仿宋" w:cs="宋体"/>
                <w:color w:val="auto"/>
                <w:kern w:val="0"/>
                <w:szCs w:val="21"/>
                <w:highlight w:val="none"/>
                <w:lang w:val="en-US" w:eastAsia="zh-CN" w:bidi="ar"/>
              </w:rPr>
            </w:pPr>
            <w:r>
              <w:rPr>
                <w:rFonts w:hint="eastAsia" w:ascii="仿宋" w:hAnsi="仿宋" w:eastAsia="仿宋" w:cs="宋体"/>
                <w:color w:val="auto"/>
                <w:kern w:val="0"/>
                <w:szCs w:val="21"/>
                <w:highlight w:val="none"/>
                <w:lang w:val="en-US" w:eastAsia="zh-CN" w:bidi="ar"/>
              </w:rPr>
              <w:t>4、销售单价</w:t>
            </w:r>
          </w:p>
        </w:tc>
        <w:tc>
          <w:tcPr>
            <w:tcW w:w="1656" w:type="dxa"/>
            <w:tcBorders>
              <w:tl2br w:val="nil"/>
              <w:tr2bl w:val="nil"/>
            </w:tcBorders>
            <w:noWrap w:val="false"/>
            <w:tcMar>
              <w:top w:w="15" w:type="dxa"/>
              <w:left w:w="15" w:type="dxa"/>
              <w:right w:w="15" w:type="dxa"/>
            </w:tcMar>
            <w:vAlign w:val="center"/>
          </w:tcPr>
          <w:p>
            <w:pPr>
              <w:rPr>
                <w:rFonts w:ascii="仿宋" w:hAnsi="仿宋" w:eastAsia="仿宋" w:cs="宋体"/>
                <w:sz w:val="22"/>
                <w:szCs w:val="22"/>
              </w:rPr>
            </w:pPr>
            <w:r>
              <w:rPr>
                <w:rFonts w:hint="eastAsia" w:ascii="仿宋" w:hAnsi="仿宋" w:eastAsia="仿宋" w:cs="宋体"/>
                <w:sz w:val="22"/>
                <w:szCs w:val="22"/>
              </w:rPr>
              <w:t>①</w:t>
            </w:r>
            <w:r>
              <w:rPr>
                <w:rFonts w:hint="eastAsia" w:ascii="仿宋" w:hAnsi="仿宋" w:eastAsia="仿宋" w:cs="宋体"/>
                <w:sz w:val="22"/>
                <w:szCs w:val="22"/>
                <w:lang w:val="en-US" w:eastAsia="zh-CN"/>
              </w:rPr>
              <w:t>光伏售电价格</w:t>
            </w:r>
            <w:r>
              <w:rPr>
                <w:rFonts w:hint="eastAsia" w:ascii="仿宋" w:hAnsi="仿宋" w:eastAsia="仿宋" w:cs="宋体"/>
                <w:sz w:val="22"/>
                <w:szCs w:val="22"/>
              </w:rPr>
              <w:t>按照</w:t>
            </w:r>
            <w:r>
              <w:rPr>
                <w:rFonts w:hint="eastAsia" w:ascii="仿宋" w:hAnsi="仿宋" w:eastAsia="仿宋" w:cs="宋体"/>
                <w:sz w:val="22"/>
                <w:szCs w:val="22"/>
                <w:highlight w:val="none"/>
                <w:lang w:val="en-US" w:eastAsia="zh-CN"/>
              </w:rPr>
              <w:t>0.57</w:t>
            </w:r>
            <w:r>
              <w:rPr>
                <w:rFonts w:hint="eastAsia" w:ascii="仿宋" w:hAnsi="仿宋" w:eastAsia="仿宋" w:cs="宋体"/>
                <w:sz w:val="22"/>
                <w:szCs w:val="22"/>
              </w:rPr>
              <w:t>元/kwh。</w:t>
            </w:r>
          </w:p>
          <w:p>
            <w:pPr>
              <w:jc w:val="both"/>
              <w:rPr>
                <w:rFonts w:hint="default" w:ascii="仿宋" w:hAnsi="仿宋" w:eastAsia="仿宋" w:cs="宋体"/>
                <w:color w:val="auto"/>
                <w:szCs w:val="21"/>
                <w:lang w:val="en-US" w:eastAsia="zh-CN"/>
              </w:rPr>
            </w:pPr>
            <w:r>
              <w:rPr>
                <w:rFonts w:hint="eastAsia" w:ascii="仿宋" w:hAnsi="仿宋" w:eastAsia="仿宋" w:cs="宋体"/>
                <w:sz w:val="22"/>
                <w:szCs w:val="22"/>
              </w:rPr>
              <w:t>②</w:t>
            </w:r>
            <w:r>
              <w:rPr>
                <w:rFonts w:hint="eastAsia" w:ascii="仿宋" w:hAnsi="仿宋" w:eastAsia="仿宋" w:cs="宋体"/>
                <w:sz w:val="22"/>
                <w:szCs w:val="22"/>
                <w:lang w:val="en-US" w:eastAsia="zh-CN"/>
              </w:rPr>
              <w:t>储能峰谷差价按0.61</w:t>
            </w:r>
            <w:r>
              <w:rPr>
                <w:rFonts w:hint="eastAsia" w:ascii="仿宋" w:hAnsi="仿宋" w:eastAsia="仿宋" w:cs="宋体"/>
                <w:sz w:val="22"/>
                <w:szCs w:val="22"/>
              </w:rPr>
              <w:t>元/kwh</w:t>
            </w:r>
            <w:r>
              <w:rPr>
                <w:rFonts w:hint="eastAsia" w:ascii="仿宋" w:hAnsi="仿宋" w:eastAsia="仿宋" w:cs="宋体"/>
                <w:sz w:val="22"/>
                <w:szCs w:val="22"/>
              </w:rPr>
              <w:t>；</w:t>
            </w:r>
            <w:r>
              <w:rPr>
                <w:rFonts w:ascii="仿宋" w:hAnsi="仿宋" w:eastAsia="仿宋" w:cs="仿宋"/>
                <w:i w:val="false"/>
                <w:strike w:val="false"/>
                <w:color w:val="1C1C1C"/>
                <w:spacing w:val="0"/>
                <w:sz w:val="21"/>
                <w:u w:val="none"/>
                <w:shd w:val="clear" w:color="auto" w:fill="FFFFFF"/>
              </w:rPr>
              <w:t>③600kw液冷充电桩费用按照0.65元/度</w:t>
            </w:r>
          </w:p>
        </w:tc>
        <w:tc>
          <w:tcPr>
            <w:tcW w:w="1379" w:type="dxa"/>
            <w:tcBorders>
              <w:tl2br w:val="nil"/>
              <w:tr2bl w:val="nil"/>
            </w:tcBorders>
            <w:noWrap/>
            <w:tcMar>
              <w:top w:w="15" w:type="dxa"/>
              <w:left w:w="15" w:type="dxa"/>
              <w:right w:w="15" w:type="dxa"/>
            </w:tcMar>
            <w:vAlign w:val="center"/>
          </w:tcPr>
          <w:p>
            <w:pPr>
              <w:rPr>
                <w:rFonts w:ascii="仿宋" w:hAnsi="仿宋" w:eastAsia="仿宋" w:cs="宋体"/>
                <w:sz w:val="22"/>
                <w:szCs w:val="22"/>
              </w:rPr>
            </w:pPr>
            <w:r>
              <w:rPr>
                <w:rFonts w:hint="eastAsia" w:ascii="仿宋" w:hAnsi="仿宋" w:eastAsia="仿宋" w:cs="宋体"/>
                <w:sz w:val="22"/>
                <w:szCs w:val="22"/>
              </w:rPr>
              <w:t>①</w:t>
            </w:r>
            <w:r>
              <w:rPr>
                <w:rFonts w:hint="eastAsia" w:ascii="仿宋" w:hAnsi="仿宋" w:eastAsia="仿宋" w:cs="宋体"/>
                <w:sz w:val="22"/>
                <w:szCs w:val="22"/>
                <w:lang w:val="en-US" w:eastAsia="zh-CN"/>
              </w:rPr>
              <w:t>光伏售电价格</w:t>
            </w:r>
            <w:r>
              <w:rPr>
                <w:rFonts w:hint="eastAsia" w:ascii="仿宋" w:hAnsi="仿宋" w:eastAsia="仿宋" w:cs="宋体"/>
                <w:sz w:val="22"/>
                <w:szCs w:val="22"/>
              </w:rPr>
              <w:t>按照</w:t>
            </w:r>
            <w:r>
              <w:rPr>
                <w:rFonts w:hint="eastAsia" w:ascii="仿宋" w:hAnsi="仿宋" w:eastAsia="仿宋" w:cs="宋体"/>
                <w:sz w:val="22"/>
                <w:szCs w:val="22"/>
                <w:highlight w:val="none"/>
                <w:lang w:val="en-US" w:eastAsia="zh-CN"/>
              </w:rPr>
              <w:t>0.57</w:t>
            </w:r>
            <w:r>
              <w:rPr>
                <w:rFonts w:hint="eastAsia" w:ascii="仿宋" w:hAnsi="仿宋" w:eastAsia="仿宋" w:cs="宋体"/>
                <w:sz w:val="22"/>
                <w:szCs w:val="22"/>
              </w:rPr>
              <w:t>元/kwh。</w:t>
            </w:r>
          </w:p>
          <w:p>
            <w:pPr>
              <w:jc w:val="center"/>
              <w:rPr>
                <w:rFonts w:hint="default" w:ascii="仿宋" w:hAnsi="仿宋" w:eastAsia="仿宋" w:cs="宋体"/>
                <w:color w:val="auto"/>
                <w:szCs w:val="21"/>
                <w:lang w:val="en-US" w:eastAsia="zh-CN"/>
              </w:rPr>
            </w:pPr>
            <w:r>
              <w:rPr>
                <w:rFonts w:hint="eastAsia" w:ascii="仿宋" w:hAnsi="仿宋" w:eastAsia="仿宋" w:cs="宋体"/>
                <w:sz w:val="22"/>
                <w:szCs w:val="22"/>
              </w:rPr>
              <w:t>②</w:t>
            </w:r>
            <w:r>
              <w:rPr>
                <w:rFonts w:hint="eastAsia" w:ascii="仿宋" w:hAnsi="仿宋" w:eastAsia="仿宋" w:cs="宋体"/>
                <w:sz w:val="22"/>
                <w:szCs w:val="22"/>
                <w:lang w:val="en-US" w:eastAsia="zh-CN"/>
              </w:rPr>
              <w:t>储能峰谷差价按0.61</w:t>
            </w:r>
            <w:r>
              <w:rPr>
                <w:rFonts w:hint="eastAsia" w:ascii="仿宋" w:hAnsi="仿宋" w:eastAsia="仿宋" w:cs="宋体"/>
                <w:sz w:val="22"/>
                <w:szCs w:val="22"/>
              </w:rPr>
              <w:t>元/kwh</w:t>
            </w:r>
            <w:r>
              <w:rPr>
                <w:rFonts w:hint="eastAsia" w:ascii="仿宋" w:hAnsi="仿宋" w:eastAsia="仿宋" w:cs="宋体"/>
                <w:sz w:val="22"/>
                <w:szCs w:val="22"/>
              </w:rPr>
              <w:t>；</w:t>
            </w:r>
            <w:r>
              <w:rPr>
                <w:rFonts w:ascii="仿宋" w:hAnsi="仿宋" w:eastAsia="仿宋" w:cs="仿宋"/>
                <w:i w:val="false"/>
                <w:strike w:val="false"/>
                <w:color w:val="1C1C1C"/>
                <w:spacing w:val="0"/>
                <w:sz w:val="21"/>
                <w:u w:val="none"/>
                <w:shd w:val="clear" w:color="auto" w:fill="FFFFFF"/>
              </w:rPr>
              <w:t>③600kw液冷充电桩费用按照0.65元/度</w:t>
            </w:r>
          </w:p>
        </w:tc>
        <w:tc>
          <w:tcPr>
            <w:tcW w:w="3408" w:type="dxa"/>
            <w:tcBorders>
              <w:tl2br w:val="nil"/>
              <w:tr2bl w:val="nil"/>
            </w:tcBorders>
            <w:noWrap/>
            <w:tcMar>
              <w:top w:w="15" w:type="dxa"/>
              <w:left w:w="15" w:type="dxa"/>
              <w:right w:w="15" w:type="dxa"/>
            </w:tcMar>
            <w:vAlign w:val="center"/>
          </w:tcPr>
          <w:p>
            <w:pPr>
              <w:pStyle w:val="00003b"/>
              <w:numPr>
                <w:ilvl w:val="0"/>
                <w:numId w:val="0"/>
              </w:numPr>
              <w:ind/>
              <w:jc w:val="left"/>
              <w:rPr>
                <w:rFonts w:hint="default" w:ascii="仿宋" w:hAnsi="仿宋" w:eastAsia="仿宋" w:cs="宋体"/>
                <w:color w:val="auto"/>
                <w:sz w:val="22"/>
                <w:szCs w:val="22"/>
                <w:highlight w:val="none"/>
                <w:lang w:val="en-US"/>
              </w:rPr>
            </w:pPr>
            <w:r>
              <w:rPr>
                <w:rFonts w:hint="eastAsia" w:ascii="仿宋" w:hAnsi="仿宋" w:eastAsia="仿宋" w:cs="宋体"/>
                <w:color w:val="auto"/>
                <w:sz w:val="22"/>
                <w:szCs w:val="22"/>
                <w:highlight w:val="none"/>
              </w:rPr>
              <w:t>①</w:t>
            </w:r>
            <w:r>
              <w:rPr>
                <w:rFonts w:hint="eastAsia" w:ascii="仿宋" w:hAnsi="仿宋" w:eastAsia="仿宋" w:cs="宋体"/>
                <w:color w:val="auto"/>
                <w:sz w:val="22"/>
                <w:szCs w:val="22"/>
                <w:highlight w:val="none"/>
                <w:lang/>
              </w:rPr>
              <w:t>本项目采用“源网荷储模式”，结合企业河南大成包装材料有限公司年用电量4752万kWh，即年平均用电负荷为44MW左右，,该企业距本项目光伏电站2公里左右（小于20公），根据测算，光伏电站每年发电量为718.07万kWh（3.349kWh/kWp/天*5956kWp*360天），考虑到该企业是24小时生产，白天平谷时段用电1425.60万kWh，本项目光伏发电将直接由该企业100%消纳</w:t>
            </w:r>
            <w:r>
              <w:rPr>
                <w:rFonts w:hint="eastAsia" w:ascii="仿宋" w:hAnsi="仿宋" w:eastAsia="仿宋" w:cs="宋体"/>
                <w:color w:val="auto"/>
                <w:sz w:val="22"/>
                <w:szCs w:val="22"/>
                <w:highlight w:val="none"/>
                <w:lang w:val="en-US" w:eastAsia="zh-CN"/>
              </w:rPr>
              <w:t>，缺口较大。</w:t>
            </w:r>
          </w:p>
          <w:p>
            <w:pPr>
              <w:rPr>
                <w:rFonts w:hint="eastAsia" w:ascii="仿宋" w:hAnsi="仿宋" w:eastAsia="仿宋" w:cs="宋体"/>
                <w:color w:val="auto"/>
                <w:sz w:val="22"/>
                <w:szCs w:val="22"/>
                <w:highlight w:val="none"/>
                <w:lang w:val="en-US" w:eastAsia="zh-CN"/>
              </w:rPr>
            </w:pPr>
            <w:r>
              <w:rPr>
                <w:rFonts w:hint="eastAsia" w:ascii="仿宋" w:hAnsi="仿宋" w:eastAsia="仿宋" w:cs="宋体"/>
                <w:color w:val="auto"/>
                <w:sz w:val="22"/>
                <w:szCs w:val="22"/>
                <w:highlight w:val="none"/>
              </w:rPr>
              <w:t>②根据国网河南省电力公司代理购电工商业用户电价表，本项目电压等级为1-10千伏区间，根据河南省发展改革委发布了《关于调整工商业分时电价有关事项的通知》规定：高峰段为16--24时，低谷时段为0时-次日7时，其余时段为平段，根据生产规律，高峰用电占比39%，平时段用电占比60%，低谷时段用电为1%，光伏发电主要集中在早上8-17点，工商业用电平均电价为0.65元/kWh左右（每月电价有一定浮动），出于谨慎性原则，光伏发电用电电价为0.57元/kWh，暂不考虑电价调幅</w:t>
            </w:r>
            <w:r>
              <w:rPr>
                <w:rFonts w:hint="eastAsia" w:ascii="仿宋" w:hAnsi="仿宋" w:eastAsia="仿宋" w:cs="宋体"/>
                <w:color w:val="auto"/>
                <w:sz w:val="22"/>
                <w:szCs w:val="22"/>
                <w:highlight w:val="none"/>
                <w:lang w:val="en-US" w:eastAsia="zh-CN"/>
              </w:rPr>
              <w:t>，有较强的竞争优势。</w:t>
            </w:r>
          </w:p>
          <w:p>
            <w:pPr>
              <w:ind/>
              <w:jc w:val="center"/>
              <w:rPr>
                <w:rFonts w:hint="default" w:ascii="仿宋" w:hAnsi="仿宋" w:eastAsia="仿宋" w:cs="宋体"/>
                <w:color w:val="000000"/>
                <w:sz w:val="22"/>
                <w:szCs w:val="21"/>
                <w:lang w:val="en-US" w:eastAsia="zh-CN"/>
              </w:rPr>
            </w:pPr>
            <w:r>
              <w:rPr>
                <w:rFonts w:hint="eastAsia" w:ascii="仿宋" w:hAnsi="仿宋" w:eastAsia="仿宋" w:cs="宋体"/>
                <w:color w:val="auto"/>
                <w:sz w:val="22"/>
                <w:szCs w:val="22"/>
                <w:highlight w:val="none"/>
                <w:lang w:val="en-US" w:eastAsia="zh-CN"/>
              </w:rPr>
              <w:t>③本项目储能根据结合近2024年电力公司代理购电工商业用户电价表推算，峰值价差约为0.68元/kwh（未考虑尖峰电价），出于谨慎性原则，项目暂按差价0.61元/kWh测算</w:t>
            </w:r>
            <w:r>
              <w:rPr>
                <w:rFonts w:hint="eastAsia" w:ascii="仿宋" w:hAnsi="仿宋" w:eastAsia="仿宋" w:cs="宋体"/>
                <w:color w:val="auto"/>
                <w:sz w:val="22"/>
                <w:szCs w:val="22"/>
                <w:lang w:eastAsia="zh-CN"/>
              </w:rPr>
              <w:t>。</w:t>
            </w:r>
            <w:r>
              <w:rPr>
                <w:rFonts w:ascii="仿宋" w:hAnsi="仿宋" w:eastAsia="仿宋" w:cs="仿宋"/>
                <w:i w:val="false"/>
                <w:strike w:val="false"/>
                <w:color w:val="333333"/>
                <w:spacing w:val="0"/>
                <w:sz w:val="22"/>
                <w:u w:val="none"/>
                <w:shd w:val="clear" w:color="auto" w:fill="FFFFFF"/>
              </w:rPr>
              <w:t>④项目设置600kw液冷充电桩5个。项目充电桩所使用电力全部由光伏车棚及储能模块提供，考虑到本项目的服务群体和区位，定价不宜过高，本次充电费用将按照0.35元/度充电电费及0.3元/度充电服务费，合计充电桩使用费为0.65元/千瓦时计算</w:t>
            </w:r>
          </w:p>
        </w:tc>
      </w:tr>
      <w:tr>
        <w:trPr>
          <w:trHeight w:val="336" w:hRule="atLeast"/>
          <w:jc w:val="center"/>
        </w:trPr>
        <w:tc>
          <w:tcPr>
            <w:tcW w:w="1519" w:type="dxa"/>
            <w:vMerge w:val="restart"/>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贷款偿还能力</w:t>
            </w: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lang w:bidi="ar"/>
              </w:rPr>
              <w:t>项目贷款偿还期（年或月）</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12</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12</w:t>
            </w:r>
          </w:p>
        </w:tc>
        <w:tc>
          <w:tcPr>
            <w:tcW w:w="3408"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p>
        </w:tc>
      </w:tr>
      <w:tr>
        <w:trPr>
          <w:trHeight w:val="336" w:hRule="atLeast"/>
          <w:jc w:val="center"/>
        </w:trPr>
        <w:tc>
          <w:tcPr>
            <w:tcW w:w="1519" w:type="dxa"/>
            <w:vMerge w:val="continue"/>
            <w:tcBorders>
              <w:tl2br w:val="nil"/>
              <w:tr2bl w:val="nil"/>
            </w:tcBorders>
            <w:noWrap w:val="false"/>
            <w:tcMar>
              <w:top w:w="15" w:type="dxa"/>
              <w:left w:w="15" w:type="dxa"/>
              <w:right w:w="15" w:type="dxa"/>
            </w:tcMar>
            <w:vAlign w:val="center"/>
          </w:tcPr>
          <w:p>
            <w:pPr>
              <w:widowControl/>
              <w:jc w:val="left"/>
              <w:textAlignment w:val="center"/>
              <w:rPr>
                <w:rFonts w:ascii="仿宋" w:hAnsi="仿宋" w:eastAsia="仿宋" w:cs="宋体"/>
                <w:color w:val="000000"/>
                <w:szCs w:val="21"/>
              </w:rPr>
            </w:pPr>
          </w:p>
        </w:tc>
        <w:tc>
          <w:tcPr>
            <w:tcW w:w="1780" w:type="dxa"/>
            <w:tcBorders>
              <w:tl2br w:val="nil"/>
              <w:tr2bl w:val="nil"/>
            </w:tcBorders>
            <w:noWrap w:val="false"/>
            <w:tcMar>
              <w:top w:w="15" w:type="dxa"/>
              <w:left w:w="15" w:type="dxa"/>
              <w:right w:w="15" w:type="dxa"/>
            </w:tcMar>
            <w:vAlign w:val="center"/>
          </w:tcPr>
          <w:p>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lang w:bidi="ar"/>
              </w:rPr>
              <w:t>平均偿债备付率</w:t>
            </w:r>
          </w:p>
        </w:tc>
        <w:tc>
          <w:tcPr>
            <w:tcW w:w="1656" w:type="dxa"/>
            <w:tcBorders>
              <w:tl2br w:val="nil"/>
              <w:tr2bl w:val="nil"/>
            </w:tcBorders>
            <w:noWrap w:val="false"/>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1.18</w:t>
            </w:r>
          </w:p>
        </w:tc>
        <w:tc>
          <w:tcPr>
            <w:tcW w:w="1379"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1.18</w:t>
            </w:r>
          </w:p>
        </w:tc>
        <w:tc>
          <w:tcPr>
            <w:tcW w:w="3408" w:type="dxa"/>
            <w:tcBorders>
              <w:tl2br w:val="nil"/>
              <w:tr2bl w:val="nil"/>
            </w:tcBorders>
            <w:noWrap/>
            <w:tcMar>
              <w:top w:w="15" w:type="dxa"/>
              <w:left w:w="15" w:type="dxa"/>
              <w:right w:w="15" w:type="dxa"/>
            </w:tcMar>
            <w:vAlign w:val="center"/>
          </w:tcPr>
          <w:p>
            <w:pPr>
              <w:jc w:val="center"/>
              <w:rPr>
                <w:rFonts w:hint="default" w:ascii="仿宋" w:hAnsi="仿宋" w:eastAsia="仿宋" w:cs="宋体"/>
                <w:color w:val="000000"/>
                <w:szCs w:val="21"/>
                <w:lang w:val="en-US" w:eastAsia="zh-CN"/>
              </w:rPr>
            </w:pPr>
          </w:p>
        </w:tc>
      </w:tr>
    </w:tbl>
    <w:p>
      <w:pPr>
        <w:autoSpaceDE w:val="false"/>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二、项目评估结论</w:t>
      </w:r>
    </w:p>
    <w:p>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（一）总评价</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default" w:ascii="仿宋" w:hAnsi="仿宋" w:eastAsia="仿宋" w:cs="宋体"/>
          <w:b w:val="false"/>
          <w:bCs w:val="false"/>
          <w:color w:val="000000"/>
          <w:sz w:val="24"/>
          <w:szCs w:val="24"/>
          <w:lang w:val="en-US" w:eastAsia="zh-CN"/>
        </w:rPr>
      </w:pPr>
      <w:r>
        <w:rPr>
          <w:rFonts w:hint="eastAsia" w:ascii="仿宋" w:hAnsi="仿宋" w:eastAsia="仿宋" w:cs="宋体"/>
          <w:b w:val="false"/>
          <w:bCs w:val="false"/>
          <w:sz w:val="24"/>
          <w:szCs w:val="24"/>
          <w:lang w:val="en-US" w:eastAsia="zh-CN"/>
        </w:rPr>
        <w:t>该项目为河南大成包装材料有限公司源网荷储一体化项，位于新乡市获嘉县先进制造业开发区梧桐路与安王公路交叉口东南角获嘉县产业集聚区创业孵化园区内，项目在园区内部厂房屋顶及闲置空地上安装分布式光伏发电装置，容量为5956KW，</w:t>
      </w:r>
      <w:r>
        <w:rPr>
          <w:rFonts w:hint="eastAsia" w:ascii="仿宋" w:hAnsi="仿宋" w:eastAsia="仿宋" w:cs="宋体"/>
          <w:b w:val="false"/>
          <w:bCs w:val="false"/>
          <w:color w:val="000000"/>
          <w:sz w:val="24"/>
          <w:szCs w:val="24"/>
          <w:lang w:val="en-US" w:eastAsia="zh-CN"/>
        </w:rPr>
        <w:t>建设用户侧储能设备，总规模达到20MW/40MWh（其中包含3MW储能换电模块），此外，项目规划安装5个600kw液冷光储充电桩和其他等量充电桩，并同步实施园区其他相关配套工程，通过源网荷储一体化方案，项目所产出的新能源电力将直供给大成包装使用。</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项目投产运营后主要收入为光伏售电收入、储能峰谷套利收入、及光储充电桩收入。本项目所产出绿色电能利用“源网荷储”模式全部出售给距离项目2公里的河南大成包装材料有限公司使用，同时配合储能进行调峰。项目所出售电力价格远远低于商业及工业使用电网价格，优势较大，项目投资回报稳定。</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项目总投资8767.59万元，资金来源包括项目资本金1767.59万元，申请银行贷款7000.00万元，项目资本金比例20.16%，符合项目贷款最低管理要求。根据可研本项目共涉及9栋厂房屋顶及部分闲置空地均为获嘉县产业集聚区创业孵化园有限公司名下。因河南中原智慧冷链物流园管理运营有限公司已与获嘉县产业集聚区创业孵化园有限公司同为获嘉县产业集聚区运营发展服务有限公司的全资子公司，项目所使用工业厂房屋顶及闲置空地已签订屋顶租赁使用协议。项目所涉及屋顶情况如下：</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jc w:val="center"/>
        <w:textAlignment w:val="auto"/>
        <w:rPr>
          <w:rFonts w:hint="default"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占用屋顶及空地情况</w:t>
      </w:r>
    </w:p>
    <w:tbl>
      <w:tblPr>
        <w:tblStyle w:val="00000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8"/>
        <w:gridCol w:w="1801"/>
        <w:gridCol w:w="2828"/>
        <w:gridCol w:w="2799"/>
      </w:tblGrid>
      <w:tr>
        <w:trPr>
          <w:trHeight w:val="384"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bCs/>
                <w:i w:val="false"/>
                <w:iCs w:val="false"/>
                <w:color w:val="000000"/>
                <w:spacing w:val="0"/>
                <w:sz w:val="18"/>
                <w:szCs w:val="18"/>
                <w:vertAlign w:val="baseline"/>
              </w:rPr>
              <w:t>序号</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bCs/>
                <w:i w:val="false"/>
                <w:iCs w:val="false"/>
                <w:color w:val="000000"/>
                <w:spacing w:val="0"/>
                <w:sz w:val="18"/>
                <w:szCs w:val="18"/>
                <w:vertAlign w:val="baseline"/>
              </w:rPr>
              <w:t>名称</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bCs/>
                <w:i w:val="false"/>
                <w:iCs w:val="false"/>
                <w:color w:val="000000"/>
                <w:spacing w:val="0"/>
                <w:sz w:val="18"/>
                <w:szCs w:val="18"/>
                <w:vertAlign w:val="baseline"/>
              </w:rPr>
              <w:t>基底面积(m²)</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bCs/>
                <w:i w:val="false"/>
                <w:iCs w:val="false"/>
                <w:color w:val="000000"/>
                <w:spacing w:val="0"/>
                <w:sz w:val="18"/>
                <w:szCs w:val="18"/>
                <w:vertAlign w:val="baseline"/>
              </w:rPr>
              <w:t>总建筑面积(²)</w:t>
            </w:r>
          </w:p>
        </w:tc>
      </w:tr>
      <w:tr>
        <w:trPr>
          <w:trHeight w:val="19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2616.38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5232.76</w:t>
            </w:r>
          </w:p>
        </w:tc>
      </w:tr>
      <w:tr>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3879.37</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7758.74</w:t>
            </w:r>
          </w:p>
        </w:tc>
      </w:tr>
      <w:tr>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3</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5780.76</w:t>
            </w:r>
          </w:p>
        </w:tc>
      </w:tr>
      <w:tr>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6#厂房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3399.42</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6798.84</w:t>
            </w:r>
          </w:p>
        </w:tc>
      </w:tr>
      <w:tr>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8#厂房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5780.76</w:t>
            </w:r>
          </w:p>
        </w:tc>
      </w:tr>
      <w:tr>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6</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9#厂房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5780.76</w:t>
            </w:r>
          </w:p>
        </w:tc>
      </w:tr>
      <w:tr>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10#厂房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r>
      <w:tr>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8</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11#厂房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r>
      <w:tr>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12#厂房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4321.26</w:t>
            </w:r>
          </w:p>
        </w:tc>
      </w:tr>
      <w:tr>
        <w:trPr>
          <w:trHeight w:val="205"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合计</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31530.09</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50096.4</w:t>
            </w:r>
          </w:p>
        </w:tc>
      </w:tr>
      <w:tr>
        <w:trPr>
          <w:trHeight w:val="284"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可使用空闲区域占用面积</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12267.68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lang w:val="en-US"/>
              </w:rPr>
              <w:t> </w:t>
            </w:r>
          </w:p>
        </w:tc>
      </w:tr>
      <w:tr>
        <w:trPr>
          <w:trHeight w:val="205"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共合计</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rPr>
              <w:t>42807.95</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pPr>
              <w:pStyle w:val="00001a"/>
              <w:keepNext w:val="false"/>
              <w:keepLines w:val="false"/>
              <w:widowControl/>
              <w:suppressLineNumbers w:val="false"/>
              <w:spacing w:before="0" w:beforeAutospacing="false" w:after="0" w:afterAutospacing="false"/>
              <w:ind w:left="0" w:right="0"/>
              <w:jc w:val="center"/>
              <w:rPr>
                <w:rFonts w:hint="eastAsia" w:ascii="仿宋" w:hAnsi="仿宋" w:eastAsia="仿宋" w:cs="仿宋"/>
                <w:sz w:val="18"/>
                <w:szCs w:val="18"/>
              </w:rPr>
            </w:pPr>
            <w:r>
              <w:rPr>
                <w:rFonts w:hint="eastAsia" w:ascii="仿宋" w:hAnsi="仿宋" w:eastAsia="仿宋" w:cs="仿宋"/>
                <w:b w:val="false"/>
                <w:bCs w:val="false"/>
                <w:i w:val="false"/>
                <w:iCs w:val="false"/>
                <w:color w:val="000000"/>
                <w:spacing w:val="0"/>
                <w:sz w:val="18"/>
                <w:szCs w:val="18"/>
                <w:vertAlign w:val="baseline"/>
                <w:lang w:val="en-US"/>
              </w:rPr>
              <w:t> </w:t>
            </w:r>
          </w:p>
        </w:tc>
      </w:tr>
    </w:tbl>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Times New Roman"/>
          <w:snapToGrid w:val="false"/>
          <w:kern w:val="0"/>
          <w:sz w:val="24"/>
          <w:lang w:val="en-US" w:eastAsia="zh-CN"/>
        </w:rPr>
      </w:pPr>
      <w:r>
        <w:rPr>
          <w:rFonts w:hint="eastAsia" w:ascii="仿宋" w:hAnsi="仿宋" w:eastAsia="仿宋" w:cs="宋体"/>
          <w:b w:val="false"/>
          <w:bCs w:val="false"/>
          <w:sz w:val="24"/>
          <w:szCs w:val="24"/>
          <w:highlight w:val="none"/>
          <w:lang w:val="en-US" w:eastAsia="zh-CN"/>
        </w:rPr>
        <w:t>项目总投8767.59万元，其中银行融资7000.00万元，资本金比例20.16%，经测算在计算期内（12年），</w:t>
      </w:r>
      <w:r>
        <w:rPr>
          <w:rFonts w:hint="eastAsia" w:ascii="仿宋" w:hAnsi="仿宋" w:eastAsia="仿宋" w:cs="Times New Roman"/>
          <w:snapToGrid w:val="false"/>
          <w:kern w:val="0"/>
          <w:sz w:val="24"/>
          <w:highlight w:val="none"/>
          <w:lang w:val="en-US" w:eastAsia="zh-CN"/>
        </w:rPr>
        <w:t>项目销售利润率为29.55%，投资利润率为48.37%，项目经济效益较好；项目财务内部收益率（税后）7.98</w:t>
      </w:r>
      <w:r>
        <w:rPr>
          <w:rFonts w:hint="default" w:ascii="仿宋" w:hAnsi="仿宋" w:eastAsia="仿宋" w:cs="Times New Roman"/>
          <w:snapToGrid w:val="false"/>
          <w:kern w:val="0"/>
          <w:sz w:val="24"/>
          <w:highlight w:val="none"/>
          <w:lang w:val="en-US" w:eastAsia="zh-CN"/>
        </w:rPr>
        <w:t>%</w:t>
      </w:r>
      <w:r>
        <w:rPr>
          <w:rFonts w:hint="eastAsia" w:ascii="仿宋" w:hAnsi="仿宋" w:eastAsia="仿宋" w:cs="Times New Roman"/>
          <w:snapToGrid w:val="false"/>
          <w:kern w:val="0"/>
          <w:sz w:val="24"/>
          <w:highlight w:val="none"/>
          <w:lang w:val="en-US" w:eastAsia="zh-CN"/>
        </w:rPr>
        <w:t>（大于折现率4.2%），项目财务收益净现值（税后）2151.65万元，项目经济效益可行；资金成本5%，低于项目财务内部收益率（税后）7.98%，项目融资可行；</w:t>
      </w:r>
      <w:r>
        <w:rPr>
          <w:rFonts w:hint="eastAsia" w:ascii="仿宋" w:hAnsi="仿宋" w:eastAsia="仿宋" w:cs="Times New Roman"/>
          <w:snapToGrid w:val="false"/>
          <w:kern w:val="0"/>
          <w:sz w:val="24"/>
          <w:lang w:val="en-US" w:eastAsia="zh-CN"/>
        </w:rPr>
        <w:t>我行贷款偿还期12年，平均偿债备付率1.18，</w:t>
      </w:r>
      <w:r>
        <w:rPr>
          <w:rFonts w:hint="eastAsia" w:ascii="仿宋" w:hAnsi="仿宋" w:eastAsia="仿宋" w:cs="Times New Roman"/>
          <w:snapToGrid w:val="false"/>
          <w:kern w:val="0"/>
          <w:sz w:val="24"/>
          <w:highlight w:val="none"/>
          <w:lang w:val="en-US" w:eastAsia="zh-CN"/>
        </w:rPr>
        <w:t>项目盈亏平衡点50.92%，具备一定抗风险能力。</w:t>
      </w:r>
    </w:p>
    <w:p>
      <w:pPr>
        <w:spacing w:line="360" w:lineRule="auto"/>
        <w:ind w:firstLine="562" w:firstLineChars="200"/>
        <w:rPr>
          <w:rFonts w:hint="eastAsia" w:ascii="仿宋" w:hAnsi="仿宋" w:eastAsia="仿宋" w:cs="Times New Roman"/>
          <w:snapToGrid w:val="false"/>
          <w:kern w:val="0"/>
          <w:sz w:val="24"/>
          <w:szCs w:val="24"/>
          <w:highlight w:val="yellow"/>
          <w:lang w:val="en-US" w:eastAsia="zh-CN" w:bidi="ar-SA"/>
        </w:rPr>
      </w:pPr>
      <w:r>
        <w:rPr>
          <w:rFonts w:hint="eastAsia" w:ascii="仿宋" w:hAnsi="仿宋" w:eastAsia="仿宋" w:cstheme="minorEastAsia"/>
          <w:b/>
          <w:bCs/>
          <w:sz w:val="28"/>
          <w:szCs w:val="28"/>
        </w:rPr>
        <w:t>（二）项目参与人评价结论</w:t>
      </w:r>
    </w:p>
    <w:p>
      <w:pPr>
        <w:overflowPunct w:val="false"/>
        <w:snapToGrid w:val="false"/>
        <w:spacing w:line="360" w:lineRule="auto"/>
        <w:ind w:firstLine="480" w:firstLineChars="200"/>
        <w:textAlignment w:val="bottom"/>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项目建设主体为河南中原智慧冷链物流园管理运营有限公司，该公司成立于2021年12月02日成立，法定代表人马金全，注册资金100万元整。经营范围：一般项目：园区管理服务；商业综合体管理服务；供应链管理服务；税务服务；信息咨询服务（不含许可类信息咨询服务）；社会经济咨询服务；环保咨询服务；安全咨询服务；会议及展览服务；企业管理咨询；劳务服务（不含劳务派遣）；融资咨询服务；食品销售（仅销售预包装食品）；农产品的生产、销售、加工、运输、贮藏及其他相关服务；初级农产品收购；普通货物仓储服务（不含危险化学品等需许可审批的项目）；低温仓储（不含危险化学品等需许可审批的项目）；国内货物运输代理；林业产品销售；木材销售；礼品花卉销售；建筑材料销售；金属材料销售（除依法须经批准的项目外，凭营业执照依法自主开展经营活动）。</w:t>
      </w:r>
    </w:p>
    <w:p>
      <w:pPr>
        <w:overflowPunct w:val="false"/>
        <w:snapToGrid w:val="false"/>
        <w:spacing w:line="360" w:lineRule="auto"/>
        <w:ind w:firstLine="480" w:firstLineChars="200"/>
        <w:textAlignment w:val="bottom"/>
        <w:rPr>
          <w:rFonts w:hint="eastAsia" w:ascii="仿宋" w:hAnsi="仿宋" w:eastAsia="仿宋" w:cstheme="minorEastAsia"/>
          <w:b/>
          <w:bCs/>
          <w:sz w:val="28"/>
          <w:szCs w:val="28"/>
        </w:rPr>
      </w:pPr>
      <w:r>
        <w:rPr>
          <w:rFonts w:hint="eastAsia" w:ascii="仿宋" w:hAnsi="仿宋" w:eastAsia="仿宋"/>
          <w:kern w:val="0"/>
          <w:sz w:val="24"/>
          <w:szCs w:val="24"/>
          <w:lang w:val="en-US" w:eastAsia="zh-CN"/>
        </w:rPr>
        <w:t>河南中原智慧冷链物流园管理运营有限公司为获嘉县产业集聚区运营发展服务有限公司全资子公司</w:t>
      </w:r>
      <w:r>
        <w:rPr>
          <w:rFonts w:hint="eastAsia" w:ascii="仿宋" w:hAnsi="仿宋" w:eastAsia="仿宋"/>
          <w:kern w:val="0"/>
          <w:sz w:val="24"/>
          <w:szCs w:val="24"/>
          <w:highlight w:val="none"/>
          <w:lang w:val="en-US" w:eastAsia="zh-CN"/>
        </w:rPr>
        <w:t>，实际控制人为获嘉县国有资产事务中心，对本项目具备一定的出资能力。</w:t>
      </w:r>
    </w:p>
    <w:p>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（三）项目概况与回报模式评估结论</w:t>
      </w:r>
    </w:p>
    <w:p>
      <w:pPr>
        <w:spacing w:line="360" w:lineRule="auto"/>
        <w:ind w:firstLine="480" w:firstLineChars="200"/>
        <w:rPr>
          <w:rFonts w:ascii="仿宋" w:hAnsi="仿宋" w:eastAsia="仿宋" w:cstheme="minorEastAsia"/>
          <w:b/>
          <w:bCs/>
          <w:sz w:val="28"/>
          <w:szCs w:val="28"/>
        </w:rPr>
      </w:pPr>
      <w:r>
        <w:rPr>
          <w:rFonts w:hint="eastAsia" w:ascii="仿宋" w:hAnsi="仿宋" w:eastAsia="仿宋" w:cs="宋体"/>
          <w:b w:val="false"/>
          <w:bCs w:val="false"/>
          <w:kern w:val="2"/>
          <w:sz w:val="24"/>
          <w:szCs w:val="24"/>
          <w:highlight w:val="none"/>
          <w:lang w:val="en-US" w:eastAsia="zh-CN" w:bidi="ar-SA"/>
        </w:rPr>
        <w:t>本项目已经取得获嘉县发改委备案、无需环评登记说明、取得获嘉县住建局无需办理施工许可证的情况说明和获嘉县自然资源局无需办理建设用地规划许可证及建设工程规划许可证的情况说明。本项目采用“源网荷储模式”，结合企业河南大成包装材料有限公司年用电量4752万kWh，即年平均用电负荷为44MW左右，,该企业距本项目光伏电站2公里左右（小于20公），根据测算，光伏电站每年发电量为718.07万kWh（3.349kWh/kWp/天*5956kWp*360天），考虑到该企业是24小时生产，白天平谷时段用电1425.60万kWh，本项目光伏发电将直接由该企业100%消纳，用电缺口较大，项目产出电能能够自我消纳无需上网售电。该项目收入来源稳定，回报模式清晰；目前我国光伏技术成熟，光伏相关设备由龙头企业供应，项目投产运营能够得到保障。</w:t>
      </w:r>
    </w:p>
    <w:p>
      <w:pPr>
        <w:autoSpaceDE w:val="false"/>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（四）项目市场评估结论</w:t>
      </w:r>
    </w:p>
    <w:p>
      <w:pPr>
        <w:pageBreakBefore w:val="false"/>
        <w:widowControl w:val="false"/>
        <w:kinsoku/>
        <w:wordWrap/>
        <w:overflowPunct/>
        <w:topLinePunct w:val="false"/>
        <w:autoSpaceDE/>
        <w:autoSpaceDN/>
        <w:bidi w:val="false"/>
        <w:adjustRightInd/>
        <w:snapToGrid/>
        <w:spacing w:line="360" w:lineRule="auto"/>
        <w:ind w:firstLine="480" w:firstLineChars="200"/>
        <w:textAlignment w:val="auto"/>
        <w:outlineLvl w:val="9"/>
        <w:rPr>
          <w:rFonts w:hint="eastAsia"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1.本项目采用“源网荷储模式”，结合企业河南大成包装材料有限公司年用电量4752万kWh，即年平均用电负荷为44MW左右，,该企业距本项目光伏电站2公里左右（小于20公），根据测算，光伏电站每年发电量为718.07万kWh（3.349kWh/kWp/天*5956kWp*360天），考虑到该企业是24小时生产，白天平谷时段用电1425.60万kWh，本项目所产出绿色电力能源不足以满足使用，目标市场环境较好，容量缺口较大。</w:t>
      </w:r>
    </w:p>
    <w:p>
      <w:pPr>
        <w:pageBreakBefore w:val="false"/>
        <w:widowControl w:val="false"/>
        <w:kinsoku/>
        <w:wordWrap/>
        <w:overflowPunct/>
        <w:topLinePunct w:val="false"/>
        <w:autoSpaceDE/>
        <w:autoSpaceDN/>
        <w:bidi w:val="false"/>
        <w:adjustRightInd/>
        <w:snapToGrid/>
        <w:spacing w:line="360" w:lineRule="auto"/>
        <w:ind w:firstLine="480" w:firstLineChars="200"/>
        <w:textAlignment w:val="auto"/>
        <w:outlineLvl w:val="9"/>
        <w:rPr>
          <w:rFonts w:ascii="仿宋" w:hAnsi="仿宋" w:eastAsia="仿宋" w:cstheme="minorEastAsia"/>
          <w:b/>
          <w:bCs/>
          <w:sz w:val="28"/>
          <w:szCs w:val="28"/>
        </w:rPr>
      </w:pPr>
      <w:r>
        <w:rPr>
          <w:rFonts w:hint="eastAsia" w:ascii="仿宋" w:hAnsi="仿宋" w:eastAsia="仿宋" w:cs="宋体"/>
          <w:b w:val="false"/>
          <w:bCs w:val="false"/>
          <w:kern w:val="2"/>
          <w:sz w:val="24"/>
          <w:szCs w:val="24"/>
          <w:highlight w:val="none"/>
          <w:lang w:val="en-US" w:eastAsia="zh-CN" w:bidi="ar-SA"/>
        </w:rPr>
        <w:t>2.企业通过使用绿色能源供电相较于使用传统供电，可以获得更低的电价，从而在节省企业运营成本方面具有显著的优势。本项目新能源供电采取光伏发电储能调峰，其生产过程无需消耗有限资源，且不产生温室气体排放，因此在价格上往往更为优惠。其次，政府针对可再生能源的政策支持，如补贴和税收优惠，降低了绿色电力的购买成本。这些政策措施进一步降低了企业的用电成本，帮助企业节省运营费用，也能够为</w:t>
      </w:r>
      <w:r>
        <w:rPr>
          <w:rFonts w:hint="eastAsia" w:ascii="仿宋" w:hAnsi="仿宋" w:eastAsia="仿宋" w:cs="宋体"/>
          <w:b w:val="false"/>
          <w:bCs w:val="false"/>
          <w:kern w:val="2"/>
          <w:sz w:val="24"/>
          <w:szCs w:val="24"/>
          <w:highlight w:val="none"/>
          <w:lang w:val="en-US" w:eastAsia="zh-CN" w:bidi="ar-SA"/>
        </w:rPr>
        <w:t>获嘉</w:t>
      </w:r>
      <w:r>
        <w:rPr>
          <w:rFonts w:hint="eastAsia" w:ascii="仿宋" w:hAnsi="仿宋" w:eastAsia="仿宋" w:cs="宋体"/>
          <w:b w:val="false"/>
          <w:bCs w:val="false"/>
          <w:kern w:val="2"/>
          <w:sz w:val="24"/>
          <w:szCs w:val="24"/>
          <w:highlight w:val="none"/>
          <w:lang w:val="en-US" w:eastAsia="zh-CN" w:bidi="ar-SA"/>
        </w:rPr>
        <w:t>县推动“双碳”政策起到促进作用。本项目符合政策规划导向，具有充沛的现金流可行性较强。</w:t>
      </w:r>
    </w:p>
    <w:p>
      <w:pPr>
        <w:autoSpaceDE w:val="false"/>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（五）投资估算与筹资方案评估结论</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jc w:val="left"/>
        <w:textAlignment w:val="auto"/>
        <w:rPr>
          <w:rFonts w:ascii="仿宋" w:hAnsi="仿宋" w:eastAsia="仿宋" w:cstheme="minorEastAsia"/>
          <w:b/>
          <w:bCs/>
          <w:sz w:val="28"/>
          <w:szCs w:val="28"/>
        </w:rPr>
      </w:pPr>
      <w:r>
        <w:rPr>
          <w:rFonts w:hint="eastAsia" w:ascii="仿宋" w:hAnsi="仿宋" w:eastAsia="仿宋" w:cs="Times New Roman"/>
          <w:snapToGrid w:val="false"/>
          <w:kern w:val="0"/>
          <w:sz w:val="24"/>
          <w:szCs w:val="24"/>
          <w:lang w:val="en-US" w:eastAsia="zh-CN" w:bidi="ar-SA"/>
        </w:rPr>
        <w:t>项目总投资8767.59万元，资金来源包括项目资本金1767.59万元，申请银行贷款7000.00万元，项目资本金比例20.16%，符合项目贷款最低管理要求。项目资本金投入符合我行固定资产管理办法，但经营单位需持续关注申请人对项目资本金的出资能力，保证项目无资金缺口。</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（六）财务效益与偿债能力评估结论</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jc w:val="left"/>
        <w:textAlignment w:val="auto"/>
        <w:rPr>
          <w:rFonts w:ascii="仿宋" w:hAnsi="仿宋" w:eastAsia="仿宋" w:cstheme="minorEastAsia"/>
          <w:b/>
          <w:bCs/>
          <w:sz w:val="28"/>
          <w:szCs w:val="28"/>
        </w:rPr>
      </w:pPr>
      <w:r>
        <w:rPr>
          <w:rFonts w:hint="eastAsia" w:ascii="仿宋" w:hAnsi="仿宋" w:eastAsia="仿宋" w:cs="Times New Roman"/>
          <w:snapToGrid w:val="false"/>
          <w:kern w:val="0"/>
          <w:sz w:val="24"/>
          <w:szCs w:val="24"/>
          <w:lang w:val="en-US" w:eastAsia="zh-CN" w:bidi="ar-SA"/>
        </w:rPr>
        <w:t>经评估，</w:t>
      </w:r>
      <w:r>
        <w:rPr>
          <w:rFonts w:hint="eastAsia" w:ascii="仿宋" w:hAnsi="仿宋" w:eastAsia="仿宋" w:cs="Times New Roman"/>
          <w:snapToGrid w:val="false"/>
          <w:kern w:val="0"/>
          <w:sz w:val="24"/>
          <w:szCs w:val="24"/>
          <w:highlight w:val="none"/>
          <w:lang w:val="en-US" w:eastAsia="zh-CN" w:bidi="ar-SA"/>
        </w:rPr>
        <w:t>项目计算期内（12年），</w:t>
      </w:r>
      <w:r>
        <w:rPr>
          <w:rFonts w:hint="eastAsia" w:ascii="仿宋" w:hAnsi="仿宋" w:eastAsia="仿宋" w:cs="宋体"/>
          <w:bCs/>
          <w:sz w:val="24"/>
          <w:highlight w:val="none"/>
          <w:lang w:val="en-US" w:eastAsia="zh-CN"/>
        </w:rPr>
        <w:t>项目销售利润率29.55%，具备一定盈利能力；投资利润率48.37%，项目财务内部收益率（税后）7.98高于折现率4.2%，经济效益一般，平均偿债备付率为1.18、债务期内的</w:t>
      </w:r>
      <w:r>
        <w:rPr>
          <w:rFonts w:ascii="仿宋" w:hAnsi="仿宋" w:eastAsia="仿宋" w:cs="仿宋"/>
          <w:i w:val="false"/>
          <w:strike w:val="false"/>
          <w:spacing w:val="0"/>
          <w:sz w:val="24"/>
          <w:u w:val="none"/>
        </w:rPr>
        <w:t>利息备付率</w:t>
      </w:r>
      <w:r>
        <w:rPr>
          <w:rFonts w:hint="eastAsia" w:ascii="仿宋" w:hAnsi="仿宋" w:eastAsia="仿宋" w:cs="宋体"/>
          <w:bCs/>
          <w:sz w:val="24"/>
          <w:highlight w:val="none"/>
          <w:lang w:val="en-US" w:eastAsia="zh-CN"/>
        </w:rPr>
        <w:t>比率5.12，盈亏平衡点为50.92%，运营期间偿债能力较强</w:t>
      </w:r>
      <w:r>
        <w:rPr>
          <w:rFonts w:hint="eastAsia" w:ascii="仿宋" w:hAnsi="仿宋" w:eastAsia="仿宋" w:cs="宋体"/>
          <w:bCs/>
          <w:sz w:val="24"/>
          <w:highlight w:val="none"/>
        </w:rPr>
        <w:t>。</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（七）不确定性分析</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经评估，项目计算期内，盈亏平衡点50.92</w:t>
      </w:r>
      <w:r>
        <w:rPr>
          <w:rFonts w:hint="eastAsia" w:ascii="仿宋" w:hAnsi="仿宋" w:eastAsia="仿宋" w:cs="宋体"/>
          <w:bCs/>
          <w:sz w:val="24"/>
          <w:highlight w:val="none"/>
        </w:rPr>
        <w:t>%</w:t>
      </w:r>
      <w:r>
        <w:rPr>
          <w:rFonts w:hint="eastAsia" w:ascii="仿宋" w:hAnsi="仿宋" w:eastAsia="仿宋" w:cs="宋体"/>
          <w:bCs/>
          <w:sz w:val="24"/>
          <w:highlight w:val="none"/>
          <w:lang w:eastAsia="zh-CN"/>
        </w:rPr>
        <w:t>，</w:t>
      </w:r>
      <w:r>
        <w:rPr>
          <w:rFonts w:hint="eastAsia" w:ascii="仿宋" w:hAnsi="仿宋" w:eastAsia="仿宋" w:cs="宋体"/>
          <w:bCs/>
          <w:sz w:val="24"/>
          <w:highlight w:val="none"/>
          <w:lang w:val="en-US" w:eastAsia="zh-CN"/>
        </w:rPr>
        <w:t>具备一定抗风险能力、</w:t>
      </w:r>
      <w:r>
        <w:rPr>
          <w:rFonts w:hint="eastAsia" w:ascii="仿宋" w:hAnsi="仿宋" w:eastAsia="仿宋" w:cs="仿宋"/>
          <w:kern w:val="2"/>
          <w:sz w:val="24"/>
          <w:szCs w:val="24"/>
          <w:highlight w:val="none"/>
          <w:u w:val="none"/>
          <w:lang w:val="en-US" w:eastAsia="zh-CN" w:bidi="ar-SA"/>
        </w:rPr>
        <w:t>盈利能力，受总投资、收入变化影响较大。项目已经与园区企业签订用电意向协议。</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根据敏感性分析来看，建设总投资上涨5%、出售价格或产能利用率下降5%，都不会导致所得税后内部收益率小于项目折现率，项目经济上可行。</w:t>
      </w:r>
    </w:p>
    <w:p>
      <w:pPr>
        <w:keepNext w:val="false"/>
        <w:keepLines w:val="false"/>
        <w:pageBreakBefore w:val="false"/>
        <w:widowControl w:val="false"/>
        <w:pBdr>
          <w:bottom w:val="none" w:color="auto" w:sz="0" w:space="0"/>
        </w:pBdr>
        <w:kinsoku/>
        <w:wordWrap/>
        <w:overflowPunct/>
        <w:topLinePunct w:val="false"/>
        <w:autoSpaceDE/>
        <w:autoSpaceDN/>
        <w:bidi w:val="false"/>
        <w:adjustRightInd/>
        <w:snapToGrid/>
        <w:spacing w:line="360" w:lineRule="auto"/>
        <w:jc w:val="center"/>
        <w:textAlignment w:val="auto"/>
        <w:rPr>
          <w:rFonts w:hint="default"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敏感性分析表</w:t>
      </w:r>
    </w:p>
    <w:tbl>
      <w:tblPr>
        <w:tblStyle w:val="0000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5"/>
        <w:gridCol w:w="990"/>
        <w:gridCol w:w="975"/>
        <w:gridCol w:w="990"/>
        <w:gridCol w:w="975"/>
        <w:gridCol w:w="990"/>
        <w:gridCol w:w="1110"/>
      </w:tblGrid>
      <w:tr>
        <w:trPr>
          <w:trHeight w:val="464"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变动幅度</w:t>
            </w:r>
          </w:p>
        </w:tc>
        <w:tc>
          <w:tcPr>
            <w:tcW w:w="10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10%</w:t>
            </w:r>
          </w:p>
        </w:tc>
        <w:tc>
          <w:tcPr>
            <w:tcW w:w="11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15%</w:t>
            </w:r>
          </w:p>
        </w:tc>
      </w:tr>
      <w:tr>
        <w:trPr>
          <w:trHeight w:val="461"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销售收入</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ascii="仿宋" w:hAnsi="仿宋" w:eastAsia="仿宋" w:cs="仿宋"/>
                <w:i w:val="false"/>
                <w:strike w:val="false"/>
                <w:color w:val="auto"/>
                <w:spacing w:val="0"/>
                <w:sz w:val="21"/>
                <w:u w:val="none"/>
              </w:rPr>
              <w:t>5.54</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ascii="仿宋" w:hAnsi="仿宋" w:eastAsia="仿宋" w:cs="仿宋"/>
                <w:i w:val="false"/>
                <w:strike w:val="false"/>
                <w:color w:val="auto"/>
                <w:spacing w:val="0"/>
                <w:sz w:val="21"/>
                <w:u w:val="none"/>
              </w:rPr>
              <w:t>6.35</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7.17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8.80</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9.61</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FF0000"/>
                <w:lang w:val="en-US" w:eastAsia="zh-CN"/>
              </w:rPr>
            </w:pPr>
            <w:r>
              <w:rPr>
                <w:rFonts w:hint="eastAsia" w:ascii="仿宋" w:hAnsi="仿宋" w:eastAsia="仿宋" w:cs="仿宋"/>
                <w:i w:val="false"/>
                <w:strike w:val="false"/>
                <w:color w:val="auto"/>
                <w:spacing w:val="0"/>
                <w:sz w:val="21"/>
                <w:u w:val="none"/>
                <w:lang w:val="en-US" w:eastAsia="zh-CN"/>
              </w:rPr>
              <w:t>10.42</w:t>
            </w:r>
          </w:p>
        </w:tc>
      </w:tr>
      <w:tr>
        <w:trPr>
          <w:trHeight w:val="435"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经营成本</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8.31</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8.20</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8.09</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7.88</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7.77</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7.66</w:t>
            </w:r>
          </w:p>
        </w:tc>
      </w:tr>
      <w:tr>
        <w:trPr>
          <w:trHeight w:val="499"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建安投资</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10.33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9.46</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8.68</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i w:val="false"/>
                <w:strike w:val="false"/>
                <w:color w:val="auto"/>
                <w:spacing w:val="0"/>
                <w:sz w:val="21"/>
                <w:u w:val="none"/>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i w:val="false"/>
                <w:strike w:val="false"/>
                <w:color w:val="auto"/>
                <w:spacing w:val="0"/>
                <w:sz w:val="21"/>
                <w:u w:val="none"/>
                <w:lang w:val="en-US" w:eastAsia="zh-CN"/>
              </w:rPr>
            </w:pPr>
            <w:r>
              <w:rPr>
                <w:rFonts w:hint="eastAsia" w:ascii="仿宋" w:hAnsi="仿宋" w:eastAsia="仿宋" w:cs="仿宋"/>
                <w:i w:val="false"/>
                <w:strike w:val="false"/>
                <w:color w:val="auto"/>
                <w:spacing w:val="0"/>
                <w:sz w:val="21"/>
                <w:u w:val="none"/>
                <w:lang w:val="en-US" w:eastAsia="zh-CN"/>
              </w:rPr>
              <w:t>7.35</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6.77</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6.24</w:t>
            </w:r>
          </w:p>
        </w:tc>
      </w:tr>
    </w:tbl>
    <w:p>
      <w:pPr>
        <w:pStyle w:val="000033"/>
        <w:numPr>
          <w:ilvl w:val="0"/>
          <w:numId w:val="0"/>
        </w:numPr>
        <w:autoSpaceDE w:val="false"/>
        <w:spacing w:line="360" w:lineRule="auto"/>
        <w:jc w:val="both"/>
        <w:rPr>
          <w:rFonts w:hint="eastAsia" w:ascii="仿宋" w:hAnsi="仿宋" w:eastAsia="仿宋" w:cstheme="minorEastAsia"/>
          <w:kern w:val="2"/>
          <w:sz w:val="28"/>
          <w:szCs w:val="28"/>
        </w:rPr>
      </w:pPr>
      <w:r>
        <w:rPr>
          <w:rFonts w:hint="eastAsia" w:ascii="仿宋" w:hAnsi="仿宋" w:eastAsia="仿宋" w:cstheme="minorEastAsia"/>
          <w:kern w:val="2"/>
          <w:sz w:val="28"/>
          <w:szCs w:val="28"/>
          <w:lang w:val="en-US" w:eastAsia="zh-CN"/>
        </w:rPr>
        <w:t>三、</w:t>
      </w:r>
      <w:r>
        <w:rPr>
          <w:rFonts w:hint="eastAsia" w:ascii="仿宋" w:hAnsi="仿宋" w:eastAsia="仿宋" w:cstheme="minorEastAsia"/>
          <w:kern w:val="2"/>
          <w:sz w:val="28"/>
          <w:szCs w:val="28"/>
        </w:rPr>
        <w:t>项目应关注的主要风险点及风控建议</w:t>
      </w:r>
    </w:p>
    <w:p>
      <w:pPr>
        <w:pStyle w:val="000033"/>
        <w:numPr>
          <w:ilvl w:val="0"/>
          <w:numId w:val="0"/>
        </w:numPr>
        <w:autoSpaceDE w:val="false"/>
        <w:spacing w:line="360" w:lineRule="auto"/>
        <w:ind w:firstLine="562" w:firstLineChars="200"/>
        <w:jc w:val="both"/>
        <w:rPr>
          <w:rFonts w:ascii="仿宋" w:hAnsi="仿宋" w:eastAsia="仿宋" w:cstheme="minorEastAsia"/>
          <w:kern w:val="2"/>
          <w:sz w:val="28"/>
          <w:szCs w:val="28"/>
        </w:rPr>
      </w:pPr>
      <w:r>
        <w:rPr>
          <w:rFonts w:hint="eastAsia" w:ascii="仿宋" w:hAnsi="仿宋" w:eastAsia="仿宋" w:cstheme="minorEastAsia"/>
          <w:kern w:val="2"/>
          <w:sz w:val="28"/>
          <w:szCs w:val="28"/>
        </w:rPr>
        <w:t>（一）主要风险点</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1.项目政策风险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本项目政策性风险总体可控但需关注动态调整。国家及河南省对源网荷储一体化项目有明确政策支持，如《河南省加快推进源网荷储一体化实施方案》《河南省工业企业源网荷储一体化项目实施细则（暂行）》等文件明确了项目建设模式、消纳要求及支持措施，且新乡市 2027 年前需建成 70 个源网荷储项目，政策导向积极。但政策具有时效性，可能面临补贴退坡、电价机制调整或环保标准提升等风险。例如，若未来可再生能源补贴政策退出或分时电价机制变动，可能影响项目收益；环保要求提高可能增加储能系统运维成本。需持续跟踪政策动态，加强与地方政府及能源部门沟通，确保项目合规运营并及时调整策略应对政策变化。</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2.项目资本金风险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该项目建设主体为河南中原智慧冷链物流园管理运营有限公司为本项目的项目公司，注册资本100万元、</w:t>
      </w:r>
      <w:r>
        <w:rPr>
          <w:rFonts w:hint="eastAsia" w:ascii="仿宋" w:hAnsi="仿宋" w:eastAsia="仿宋" w:cs="仿宋"/>
          <w:color w:val="000000"/>
          <w:kern w:val="2"/>
          <w:sz w:val="24"/>
          <w:szCs w:val="24"/>
          <w:highlight w:val="none"/>
          <w:u w:val="none"/>
          <w:lang w:val="en-US" w:eastAsia="zh-CN" w:bidi="ar-SA"/>
        </w:rPr>
        <w:t>实收资本0万元。</w:t>
      </w:r>
      <w:r>
        <w:rPr>
          <w:rFonts w:hint="eastAsia" w:ascii="仿宋" w:hAnsi="仿宋" w:eastAsia="仿宋" w:cs="仿宋"/>
          <w:kern w:val="2"/>
          <w:sz w:val="24"/>
          <w:szCs w:val="24"/>
          <w:highlight w:val="none"/>
          <w:u w:val="none"/>
          <w:lang w:val="en-US" w:eastAsia="zh-CN" w:bidi="ar-SA"/>
        </w:rPr>
        <w:t>目前规划资本金来源为股东投资，资金来源如果不能按期到位，会影响项目进度，且造成项目投产期滞后，增加项目建设期成本。</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河南中原智慧冷链物流园管理运营有限公司为获嘉县产业集聚区运营发展服务有限公司的全资子公司，实际控制人为获嘉县国有资产事务中心。该项目不存在资本金不到位风险。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3.项目运营风险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该项目规划周期为12年，贷款回收周期为12年，主要建设地点为获嘉县产业集聚区创业孵化园区内部分厂房屋顶及闲置空地。项目所使用厂房屋顶及闲置空地为获嘉县产业集聚区创业孵化园有限公司名下房产，项目公司已与获嘉县产业集聚区创业孵化园有限公司签订屋顶及闲置空地租赁使用协议。项目所产出新能源电力将直接长期出售给大成包装企业使用，并与企业签订用电合同，该项目不存在运营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4.还款来源风险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本项目第一还款来源为光伏售电收入、储能峰谷套利收入、及智能充电桩收入四部分组成。本项目在运营期内总收入约为14353.45</w:t>
      </w:r>
      <w:r>
        <w:rPr>
          <w:rFonts w:hint="eastAsia" w:ascii="仿宋" w:hAnsi="仿宋" w:eastAsia="仿宋" w:cs="仿宋"/>
          <w:color w:val="auto"/>
          <w:kern w:val="2"/>
          <w:sz w:val="24"/>
          <w:szCs w:val="24"/>
          <w:highlight w:val="none"/>
          <w:u w:val="none"/>
          <w:lang w:val="en-US" w:eastAsia="zh-CN" w:bidi="ar-SA"/>
        </w:rPr>
        <w:t>万元，</w:t>
      </w:r>
      <w:r>
        <w:rPr>
          <w:rFonts w:hint="eastAsia" w:ascii="仿宋" w:hAnsi="仿宋" w:eastAsia="仿宋" w:cs="仿宋"/>
          <w:kern w:val="2"/>
          <w:sz w:val="24"/>
          <w:szCs w:val="24"/>
          <w:highlight w:val="none"/>
          <w:u w:val="none"/>
          <w:lang w:val="en-US" w:eastAsia="zh-CN" w:bidi="ar-SA"/>
        </w:rPr>
        <w:t>利息备付率5.12%，偿债备付率1.16%。税后内部收益率7.98%，税后投资回收期11.26年。第二还款来源为河南同盟国资集团有限公司为本项目进行连带担保。</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5.资金挪用风险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河南中原智慧冷链物流园管理运营有限公司的资金来源与投资主体的经营情况紧密相关，存在将其作为其融资渠道，把信贷资金挪作他用的风险。申请主体为新设立公司，主营发展方向易发生变化，易存在其投资主体产业之间占用项目资金或项目资金使用范围使用资金的风险。</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一是项目建设资金若被挪用，会导致建设资金不足，形成完工风险，应加强贷款资金用途监管；二是项目所有收入应封闭管理，若收入被挪用，则会影响到我行还款资金来源。</w:t>
      </w:r>
    </w:p>
    <w:p>
      <w:pPr>
        <w:pStyle w:val="000033"/>
        <w:autoSpaceDE w:val="false"/>
        <w:spacing w:line="360" w:lineRule="auto"/>
        <w:ind w:firstLine="562" w:firstLineChars="200"/>
        <w:jc w:val="both"/>
        <w:rPr>
          <w:rFonts w:ascii="仿宋" w:hAnsi="仿宋" w:eastAsia="仿宋" w:cstheme="minorEastAsia"/>
          <w:kern w:val="2"/>
          <w:sz w:val="28"/>
          <w:szCs w:val="28"/>
        </w:rPr>
      </w:pPr>
      <w:r>
        <w:rPr>
          <w:rFonts w:hint="eastAsia" w:ascii="仿宋" w:hAnsi="仿宋" w:eastAsia="仿宋" w:cstheme="minorEastAsia"/>
          <w:kern w:val="2"/>
          <w:sz w:val="28"/>
          <w:szCs w:val="28"/>
        </w:rPr>
        <w:t>（二）风控及融资方案建议</w:t>
      </w:r>
    </w:p>
    <w:p>
      <w:pPr>
        <w:autoSpaceDE w:val="false"/>
        <w:spacing w:line="360" w:lineRule="auto"/>
        <w:ind w:firstLine="482" w:firstLineChars="200"/>
        <w:jc w:val="left"/>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1.经营机构上报方案</w:t>
      </w:r>
    </w:p>
    <w:p>
      <w:pPr>
        <w:autoSpaceDE w:val="false"/>
        <w:spacing w:line="360" w:lineRule="auto"/>
        <w:ind w:firstLine="480" w:firstLineChars="200"/>
        <w:jc w:val="left"/>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获嘉县支行申请给予河南中原智慧冷链物流园管理运营有限公司贷款7000万元，期限12年，专项用于河南大成包装材料有限公司源网荷储一体化项目建设，担保方式为项目公司应收账款质押并追加河南同盟国资集团有限公司提供连带责任保证担保。按季还息，建设期第前0.5年不还本只付息，从后0.5年开始第按季分期还本付息，运营期0.5年合计归还贷款本金不低于200万元、第二年合计归还贷款本金不低于500万元、第三年合计归还本金不低于500万元、第四年合计归还本金不低于550万元、第五年每年归还本金不低于550万元、第六年合计归还本金不低于600万元、第七年合计归还本金不低于600万元、第八年合计归还本金不低于650万元、第九年合计归还本金不低于650万元、第十年合计归还本金不低于700万元、第十一年合计归还本金不低于700万元、第十二年合计归还本金不低于800万元。</w:t>
      </w:r>
    </w:p>
    <w:p>
      <w:pPr>
        <w:autoSpaceDE w:val="false"/>
        <w:spacing w:line="360" w:lineRule="auto"/>
        <w:ind w:firstLine="480" w:firstLineChars="200"/>
        <w:jc w:val="left"/>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（1）自有资金先于我行贷款到位，自有资金不低于1767.59万元。</w:t>
      </w:r>
    </w:p>
    <w:p>
      <w:pPr>
        <w:autoSpaceDE w:val="false"/>
        <w:spacing w:line="360" w:lineRule="auto"/>
        <w:ind w:firstLine="480" w:firstLineChars="200"/>
        <w:jc w:val="left"/>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（2）根据本项目建设进度情况分次提款，项目贷款受托支付，用于项目建设，严禁挪用。</w:t>
      </w:r>
    </w:p>
    <w:p>
      <w:pPr>
        <w:autoSpaceDE w:val="false"/>
        <w:spacing w:line="360" w:lineRule="auto"/>
        <w:ind w:firstLine="480" w:firstLineChars="200"/>
        <w:jc w:val="left"/>
        <w:rPr>
          <w:rFonts w:hint="eastAsia" w:ascii="仿宋" w:hAnsi="仿宋" w:eastAsia="仿宋" w:cs="宋体"/>
          <w:b w:val="false"/>
          <w:bCs w:val="false"/>
          <w:sz w:val="24"/>
          <w:szCs w:val="24"/>
          <w:highlight w:val="none"/>
          <w:lang w:val="en-US" w:eastAsia="zh-CN"/>
        </w:rPr>
      </w:pPr>
      <w:r>
        <w:rPr>
          <w:rFonts w:hint="eastAsia" w:ascii="仿宋" w:hAnsi="仿宋" w:eastAsia="仿宋" w:cs="宋体"/>
          <w:b w:val="false"/>
          <w:bCs w:val="false"/>
          <w:sz w:val="24"/>
          <w:szCs w:val="24"/>
          <w:highlight w:val="none"/>
          <w:lang w:val="en-US" w:eastAsia="zh-CN"/>
        </w:rPr>
        <w:t>（3）放款前要求项目手续齐全，证件合法有效。</w:t>
      </w:r>
    </w:p>
    <w:p>
      <w:pPr>
        <w:pStyle w:val="000033"/>
        <w:autoSpaceDE w:val="false"/>
        <w:spacing w:line="360" w:lineRule="auto"/>
        <w:ind w:firstLine="482" w:firstLineChars="200"/>
        <w:jc w:val="both"/>
        <w:rPr>
          <w:rFonts w:hint="default" w:ascii="仿宋" w:hAnsi="仿宋" w:eastAsia="仿宋" w:cs="宋体"/>
          <w:b/>
          <w:bCs/>
          <w:kern w:val="2"/>
          <w:sz w:val="24"/>
          <w:szCs w:val="24"/>
          <w:highlight w:val="none"/>
          <w:lang w:val="en-US" w:eastAsia="zh-CN" w:bidi="ar-SA"/>
        </w:rPr>
      </w:pPr>
      <w:r>
        <w:rPr>
          <w:rFonts w:hint="eastAsia" w:ascii="仿宋" w:hAnsi="仿宋" w:eastAsia="仿宋" w:cs="宋体"/>
          <w:b/>
          <w:bCs/>
          <w:kern w:val="2"/>
          <w:sz w:val="24"/>
          <w:szCs w:val="24"/>
          <w:highlight w:val="none"/>
          <w:lang w:val="en-US" w:eastAsia="zh-CN" w:bidi="ar-SA"/>
        </w:rPr>
        <w:t>2.本次风控及融资方案建议</w:t>
      </w:r>
    </w:p>
    <w:p>
      <w:pPr>
        <w:pStyle w:val="000033"/>
        <w:autoSpaceDE w:val="false"/>
        <w:spacing w:line="360" w:lineRule="auto"/>
        <w:ind w:firstLine="480" w:firstLineChars="200"/>
        <w:jc w:val="both"/>
        <w:rPr>
          <w:rFonts w:hint="eastAsia"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（1）项目资本金先于我行资金到位，金额不低于1767.59万元，且不低于项目总投的20.16%，已投入资金需提供相关支付凭证等证明材料，证明来源合法合规；</w:t>
      </w:r>
    </w:p>
    <w:p>
      <w:pPr>
        <w:pStyle w:val="000033"/>
        <w:autoSpaceDE w:val="false"/>
        <w:spacing w:line="360" w:lineRule="auto"/>
        <w:ind w:firstLine="480" w:firstLineChars="200"/>
        <w:jc w:val="both"/>
        <w:rPr>
          <w:rFonts w:hint="eastAsia"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（2）全部贷款资金受托支付，需提供真实有效凭证；</w:t>
      </w:r>
    </w:p>
    <w:p>
      <w:pPr>
        <w:pStyle w:val="000033"/>
        <w:autoSpaceDE w:val="false"/>
        <w:spacing w:line="360" w:lineRule="auto"/>
        <w:ind w:firstLine="480" w:firstLineChars="200"/>
        <w:jc w:val="both"/>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（3）项目运营全部收入需进入我行监管账户，对外支出需经我行审批，按照还款计划偿还我行贷款，经评估还款计划如下，若未全额提款参照下述还款比例重新制定还款计划，可提前还款。</w:t>
      </w:r>
    </w:p>
    <w:tbl>
      <w:tblPr>
        <w:tblStyle w:val="00002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95"/>
        <w:gridCol w:w="1030"/>
        <w:gridCol w:w="1073"/>
        <w:gridCol w:w="965"/>
        <w:gridCol w:w="1028"/>
        <w:gridCol w:w="868"/>
        <w:gridCol w:w="1008"/>
        <w:gridCol w:w="948"/>
      </w:tblGrid>
      <w:tr>
        <w:trPr/>
        <w:tc>
          <w:tcPr>
            <w:tcW w:w="1203" w:type="dxa"/>
          </w:tcPr>
          <w:p>
            <w:pPr>
              <w:pStyle w:val="000033"/>
              <w:autoSpaceDE w:val="false"/>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运营期</w:t>
            </w:r>
          </w:p>
        </w:tc>
        <w:tc>
          <w:tcPr>
            <w:tcW w:w="1295" w:type="dxa"/>
          </w:tcPr>
          <w:p>
            <w:pPr>
              <w:pStyle w:val="000033"/>
              <w:autoSpaceDE w:val="false"/>
              <w:spacing w:line="360" w:lineRule="auto"/>
              <w:jc w:val="both"/>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建设期第0.5年</w:t>
            </w:r>
          </w:p>
        </w:tc>
        <w:tc>
          <w:tcPr>
            <w:tcW w:w="1030" w:type="dxa"/>
          </w:tcPr>
          <w:p>
            <w:pPr>
              <w:pStyle w:val="000033"/>
              <w:autoSpaceDE w:val="false"/>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第0.5年</w:t>
            </w:r>
          </w:p>
        </w:tc>
        <w:tc>
          <w:tcPr>
            <w:tcW w:w="1073" w:type="dxa"/>
          </w:tcPr>
          <w:p>
            <w:pPr>
              <w:pStyle w:val="000033"/>
              <w:autoSpaceDE w:val="false"/>
              <w:spacing w:line="360" w:lineRule="auto"/>
              <w:jc w:val="both"/>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第2年</w:t>
            </w:r>
          </w:p>
        </w:tc>
        <w:tc>
          <w:tcPr>
            <w:tcW w:w="965" w:type="dxa"/>
          </w:tcPr>
          <w:p>
            <w:pPr>
              <w:pStyle w:val="000033"/>
              <w:autoSpaceDE w:val="false"/>
              <w:spacing w:line="360" w:lineRule="auto"/>
              <w:jc w:val="both"/>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第3年</w:t>
            </w:r>
          </w:p>
        </w:tc>
        <w:tc>
          <w:tcPr>
            <w:tcW w:w="102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第4年</w:t>
            </w:r>
          </w:p>
        </w:tc>
        <w:tc>
          <w:tcPr>
            <w:tcW w:w="86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第5年</w:t>
            </w:r>
          </w:p>
        </w:tc>
        <w:tc>
          <w:tcPr>
            <w:tcW w:w="100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第6年</w:t>
            </w:r>
          </w:p>
        </w:tc>
        <w:tc>
          <w:tcPr>
            <w:tcW w:w="94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第7年</w:t>
            </w:r>
          </w:p>
        </w:tc>
      </w:tr>
      <w:tr>
        <w:trPr/>
        <w:tc>
          <w:tcPr>
            <w:tcW w:w="1203" w:type="dxa"/>
          </w:tcPr>
          <w:p>
            <w:pPr>
              <w:pStyle w:val="000033"/>
              <w:autoSpaceDE w:val="false"/>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还本金额（不低于）</w:t>
            </w:r>
          </w:p>
        </w:tc>
        <w:tc>
          <w:tcPr>
            <w:tcW w:w="1295"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w:t>
            </w:r>
          </w:p>
        </w:tc>
        <w:tc>
          <w:tcPr>
            <w:tcW w:w="1030"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200</w:t>
            </w:r>
          </w:p>
        </w:tc>
        <w:tc>
          <w:tcPr>
            <w:tcW w:w="1073"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500</w:t>
            </w:r>
          </w:p>
        </w:tc>
        <w:tc>
          <w:tcPr>
            <w:tcW w:w="965"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500</w:t>
            </w:r>
          </w:p>
        </w:tc>
        <w:tc>
          <w:tcPr>
            <w:tcW w:w="1028"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550</w:t>
            </w:r>
          </w:p>
        </w:tc>
        <w:tc>
          <w:tcPr>
            <w:tcW w:w="868"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550</w:t>
            </w:r>
          </w:p>
        </w:tc>
        <w:tc>
          <w:tcPr>
            <w:tcW w:w="1008"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600</w:t>
            </w:r>
          </w:p>
        </w:tc>
        <w:tc>
          <w:tcPr>
            <w:tcW w:w="948"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600</w:t>
            </w:r>
          </w:p>
        </w:tc>
      </w:tr>
      <w:tr>
        <w:trPr/>
        <w:tc>
          <w:tcPr>
            <w:tcW w:w="1203"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运营期</w:t>
            </w:r>
          </w:p>
        </w:tc>
        <w:tc>
          <w:tcPr>
            <w:tcW w:w="1295" w:type="dxa"/>
            <w:vAlign w:val="top"/>
          </w:tcPr>
          <w:p>
            <w:pPr>
              <w:pStyle w:val="000033"/>
              <w:autoSpaceDE w:val="false"/>
              <w:spacing w:line="360" w:lineRule="auto"/>
              <w:jc w:val="both"/>
              <w:rPr>
                <w:rFonts w:hint="eastAsia"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第8年</w:t>
            </w:r>
          </w:p>
        </w:tc>
        <w:tc>
          <w:tcPr>
            <w:tcW w:w="1030" w:type="dxa"/>
            <w:vAlign w:val="top"/>
          </w:tcPr>
          <w:p>
            <w:pPr>
              <w:pStyle w:val="000033"/>
              <w:autoSpaceDE w:val="false"/>
              <w:spacing w:line="360" w:lineRule="auto"/>
              <w:jc w:val="both"/>
              <w:rPr>
                <w:rFonts w:hint="eastAsia"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第9年</w:t>
            </w:r>
          </w:p>
        </w:tc>
        <w:tc>
          <w:tcPr>
            <w:tcW w:w="1073" w:type="dxa"/>
            <w:vAlign w:val="top"/>
          </w:tcPr>
          <w:p>
            <w:pPr>
              <w:pStyle w:val="000033"/>
              <w:autoSpaceDE w:val="false"/>
              <w:spacing w:line="360" w:lineRule="auto"/>
              <w:jc w:val="both"/>
              <w:rPr>
                <w:rFonts w:hint="eastAsia"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第10年</w:t>
            </w:r>
          </w:p>
        </w:tc>
        <w:tc>
          <w:tcPr>
            <w:tcW w:w="965" w:type="dxa"/>
            <w:vAlign w:val="top"/>
          </w:tcPr>
          <w:p>
            <w:pPr>
              <w:pStyle w:val="000033"/>
              <w:autoSpaceDE w:val="false"/>
              <w:spacing w:line="360" w:lineRule="auto"/>
              <w:jc w:val="both"/>
              <w:rPr>
                <w:rFonts w:hint="eastAsia"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第11年</w:t>
            </w:r>
          </w:p>
        </w:tc>
        <w:tc>
          <w:tcPr>
            <w:tcW w:w="1028" w:type="dxa"/>
            <w:vAlign w:val="top"/>
          </w:tcPr>
          <w:p>
            <w:pPr>
              <w:pStyle w:val="000033"/>
              <w:autoSpaceDE w:val="false"/>
              <w:spacing w:line="360" w:lineRule="auto"/>
              <w:jc w:val="both"/>
              <w:rPr>
                <w:rFonts w:hint="eastAsia"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第12年</w:t>
            </w:r>
          </w:p>
        </w:tc>
        <w:tc>
          <w:tcPr>
            <w:tcW w:w="86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p>
        </w:tc>
        <w:tc>
          <w:tcPr>
            <w:tcW w:w="100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p>
        </w:tc>
        <w:tc>
          <w:tcPr>
            <w:tcW w:w="948"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p>
        </w:tc>
      </w:tr>
      <w:tr>
        <w:trPr>
          <w:trHeight w:val="636" w:hRule="atLeast"/>
        </w:trPr>
        <w:tc>
          <w:tcPr>
            <w:tcW w:w="1203" w:type="dxa"/>
            <w:vAlign w:val="top"/>
          </w:tcPr>
          <w:p>
            <w:pPr>
              <w:pStyle w:val="000033"/>
              <w:autoSpaceDE w:val="false"/>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还本金额（不低于）</w:t>
            </w:r>
          </w:p>
        </w:tc>
        <w:tc>
          <w:tcPr>
            <w:tcW w:w="1295"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650</w:t>
            </w:r>
          </w:p>
        </w:tc>
        <w:tc>
          <w:tcPr>
            <w:tcW w:w="1030"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650</w:t>
            </w:r>
          </w:p>
        </w:tc>
        <w:tc>
          <w:tcPr>
            <w:tcW w:w="1073" w:type="dxa"/>
            <w:vAlign w:val="center"/>
          </w:tcPr>
          <w:p>
            <w:pPr>
              <w:pStyle w:val="000033"/>
              <w:autoSpaceDE w:val="false"/>
              <w:spacing w:line="360" w:lineRule="auto"/>
              <w:jc w:val="center"/>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700</w:t>
            </w:r>
          </w:p>
        </w:tc>
        <w:tc>
          <w:tcPr>
            <w:tcW w:w="965" w:type="dxa"/>
          </w:tcPr>
          <w:p>
            <w:pPr>
              <w:pStyle w:val="000033"/>
              <w:keepNext w:val="false"/>
              <w:keepLines w:val="false"/>
              <w:pageBreakBefore w:val="false"/>
              <w:widowControl/>
              <w:kinsoku/>
              <w:wordWrap/>
              <w:overflowPunct/>
              <w:topLinePunct w:val="false"/>
              <w:autoSpaceDE w:val="false"/>
              <w:autoSpaceDN/>
              <w:bidi w:val="false"/>
              <w:adjustRightInd/>
              <w:snapToGrid/>
              <w:spacing w:before="219" w:beforeLines="70" w:after="219" w:afterLines="70" w:line="360" w:lineRule="auto"/>
              <w:jc w:val="center"/>
              <w:textAlignment w:val="auto"/>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700</w:t>
            </w:r>
          </w:p>
        </w:tc>
        <w:tc>
          <w:tcPr>
            <w:tcW w:w="1028" w:type="dxa"/>
          </w:tcPr>
          <w:p>
            <w:pPr>
              <w:pStyle w:val="000033"/>
              <w:keepNext w:val="false"/>
              <w:keepLines w:val="false"/>
              <w:pageBreakBefore w:val="false"/>
              <w:widowControl/>
              <w:kinsoku/>
              <w:wordWrap/>
              <w:overflowPunct/>
              <w:topLinePunct w:val="false"/>
              <w:autoSpaceDE w:val="false"/>
              <w:autoSpaceDN/>
              <w:bidi w:val="false"/>
              <w:adjustRightInd/>
              <w:snapToGrid/>
              <w:spacing w:before="219" w:beforeLines="70" w:after="219" w:afterLines="70" w:line="360" w:lineRule="auto"/>
              <w:jc w:val="center"/>
              <w:textAlignment w:val="auto"/>
              <w:rPr>
                <w:rFonts w:hint="default" w:ascii="仿宋" w:hAnsi="仿宋" w:eastAsia="仿宋" w:cs="宋体"/>
                <w:b w:val="false"/>
                <w:bCs w:val="false"/>
                <w:kern w:val="2"/>
                <w:sz w:val="21"/>
                <w:szCs w:val="21"/>
                <w:highlight w:val="none"/>
                <w:vertAlign w:val="baseline"/>
                <w:lang w:val="en-US" w:eastAsia="zh-CN" w:bidi="ar-SA"/>
              </w:rPr>
            </w:pPr>
            <w:r>
              <w:rPr>
                <w:rFonts w:hint="eastAsia" w:ascii="仿宋" w:hAnsi="仿宋" w:eastAsia="仿宋" w:cs="宋体"/>
                <w:b w:val="false"/>
                <w:bCs w:val="false"/>
                <w:kern w:val="2"/>
                <w:sz w:val="21"/>
                <w:szCs w:val="21"/>
                <w:highlight w:val="none"/>
                <w:vertAlign w:val="baseline"/>
                <w:lang w:val="en-US" w:eastAsia="zh-CN" w:bidi="ar-SA"/>
              </w:rPr>
              <w:t>800</w:t>
            </w:r>
          </w:p>
        </w:tc>
        <w:tc>
          <w:tcPr>
            <w:tcW w:w="868" w:type="dxa"/>
          </w:tcPr>
          <w:p>
            <w:pPr>
              <w:pStyle w:val="000033"/>
              <w:keepNext w:val="false"/>
              <w:keepLines w:val="false"/>
              <w:pageBreakBefore w:val="false"/>
              <w:widowControl/>
              <w:kinsoku/>
              <w:wordWrap/>
              <w:overflowPunct/>
              <w:topLinePunct w:val="false"/>
              <w:autoSpaceDE w:val="false"/>
              <w:autoSpaceDN/>
              <w:bidi w:val="false"/>
              <w:adjustRightInd/>
              <w:snapToGrid/>
              <w:spacing w:before="219" w:beforeLines="70" w:after="219" w:afterLines="70" w:line="360" w:lineRule="auto"/>
              <w:jc w:val="center"/>
              <w:textAlignment w:val="auto"/>
              <w:rPr>
                <w:rFonts w:hint="default" w:ascii="仿宋" w:hAnsi="仿宋" w:eastAsia="仿宋" w:cs="宋体"/>
                <w:b w:val="false"/>
                <w:bCs w:val="false"/>
                <w:kern w:val="2"/>
                <w:sz w:val="21"/>
                <w:szCs w:val="21"/>
                <w:highlight w:val="none"/>
                <w:vertAlign w:val="baseline"/>
                <w:lang w:val="en-US" w:eastAsia="zh-CN" w:bidi="ar-SA"/>
              </w:rPr>
            </w:pPr>
          </w:p>
        </w:tc>
        <w:tc>
          <w:tcPr>
            <w:tcW w:w="1008" w:type="dxa"/>
          </w:tcPr>
          <w:p>
            <w:pPr>
              <w:pStyle w:val="000033"/>
              <w:keepNext w:val="false"/>
              <w:keepLines w:val="false"/>
              <w:pageBreakBefore w:val="false"/>
              <w:widowControl/>
              <w:kinsoku/>
              <w:wordWrap/>
              <w:overflowPunct/>
              <w:topLinePunct w:val="false"/>
              <w:autoSpaceDE w:val="false"/>
              <w:autoSpaceDN/>
              <w:bidi w:val="false"/>
              <w:adjustRightInd/>
              <w:snapToGrid/>
              <w:spacing w:before="219" w:beforeLines="70" w:after="219" w:afterLines="70" w:line="360" w:lineRule="auto"/>
              <w:jc w:val="center"/>
              <w:textAlignment w:val="auto"/>
              <w:rPr>
                <w:rFonts w:hint="default" w:ascii="仿宋" w:hAnsi="仿宋" w:eastAsia="仿宋" w:cs="宋体"/>
                <w:b w:val="false"/>
                <w:bCs w:val="false"/>
                <w:kern w:val="2"/>
                <w:sz w:val="21"/>
                <w:szCs w:val="21"/>
                <w:highlight w:val="none"/>
                <w:vertAlign w:val="baseline"/>
                <w:lang w:val="en-US" w:eastAsia="zh-CN" w:bidi="ar-SA"/>
              </w:rPr>
            </w:pPr>
          </w:p>
        </w:tc>
        <w:tc>
          <w:tcPr>
            <w:tcW w:w="948" w:type="dxa"/>
          </w:tcPr>
          <w:p>
            <w:pPr>
              <w:pStyle w:val="000033"/>
              <w:keepNext w:val="false"/>
              <w:keepLines w:val="false"/>
              <w:pageBreakBefore w:val="false"/>
              <w:widowControl/>
              <w:kinsoku/>
              <w:wordWrap/>
              <w:overflowPunct/>
              <w:topLinePunct w:val="false"/>
              <w:autoSpaceDE w:val="false"/>
              <w:autoSpaceDN/>
              <w:bidi w:val="false"/>
              <w:adjustRightInd/>
              <w:snapToGrid/>
              <w:spacing w:before="219" w:beforeLines="70" w:after="219" w:afterLines="70" w:line="360" w:lineRule="auto"/>
              <w:jc w:val="center"/>
              <w:textAlignment w:val="auto"/>
              <w:rPr>
                <w:rFonts w:hint="default" w:ascii="仿宋" w:hAnsi="仿宋" w:eastAsia="仿宋" w:cs="宋体"/>
                <w:b w:val="false"/>
                <w:bCs w:val="false"/>
                <w:kern w:val="2"/>
                <w:sz w:val="21"/>
                <w:szCs w:val="21"/>
                <w:highlight w:val="none"/>
                <w:vertAlign w:val="baseline"/>
                <w:lang w:val="en-US" w:eastAsia="zh-CN" w:bidi="ar-SA"/>
              </w:rPr>
            </w:pPr>
          </w:p>
        </w:tc>
      </w:tr>
    </w:tbl>
    <w:p>
      <w:pPr>
        <w:pStyle w:val="000033"/>
        <w:autoSpaceDE w:val="false"/>
        <w:spacing w:line="360" w:lineRule="auto"/>
        <w:jc w:val="both"/>
        <w:rPr>
          <w:rFonts w:ascii="仿宋" w:hAnsi="仿宋" w:eastAsia="仿宋" w:cstheme="minorEastAsia"/>
          <w:kern w:val="2"/>
          <w:sz w:val="28"/>
          <w:szCs w:val="28"/>
        </w:rPr>
      </w:pPr>
      <w:r>
        <w:rPr>
          <w:rFonts w:hint="eastAsia" w:ascii="仿宋" w:hAnsi="仿宋" w:eastAsia="仿宋" w:cstheme="minorEastAsia"/>
          <w:kern w:val="2"/>
          <w:sz w:val="28"/>
          <w:szCs w:val="28"/>
        </w:rPr>
        <w:t>四、其他需要说明的事项</w:t>
      </w:r>
    </w:p>
    <w:p>
      <w:pPr>
        <w:pStyle w:val="000033"/>
        <w:autoSpaceDE w:val="false"/>
        <w:spacing w:line="360" w:lineRule="auto"/>
        <w:ind w:firstLine="480" w:firstLineChars="200"/>
        <w:jc w:val="both"/>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无。</w:t>
      </w:r>
    </w:p>
    <w:p>
      <w:pP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br w:type="page"/>
      </w:r>
    </w:p>
    <w:p>
      <w:pPr>
        <w:pStyle w:val="000004"/>
        <w:spacing w:before="0" w:after="0" w:line="360" w:lineRule="auto"/>
        <w:jc w:val="cente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第二章 项目参与人评价</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一、借款人分析</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（一）借款人基本信息表</w:t>
      </w:r>
    </w:p>
    <w:tbl>
      <w:tblPr>
        <w:tblStyle w:val="000008"/>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2"/>
        <w:gridCol w:w="2407"/>
        <w:gridCol w:w="932"/>
        <w:gridCol w:w="1069"/>
        <w:gridCol w:w="935"/>
        <w:gridCol w:w="930"/>
        <w:gridCol w:w="854"/>
      </w:tblGrid>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借款人名称</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cs="宋体"/>
                <w:szCs w:val="21"/>
              </w:rPr>
              <w:t>河南中原智慧冷链物流园管理运营有限公司</w:t>
            </w: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注册地址</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cs="宋体"/>
                <w:szCs w:val="21"/>
              </w:rPr>
              <w:t>河南省新乡市获嘉县产业集聚区416室</w:t>
            </w: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成立时间</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Arial"/>
                <w:szCs w:val="21"/>
                <w:lang w:val="en-GB"/>
              </w:rPr>
              <w:t>20</w:t>
            </w:r>
            <w:r>
              <w:rPr>
                <w:rFonts w:hint="eastAsia" w:ascii="仿宋" w:hAnsi="仿宋" w:eastAsia="仿宋" w:cs="Arial"/>
                <w:szCs w:val="21"/>
                <w:lang w:val="en-US" w:eastAsia="zh-CN"/>
              </w:rPr>
              <w:t>21</w:t>
            </w:r>
            <w:r>
              <w:rPr>
                <w:rFonts w:hint="eastAsia" w:ascii="仿宋" w:hAnsi="仿宋" w:eastAsia="仿宋" w:cs="Arial"/>
                <w:szCs w:val="21"/>
                <w:lang w:val="en-GB"/>
              </w:rPr>
              <w:t>.</w:t>
            </w:r>
            <w:r>
              <w:rPr>
                <w:rFonts w:hint="eastAsia" w:ascii="仿宋" w:hAnsi="仿宋" w:eastAsia="仿宋" w:cs="Arial"/>
                <w:szCs w:val="21"/>
                <w:lang w:val="en-US" w:eastAsia="zh-CN"/>
              </w:rPr>
              <w:t>12</w:t>
            </w:r>
            <w:r>
              <w:rPr>
                <w:rFonts w:hint="eastAsia" w:ascii="仿宋" w:hAnsi="仿宋" w:eastAsia="仿宋" w:cs="Arial"/>
                <w:szCs w:val="21"/>
                <w:lang w:val="en-GB"/>
              </w:rPr>
              <w:t>.</w:t>
            </w:r>
            <w:r>
              <w:rPr>
                <w:rFonts w:hint="eastAsia" w:ascii="仿宋" w:hAnsi="仿宋" w:eastAsia="仿宋" w:cs="Arial"/>
                <w:szCs w:val="21"/>
                <w:lang w:val="en-US" w:eastAsia="zh-CN"/>
              </w:rPr>
              <w:t>02</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cs="宋体"/>
                <w:szCs w:val="21"/>
              </w:rPr>
              <w:t>法人代表</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马金全</w:t>
            </w: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实际控制人</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获嘉县国有资产事务中心</w:t>
            </w: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经营范围</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szCs w:val="21"/>
                <w:lang w:eastAsia="zh-CN"/>
              </w:rPr>
            </w:pPr>
            <w:r>
              <w:rPr>
                <w:rFonts w:hint="eastAsia" w:ascii="仿宋" w:hAnsi="仿宋" w:eastAsia="仿宋" w:cs="宋体"/>
                <w:szCs w:val="21"/>
                <w:lang w:eastAsia="zh-CN"/>
              </w:rPr>
              <w:t>一般项目：园区管理服务；商业综合体管理服务；供应链管理服务；税务服务；信息咨询服务（不含许可类信息咨询服务）；社会经济咨询服务；环保咨询服务；安全咨询服务；会议及展览服务；企业管理咨询；劳务服务（不含劳务派遣）；融资咨询服务；食品销售（仅销售预包装食品）；农产品的生产、销售、加工、运输、贮藏及其他相关服务；初级农产品收购；普通货物仓储服务（不含危险化学品等需许可审批的项目）；低温仓储（不含危险化学品等需许可审批的项目）；国内货物运输代理；林业产品销售；木材销售；礼品花卉销售；建筑材料销售；金属材料销售（除依法须经批准的项目外，凭营业执照依法自主开展经营活动）。</w:t>
            </w: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color w:val="000000" w:themeColor="text1"/>
                <w:szCs w:val="21"/>
                <w14:textFill>
                  <w14:solidFill>
                    <w14:schemeClr w14:val="tx1"/>
                  </w14:solidFill>
                </w14:textFill>
              </w:rPr>
              <w:t>所有制类别</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szCs w:val="21"/>
                <w:lang w:eastAsia="zh-CN"/>
              </w:rPr>
            </w:pPr>
            <w:r>
              <w:rPr>
                <w:rFonts w:hint="eastAsia" w:ascii="仿宋" w:hAnsi="仿宋" w:eastAsia="仿宋" w:cs="宋体"/>
                <w:szCs w:val="21"/>
                <w:lang w:val="en-US" w:eastAsia="zh-CN"/>
              </w:rPr>
              <w:t>有限责任</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组织类别</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行业(国民经济行业分类标准)</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color w:val="FF0000"/>
                <w:szCs w:val="21"/>
                <w:lang w:val="en-US" w:eastAsia="zh-CN"/>
              </w:rPr>
            </w:pP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cs="宋体"/>
                <w:szCs w:val="21"/>
              </w:rPr>
              <w:t>主要产品及产能利用率</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p>
        </w:tc>
      </w:tr>
      <w:tr>
        <w:trPr/>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注册资本（万元）</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100</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r>
              <w:rPr>
                <w:rFonts w:hint="eastAsia" w:ascii="仿宋" w:hAnsi="仿宋" w:eastAsia="仿宋"/>
                <w:szCs w:val="21"/>
              </w:rPr>
              <w:t>注册资本到位率（%）</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szCs w:val="21"/>
                <w:lang w:val="en-US" w:eastAsia="zh-CN"/>
              </w:rPr>
            </w:pPr>
          </w:p>
        </w:tc>
      </w:tr>
      <w:tr>
        <w:trPr/>
        <w:tc>
          <w:tcPr>
            <w:tcW w:w="1532" w:type="dxa"/>
            <w:vMerge w:val="restart"/>
            <w:tcBorders>
              <w:top w:val="single" w:color="auto" w:sz="4" w:space="0"/>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r>
              <w:rPr>
                <w:rFonts w:hint="eastAsia" w:ascii="仿宋" w:hAnsi="仿宋" w:eastAsia="仿宋"/>
                <w:szCs w:val="21"/>
              </w:rPr>
              <w:t>财务情况</w:t>
            </w:r>
          </w:p>
          <w:p>
            <w:pPr>
              <w:jc w:val="center"/>
              <w:rPr>
                <w:rFonts w:ascii="仿宋" w:hAnsi="仿宋" w:eastAsia="仿宋"/>
                <w:szCs w:val="21"/>
              </w:rPr>
            </w:pPr>
            <w:r>
              <w:rPr>
                <w:rFonts w:hint="eastAsia" w:ascii="仿宋" w:hAnsi="仿宋" w:eastAsia="仿宋"/>
                <w:szCs w:val="21"/>
              </w:rPr>
              <w:t>（单位：万元）</w:t>
            </w: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报告期</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color w:val="auto"/>
                <w:szCs w:val="21"/>
              </w:rPr>
            </w:pPr>
            <w:r>
              <w:rPr>
                <w:rFonts w:hint="eastAsia" w:ascii="仿宋" w:hAnsi="仿宋" w:eastAsia="仿宋" w:cs="宋体"/>
                <w:color w:val="auto"/>
                <w:szCs w:val="21"/>
              </w:rPr>
              <w:t>前三年</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color w:val="auto"/>
                <w:szCs w:val="21"/>
              </w:rPr>
            </w:pPr>
            <w:r>
              <w:rPr>
                <w:rFonts w:hint="eastAsia" w:ascii="仿宋" w:hAnsi="仿宋" w:eastAsia="仿宋" w:cs="宋体"/>
                <w:color w:val="auto"/>
                <w:szCs w:val="21"/>
              </w:rPr>
              <w:t>前二年</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color w:val="auto"/>
                <w:szCs w:val="21"/>
              </w:rPr>
            </w:pPr>
            <w:r>
              <w:rPr>
                <w:rFonts w:hint="eastAsia" w:ascii="仿宋" w:hAnsi="仿宋" w:eastAsia="仿宋" w:cs="宋体"/>
                <w:color w:val="auto"/>
                <w:szCs w:val="21"/>
              </w:rPr>
              <w:t>前一年</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color w:val="auto"/>
                <w:szCs w:val="21"/>
              </w:rPr>
            </w:pPr>
            <w:r>
              <w:rPr>
                <w:rFonts w:hint="eastAsia" w:ascii="仿宋" w:hAnsi="仿宋" w:eastAsia="仿宋" w:cs="宋体"/>
                <w:color w:val="auto"/>
                <w:szCs w:val="21"/>
              </w:rPr>
              <w:t>最近一期</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仿宋" w:hAnsi="仿宋" w:eastAsia="仿宋" w:cs="宋体"/>
                <w:szCs w:val="21"/>
              </w:rPr>
            </w:pPr>
            <w:r>
              <w:rPr>
                <w:rFonts w:hint="eastAsia" w:ascii="仿宋" w:hAnsi="仿宋" w:eastAsia="仿宋" w:cs="宋体"/>
                <w:szCs w:val="21"/>
              </w:rPr>
              <w:t>备注</w:t>
            </w: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总资产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其中：货币资金</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rHeight w:val="90" w:hRule="atLeast"/>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ind w:firstLine="630" w:firstLineChars="300"/>
              <w:rPr>
                <w:rFonts w:ascii="仿宋" w:hAnsi="仿宋" w:eastAsia="仿宋" w:cs="宋体"/>
                <w:szCs w:val="21"/>
              </w:rPr>
            </w:pPr>
            <w:r>
              <w:rPr>
                <w:rFonts w:hint="eastAsia" w:ascii="仿宋" w:hAnsi="仿宋" w:eastAsia="仿宋"/>
                <w:szCs w:val="21"/>
              </w:rPr>
              <w:t xml:space="preserve">流动资产 </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总负债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其中：短期负债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 xml:space="preserve">      长期负债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所有者权益（净资产）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rHeight w:val="273" w:hRule="atLeast"/>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营业收入</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净利润</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经营净现金流</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资产负债率（%）</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ascii="仿宋" w:hAnsi="仿宋" w:eastAsia="仿宋" w:cs="宋体"/>
                <w:szCs w:val="21"/>
              </w:rPr>
            </w:pPr>
          </w:p>
        </w:tc>
      </w:tr>
      <w:tr>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流动比率</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FF0000"/>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FF0000"/>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hint="default" w:ascii="仿宋" w:hAnsi="仿宋" w:eastAsia="仿宋" w:cs="宋体"/>
                <w:color w:val="FF0000"/>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5" w:lineRule="atLeast"/>
              <w:rPr>
                <w:rFonts w:ascii="仿宋" w:hAnsi="仿宋" w:eastAsia="仿宋" w:cs="宋体"/>
                <w:szCs w:val="21"/>
              </w:rPr>
            </w:pPr>
          </w:p>
        </w:tc>
      </w:tr>
      <w:tr>
        <w:trPr/>
        <w:tc>
          <w:tcPr>
            <w:tcW w:w="1532" w:type="dxa"/>
            <w:vMerge w:val="restart"/>
            <w:tcBorders>
              <w:left w:val="single" w:color="auto" w:sz="4" w:space="0"/>
              <w:right w:val="single" w:color="auto" w:sz="4" w:space="0"/>
            </w:tcBorders>
            <w:shd w:val="clear" w:color="auto" w:fill="auto"/>
            <w:vAlign w:val="center"/>
          </w:tcPr>
          <w:p>
            <w:pPr>
              <w:jc w:val="center"/>
              <w:rPr>
                <w:rFonts w:ascii="仿宋" w:hAnsi="仿宋" w:eastAsia="仿宋"/>
                <w:szCs w:val="21"/>
              </w:rPr>
            </w:pPr>
            <w:r>
              <w:rPr>
                <w:rFonts w:hint="eastAsia" w:ascii="仿宋" w:hAnsi="仿宋" w:eastAsia="仿宋"/>
                <w:szCs w:val="21"/>
              </w:rPr>
              <w:t>我行</w:t>
            </w:r>
          </w:p>
          <w:p>
            <w:pPr>
              <w:jc w:val="center"/>
              <w:rPr>
                <w:rFonts w:ascii="仿宋" w:hAnsi="仿宋" w:eastAsia="仿宋"/>
                <w:szCs w:val="21"/>
              </w:rPr>
            </w:pPr>
            <w:r>
              <w:rPr>
                <w:rFonts w:hint="eastAsia" w:ascii="仿宋" w:hAnsi="仿宋" w:eastAsia="仿宋"/>
                <w:szCs w:val="21"/>
              </w:rPr>
              <w:t>信用情况</w:t>
            </w:r>
          </w:p>
          <w:p>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信用评级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hint="eastAsia"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风险限额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hint="default" w:ascii="仿宋" w:hAnsi="仿宋" w:eastAsia="仿宋" w:cs="宋体"/>
                <w:szCs w:val="21"/>
                <w:lang w:val="en-US" w:eastAsia="zh-CN"/>
              </w:rPr>
            </w:pPr>
          </w:p>
        </w:tc>
      </w:tr>
      <w:tr>
        <w:trPr/>
        <w:tc>
          <w:tcPr>
            <w:tcW w:w="1532" w:type="dxa"/>
            <w:vMerge w:val="continue"/>
            <w:tcBorders>
              <w:left w:val="single" w:color="auto" w:sz="4" w:space="0"/>
              <w:right w:val="single" w:color="auto" w:sz="4" w:space="0"/>
            </w:tcBorders>
            <w:shd w:val="clear" w:color="auto" w:fill="auto"/>
            <w:vAlign w:val="center"/>
          </w:tcPr>
          <w:p>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授信敞口额度</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授信敞口余额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eastAsia" w:ascii="仿宋" w:hAnsi="仿宋" w:eastAsia="仿宋" w:cs="宋体"/>
                <w:szCs w:val="21"/>
                <w:lang w:val="en-US" w:eastAsia="zh-CN"/>
              </w:rPr>
            </w:pPr>
          </w:p>
        </w:tc>
      </w:tr>
      <w:tr>
        <w:trPr/>
        <w:tc>
          <w:tcPr>
            <w:tcW w:w="1532" w:type="dxa"/>
            <w:vMerge w:val="continue"/>
            <w:tcBorders>
              <w:left w:val="single" w:color="auto" w:sz="4" w:space="0"/>
              <w:right w:val="single" w:color="auto" w:sz="4" w:space="0"/>
            </w:tcBorders>
            <w:shd w:val="clear" w:color="auto" w:fill="auto"/>
            <w:vAlign w:val="center"/>
          </w:tcPr>
          <w:p>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信贷资产分类</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不良贷款余额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eastAsia" w:ascii="仿宋" w:hAnsi="仿宋" w:eastAsia="仿宋" w:cs="宋体"/>
                <w:szCs w:val="21"/>
                <w:lang w:val="en-US" w:eastAsia="zh-CN"/>
              </w:rPr>
            </w:pPr>
          </w:p>
        </w:tc>
      </w:tr>
      <w:tr>
        <w:trPr/>
        <w:tc>
          <w:tcPr>
            <w:tcW w:w="1532" w:type="dxa"/>
            <w:vMerge w:val="continue"/>
            <w:tcBorders>
              <w:left w:val="single" w:color="auto" w:sz="4" w:space="0"/>
              <w:bottom w:val="single" w:color="auto" w:sz="4" w:space="0"/>
              <w:right w:val="single" w:color="auto" w:sz="4" w:space="0"/>
            </w:tcBorders>
            <w:shd w:val="clear" w:color="auto" w:fill="auto"/>
            <w:vAlign w:val="center"/>
          </w:tcPr>
          <w:p>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集团整体授信敞口额度（如有）</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是否符合集团整体授信策略（如有）</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375" w:lineRule="atLeast"/>
              <w:rPr>
                <w:rFonts w:hint="eastAsia" w:ascii="仿宋" w:hAnsi="仿宋" w:eastAsia="仿宋" w:cs="宋体"/>
                <w:szCs w:val="21"/>
                <w:lang w:eastAsia="zh-CN"/>
              </w:rPr>
            </w:pPr>
          </w:p>
        </w:tc>
      </w:tr>
    </w:tbl>
    <w:p>
      <w:pPr>
        <w:keepNext w:val="false"/>
        <w:keepLines w:val="false"/>
        <w:pageBreakBefore w:val="false"/>
        <w:widowControl w:val="false"/>
        <w:kinsoku/>
        <w:wordWrap/>
        <w:overflowPunct/>
        <w:topLinePunct w:val="false"/>
        <w:autoSpaceDE w:val="false"/>
        <w:autoSpaceDN/>
        <w:bidi w:val="false"/>
        <w:adjustRightInd/>
        <w:snapToGrid/>
        <w:spacing w:line="360" w:lineRule="auto"/>
        <w:ind w:firstLine="281" w:firstLineChars="100"/>
        <w:jc w:val="left"/>
        <w:textAlignment w:val="auto"/>
        <w:rPr>
          <w:rFonts w:ascii="仿宋" w:hAnsi="仿宋" w:eastAsia="仿宋"/>
          <w:bCs/>
          <w:sz w:val="30"/>
          <w:szCs w:val="30"/>
        </w:rPr>
      </w:pPr>
      <w:r>
        <w:rPr>
          <w:rFonts w:hint="eastAsia" w:ascii="仿宋" w:hAnsi="仿宋" w:eastAsia="仿宋" w:cstheme="minorEastAsia"/>
          <w:b/>
          <w:bCs/>
          <w:sz w:val="28"/>
          <w:szCs w:val="28"/>
        </w:rPr>
        <w:t>（二）借款人基本判断</w:t>
      </w:r>
    </w:p>
    <w:p>
      <w:pPr>
        <w:pStyle w:val="000012"/>
        <w:keepNext w:val="false"/>
        <w:keepLines w:val="false"/>
        <w:pageBreakBefore w:val="false"/>
        <w:widowControl w:val="false"/>
        <w:kinsoku/>
        <w:wordWrap/>
        <w:overflowPunct/>
        <w:topLinePunct w:val="false"/>
        <w:autoSpaceDE/>
        <w:autoSpaceDN/>
        <w:bidi w:val="false"/>
        <w:adjustRightInd/>
        <w:snapToGrid/>
        <w:spacing w:after="0" w:line="360" w:lineRule="auto"/>
        <w:ind w:left="0" w:leftChars="0" w:firstLine="480" w:firstLineChars="200"/>
        <w:textAlignment w:val="auto"/>
        <w:rPr>
          <w:rFonts w:hint="default" w:ascii="仿宋" w:hAnsi="仿宋" w:eastAsia="仿宋" w:cstheme="minorEastAsia"/>
          <w:bCs/>
          <w:kern w:val="2"/>
          <w:sz w:val="24"/>
          <w:szCs w:val="24"/>
          <w:lang w:val="en-US" w:eastAsia="zh-CN" w:bidi="ar-SA"/>
        </w:rPr>
      </w:pPr>
      <w:r>
        <w:rPr>
          <w:rFonts w:hint="eastAsia" w:ascii="仿宋" w:hAnsi="仿宋" w:eastAsia="仿宋" w:cstheme="minorEastAsia"/>
          <w:bCs/>
          <w:kern w:val="2"/>
          <w:sz w:val="24"/>
          <w:szCs w:val="24"/>
          <w:lang w:val="en-US" w:eastAsia="zh-CN" w:bidi="ar-SA"/>
        </w:rPr>
        <w:t>1、股权结构</w:t>
      </w:r>
    </w:p>
    <w:p>
      <w:pPr>
        <w:pStyle w:val="000012"/>
        <w:keepNext w:val="false"/>
        <w:keepLines w:val="false"/>
        <w:pageBreakBefore w:val="false"/>
        <w:widowControl w:val="false"/>
        <w:kinsoku/>
        <w:wordWrap/>
        <w:overflowPunct/>
        <w:topLinePunct w:val="false"/>
        <w:autoSpaceDE/>
        <w:autoSpaceDN/>
        <w:bidi w:val="false"/>
        <w:adjustRightInd/>
        <w:snapToGrid/>
        <w:spacing w:line="360" w:lineRule="auto"/>
        <w:ind w:left="0" w:leftChars="0" w:firstLine="480" w:firstLineChars="200"/>
        <w:textAlignment w:val="auto"/>
        <w:rPr>
          <w:rFonts w:hint="default" w:ascii="仿宋" w:hAnsi="仿宋" w:eastAsia="仿宋" w:cstheme="minorEastAsia"/>
          <w:bCs/>
          <w:kern w:val="2"/>
          <w:sz w:val="24"/>
          <w:szCs w:val="24"/>
          <w:lang w:val="en-US" w:eastAsia="zh-CN" w:bidi="ar-SA"/>
        </w:rPr>
      </w:pPr>
      <w:r>
        <w:rPr>
          <w:rFonts w:hint="eastAsia" w:ascii="仿宋" w:hAnsi="仿宋" w:eastAsia="仿宋" w:cstheme="minorEastAsia"/>
          <w:bCs/>
          <w:kern w:val="2"/>
          <w:sz w:val="24"/>
          <w:szCs w:val="24"/>
          <w:lang w:val="en-US" w:eastAsia="zh-CN" w:bidi="ar-SA"/>
        </w:rPr>
        <w:t>借款人成立于2021年12月，成立时注册资本100万元，由获嘉县产业集聚区运营发展服务有限公司出资100万元，占比100%。股权结构如下：</w:t>
      </w:r>
    </w:p>
    <w:tbl>
      <w:tblPr>
        <w:tblStyle w:val="000008"/>
        <w:tblW w:w="0" w:type="auto"/>
        <w:tblInd w:w="-146" w:type="dxa"/>
        <w:tblLayout w:type="fixed"/>
        <w:tblCellMar>
          <w:top w:w="0" w:type="dxa"/>
          <w:left w:w="0" w:type="dxa"/>
          <w:bottom w:w="0" w:type="dxa"/>
          <w:right w:w="0" w:type="dxa"/>
        </w:tblCellMar>
      </w:tblPr>
      <w:tblGrid>
        <w:gridCol w:w="1344"/>
        <w:gridCol w:w="1080"/>
        <w:gridCol w:w="972"/>
        <w:gridCol w:w="2760"/>
        <w:gridCol w:w="1152"/>
        <w:gridCol w:w="828"/>
        <w:gridCol w:w="1032"/>
      </w:tblGrid>
      <w:tr>
        <w:trPr>
          <w:trHeight w:val="90" w:hRule="atLeast"/>
        </w:trPr>
        <w:tc>
          <w:tcPr>
            <w:tcW w:w="1344"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ind w:left="0" w:leftChars="0" w:firstLine="0" w:firstLineChars="0"/>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日期</w:t>
            </w:r>
          </w:p>
        </w:tc>
        <w:tc>
          <w:tcPr>
            <w:tcW w:w="1080"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ind w:left="0" w:leftChars="0" w:firstLine="0" w:firstLineChars="0"/>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注册资本</w:t>
            </w:r>
          </w:p>
        </w:tc>
        <w:tc>
          <w:tcPr>
            <w:tcW w:w="972"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ind w:left="0" w:leftChars="0" w:firstLine="0" w:firstLineChars="0"/>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实收资本</w:t>
            </w:r>
          </w:p>
        </w:tc>
        <w:tc>
          <w:tcPr>
            <w:tcW w:w="2760"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ind w:left="0" w:leftChars="0" w:firstLine="0" w:firstLineChars="0"/>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出资人</w:t>
            </w:r>
          </w:p>
        </w:tc>
        <w:tc>
          <w:tcPr>
            <w:tcW w:w="1152"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ind w:left="0" w:leftChars="0" w:firstLine="0" w:firstLineChars="0"/>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出资方式</w:t>
            </w:r>
          </w:p>
        </w:tc>
        <w:tc>
          <w:tcPr>
            <w:tcW w:w="828"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jc w:val="center"/>
              <w:textAlignment w:val="center"/>
              <w:rPr>
                <w:rFonts w:hint="eastAsia" w:ascii="仿宋" w:hAnsi="仿宋" w:eastAsia="仿宋" w:cs="仿宋"/>
                <w:b/>
                <w:bCs/>
                <w:i w:val="false"/>
                <w:color w:val="000000"/>
                <w:sz w:val="21"/>
                <w:szCs w:val="21"/>
                <w:u w:val="none"/>
              </w:rPr>
            </w:pPr>
            <w:r>
              <w:rPr>
                <w:rFonts w:hint="eastAsia" w:ascii="仿宋" w:hAnsi="仿宋" w:eastAsia="仿宋" w:cs="仿宋"/>
                <w:b/>
                <w:bCs/>
                <w:i w:val="false"/>
                <w:color w:val="000000"/>
                <w:kern w:val="0"/>
                <w:sz w:val="21"/>
                <w:szCs w:val="21"/>
                <w:u w:val="none"/>
                <w:lang w:val="en-US" w:eastAsia="zh-CN" w:bidi="ar"/>
              </w:rPr>
              <w:t>占比</w:t>
            </w:r>
          </w:p>
        </w:tc>
        <w:tc>
          <w:tcPr>
            <w:tcW w:w="1032" w:type="dxa"/>
            <w:tcBorders>
              <w:top w:val="single" w:color="000000" w:sz="4" w:space="0"/>
              <w:left w:val="single" w:color="000000" w:sz="4" w:space="0"/>
              <w:bottom w:val="single" w:color="auto" w:sz="4" w:space="0"/>
              <w:right w:val="single" w:color="000000" w:sz="4" w:space="0"/>
            </w:tcBorders>
            <w:noWrap w:val="false"/>
            <w:tcMar>
              <w:top w:w="15" w:type="dxa"/>
              <w:left w:w="15" w:type="dxa"/>
              <w:right w:w="15" w:type="dxa"/>
            </w:tcMar>
            <w:vAlign w:val="center"/>
          </w:tcPr>
          <w:p>
            <w:pPr>
              <w:keepNext w:val="false"/>
              <w:keepLines w:val="false"/>
              <w:pageBreakBefore w:val="false"/>
              <w:widowControl/>
              <w:suppressLineNumbers w:val="false"/>
              <w:kinsoku/>
              <w:wordWrap/>
              <w:overflowPunct/>
              <w:topLinePunct w:val="false"/>
              <w:autoSpaceDE/>
              <w:autoSpaceDN/>
              <w:bidi w:val="false"/>
              <w:adjustRightInd/>
              <w:snapToGrid/>
              <w:jc w:val="center"/>
              <w:textAlignment w:val="center"/>
              <w:rPr>
                <w:rFonts w:hint="default" w:ascii="仿宋" w:hAnsi="仿宋" w:eastAsia="仿宋" w:cs="仿宋"/>
                <w:b/>
                <w:bCs/>
                <w:i w:val="false"/>
                <w:color w:val="000000"/>
                <w:kern w:val="0"/>
                <w:sz w:val="21"/>
                <w:szCs w:val="21"/>
                <w:u w:val="none"/>
                <w:lang w:val="en-US" w:eastAsia="zh-CN" w:bidi="ar"/>
              </w:rPr>
            </w:pPr>
            <w:r>
              <w:rPr>
                <w:rFonts w:hint="eastAsia" w:ascii="仿宋" w:hAnsi="仿宋" w:eastAsia="仿宋" w:cs="仿宋"/>
                <w:b/>
                <w:bCs/>
                <w:i w:val="false"/>
                <w:color w:val="000000"/>
                <w:kern w:val="0"/>
                <w:sz w:val="21"/>
                <w:szCs w:val="21"/>
                <w:u w:val="none"/>
                <w:lang w:val="en-US" w:eastAsia="zh-CN" w:bidi="ar"/>
              </w:rPr>
              <w:t>备注</w:t>
            </w:r>
          </w:p>
        </w:tc>
      </w:tr>
      <w:tr>
        <w:trPr>
          <w:trHeight w:val="319" w:hRule="atLeast"/>
        </w:trPr>
        <w:tc>
          <w:tcPr>
            <w:tcW w:w="1344"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i w:val="false"/>
                <w:color w:val="auto"/>
                <w:sz w:val="21"/>
                <w:szCs w:val="21"/>
                <w:highlight w:val="none"/>
                <w:u w:val="none"/>
                <w:lang w:val="en-US" w:eastAsia="zh-CN"/>
              </w:rPr>
              <w:t>2021.12</w:t>
            </w:r>
          </w:p>
        </w:tc>
        <w:tc>
          <w:tcPr>
            <w:tcW w:w="1080"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default" w:ascii="仿宋" w:hAnsi="仿宋" w:eastAsia="仿宋" w:cs="仿宋"/>
                <w:i w:val="false"/>
                <w:color w:val="auto"/>
                <w:sz w:val="21"/>
                <w:szCs w:val="21"/>
                <w:u w:val="none"/>
                <w:lang w:val="en-US" w:eastAsia="zh-CN"/>
              </w:rPr>
            </w:pPr>
            <w:r>
              <w:rPr>
                <w:rFonts w:hint="eastAsia" w:ascii="仿宋" w:hAnsi="仿宋" w:eastAsia="仿宋" w:cs="仿宋"/>
                <w:i w:val="false"/>
                <w:color w:val="auto"/>
                <w:sz w:val="21"/>
                <w:szCs w:val="21"/>
                <w:u w:val="none"/>
                <w:lang w:val="en-US" w:eastAsia="zh-CN"/>
              </w:rPr>
              <w:t>100</w:t>
            </w:r>
          </w:p>
        </w:tc>
        <w:tc>
          <w:tcPr>
            <w:tcW w:w="972"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default" w:ascii="仿宋" w:hAnsi="仿宋" w:eastAsia="仿宋" w:cs="仿宋"/>
                <w:i w:val="false"/>
                <w:color w:val="auto"/>
                <w:sz w:val="21"/>
                <w:szCs w:val="21"/>
                <w:u w:val="none"/>
                <w:lang w:val="en-US" w:eastAsia="zh-CN"/>
              </w:rPr>
            </w:pPr>
            <w:r>
              <w:rPr>
                <w:rFonts w:hint="default" w:ascii="仿宋" w:hAnsi="仿宋" w:eastAsia="仿宋" w:cs="仿宋"/>
                <w:i w:val="false"/>
                <w:color w:val="auto"/>
                <w:sz w:val="21"/>
                <w:szCs w:val="21"/>
                <w:u w:val="none"/>
                <w:lang w:val="en-US" w:eastAsia="zh-CN"/>
              </w:rPr>
              <w:t>0</w:t>
            </w:r>
          </w:p>
        </w:tc>
        <w:tc>
          <w:tcPr>
            <w:tcW w:w="2760"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eastAsia" w:ascii="仿宋" w:hAnsi="仿宋" w:eastAsia="仿宋" w:cs="仿宋"/>
                <w:i w:val="false"/>
                <w:color w:val="auto"/>
                <w:sz w:val="21"/>
                <w:szCs w:val="21"/>
                <w:u w:val="none"/>
                <w:lang w:val="en-US" w:eastAsia="zh-CN"/>
              </w:rPr>
            </w:pPr>
            <w:r>
              <w:rPr>
                <w:rFonts w:hint="eastAsia" w:ascii="仿宋" w:hAnsi="仿宋" w:eastAsia="仿宋" w:cs="仿宋"/>
                <w:i w:val="false"/>
                <w:color w:val="auto"/>
                <w:sz w:val="21"/>
                <w:szCs w:val="21"/>
                <w:u w:val="none"/>
                <w:lang w:val="en-US" w:eastAsia="zh-CN"/>
              </w:rPr>
              <w:t>获嘉县产业集聚区运营发展服务有限公司</w:t>
            </w:r>
          </w:p>
        </w:tc>
        <w:tc>
          <w:tcPr>
            <w:tcW w:w="1152"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eastAsia" w:ascii="仿宋" w:hAnsi="仿宋" w:eastAsia="仿宋" w:cs="仿宋"/>
                <w:i w:val="false"/>
                <w:color w:val="auto"/>
                <w:sz w:val="21"/>
                <w:szCs w:val="21"/>
                <w:u w:val="none"/>
                <w:lang w:val="en-US" w:eastAsia="zh-CN"/>
              </w:rPr>
            </w:pPr>
            <w:r>
              <w:rPr>
                <w:rFonts w:hint="eastAsia" w:ascii="仿宋" w:hAnsi="仿宋" w:eastAsia="仿宋" w:cs="仿宋"/>
                <w:i w:val="false"/>
                <w:color w:val="auto"/>
                <w:sz w:val="21"/>
                <w:szCs w:val="21"/>
                <w:u w:val="none"/>
                <w:lang w:val="en-US" w:eastAsia="zh-CN"/>
              </w:rPr>
              <w:t>货币</w:t>
            </w:r>
          </w:p>
        </w:tc>
        <w:tc>
          <w:tcPr>
            <w:tcW w:w="828"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eastAsia" w:ascii="仿宋" w:hAnsi="仿宋" w:eastAsia="仿宋" w:cs="仿宋"/>
                <w:i w:val="false"/>
                <w:color w:val="auto"/>
                <w:sz w:val="21"/>
                <w:szCs w:val="21"/>
                <w:u w:val="none"/>
                <w:lang w:val="en-US" w:eastAsia="zh-CN"/>
              </w:rPr>
            </w:pPr>
            <w:r>
              <w:rPr>
                <w:rFonts w:hint="eastAsia" w:ascii="仿宋" w:hAnsi="仿宋" w:eastAsia="仿宋" w:cs="仿宋"/>
                <w:i w:val="false"/>
                <w:color w:val="auto"/>
                <w:sz w:val="21"/>
                <w:szCs w:val="21"/>
                <w:u w:val="none"/>
                <w:lang w:val="en-US" w:eastAsia="zh-CN"/>
              </w:rPr>
              <w:t>100%</w:t>
            </w:r>
          </w:p>
        </w:tc>
        <w:tc>
          <w:tcPr>
            <w:tcW w:w="1032" w:type="dxa"/>
            <w:tcBorders>
              <w:top w:val="single" w:color="auto" w:sz="4" w:space="0"/>
              <w:left w:val="single" w:color="auto" w:sz="4" w:space="0"/>
              <w:bottom w:val="single" w:color="auto" w:sz="4" w:space="0"/>
              <w:right w:val="single" w:color="auto" w:sz="4" w:space="0"/>
            </w:tcBorders>
            <w:noWrap w:val="false"/>
            <w:tcMar>
              <w:top w:w="15" w:type="dxa"/>
              <w:left w:w="15" w:type="dxa"/>
              <w:right w:w="15" w:type="dxa"/>
            </w:tcMar>
            <w:vAlign w:val="center"/>
          </w:tcPr>
          <w:p>
            <w:pPr>
              <w:keepNext w:val="false"/>
              <w:keepLines w:val="false"/>
              <w:pageBreakBefore w:val="false"/>
              <w:kinsoku/>
              <w:wordWrap/>
              <w:overflowPunct/>
              <w:topLinePunct w:val="false"/>
              <w:autoSpaceDE/>
              <w:autoSpaceDN/>
              <w:bidi w:val="false"/>
              <w:adjustRightInd/>
              <w:snapToGrid/>
              <w:ind w:left="0" w:leftChars="0" w:firstLine="0" w:firstLineChars="0"/>
              <w:jc w:val="center"/>
              <w:rPr>
                <w:rFonts w:hint="default" w:ascii="仿宋" w:hAnsi="仿宋" w:eastAsia="仿宋" w:cs="仿宋"/>
                <w:i w:val="false"/>
                <w:color w:val="auto"/>
                <w:sz w:val="21"/>
                <w:szCs w:val="21"/>
                <w:u w:val="none"/>
                <w:lang w:val="en-US" w:eastAsia="zh-CN"/>
              </w:rPr>
            </w:pPr>
            <w:r>
              <w:rPr>
                <w:rFonts w:hint="eastAsia" w:ascii="仿宋" w:hAnsi="仿宋" w:eastAsia="仿宋" w:cs="仿宋"/>
                <w:i w:val="false"/>
                <w:color w:val="auto"/>
                <w:sz w:val="21"/>
                <w:szCs w:val="21"/>
                <w:u w:val="none"/>
                <w:lang w:val="en-US" w:eastAsia="zh-CN"/>
              </w:rPr>
              <w:t>注册</w:t>
            </w:r>
          </w:p>
        </w:tc>
      </w:tr>
    </w:tbl>
    <w:p>
      <w:pPr>
        <w:keepNext w:val="false"/>
        <w:keepLines w:val="false"/>
        <w:pageBreakBefore w:val="false"/>
        <w:widowControl w:val="false"/>
        <w:numPr>
          <w:ilvl w:val="0"/>
          <w:numId w:val="0"/>
        </w:numPr>
        <w:tabs>
          <w:tab w:val="left" w:pos="0"/>
          <w:tab w:val="left" w:pos="142"/>
        </w:tabs>
        <w:kinsoku/>
        <w:wordWrap/>
        <w:overflowPunct/>
        <w:topLinePunct w:val="false"/>
        <w:autoSpaceDE/>
        <w:autoSpaceDN/>
        <w:bidi w:val="false"/>
        <w:adjustRightInd/>
        <w:snapToGrid/>
        <w:spacing w:line="360" w:lineRule="auto"/>
        <w:ind w:left="0" w:leftChars="0" w:firstLine="480" w:firstLineChars="200"/>
        <w:textAlignment w:val="auto"/>
        <w:outlineLvl w:val="9"/>
        <w:rPr>
          <w:rFonts w:ascii="仿宋" w:hAnsi="仿宋" w:eastAsia="仿宋"/>
          <w:color w:val="auto"/>
          <w:szCs w:val="21"/>
        </w:rPr>
      </w:pPr>
      <w:r>
        <w:rPr>
          <w:rFonts w:hint="eastAsia" w:ascii="仿宋" w:hAnsi="仿宋" w:eastAsia="仿宋" w:cstheme="minorEastAsia"/>
          <w:bCs/>
          <w:color w:val="auto"/>
          <w:kern w:val="2"/>
          <w:sz w:val="24"/>
          <w:szCs w:val="24"/>
          <w:lang w:val="en-US" w:eastAsia="zh-CN" w:bidi="ar-SA"/>
        </w:rPr>
        <w:t>2.融资及担保情况</w:t>
      </w:r>
    </w:p>
    <w:p>
      <w:pPr>
        <w:keepNext w:val="false"/>
        <w:keepLines w:val="false"/>
        <w:pageBreakBefore w:val="false"/>
        <w:widowControl w:val="false"/>
        <w:kinsoku/>
        <w:wordWrap/>
        <w:overflowPunct/>
        <w:topLinePunct w:val="false"/>
        <w:autoSpaceDE w:val="false"/>
        <w:autoSpaceDN w:val="false"/>
        <w:bidi w:val="false"/>
        <w:adjustRightInd w:val="false"/>
        <w:snapToGrid/>
        <w:spacing w:line="360" w:lineRule="auto"/>
        <w:ind w:left="0" w:firstLine="480" w:firstLineChars="200"/>
        <w:jc w:val="left"/>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截止到调查日，该企业无对外担保。融资信息待定。</w:t>
      </w:r>
    </w:p>
    <w:p>
      <w:pPr>
        <w:keepNext w:val="false"/>
        <w:keepLines w:val="false"/>
        <w:pageBreakBefore w:val="false"/>
        <w:widowControl w:val="false"/>
        <w:kinsoku/>
        <w:wordWrap/>
        <w:overflowPunct/>
        <w:topLinePunct w:val="false"/>
        <w:autoSpaceDE w:val="false"/>
        <w:autoSpaceDN w:val="false"/>
        <w:bidi w:val="false"/>
        <w:adjustRightInd w:val="false"/>
        <w:snapToGrid/>
        <w:spacing w:line="360" w:lineRule="auto"/>
        <w:ind w:lef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3、经营情况分析</w:t>
      </w:r>
    </w:p>
    <w:p>
      <w:pPr>
        <w:keepNext w:val="false"/>
        <w:keepLines w:val="false"/>
        <w:pageBreakBefore w:val="false"/>
        <w:widowControl w:val="false"/>
        <w:kinsoku/>
        <w:wordWrap/>
        <w:overflowPunct/>
        <w:topLinePunct w:val="false"/>
        <w:autoSpaceDE w:val="false"/>
        <w:autoSpaceDN w:val="false"/>
        <w:bidi w:val="false"/>
        <w:adjustRightInd w:val="false"/>
        <w:snapToGrid/>
        <w:spacing w:line="360" w:lineRule="auto"/>
        <w:ind w:lef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借款人河南中原智慧冷链物流园管理运营有限公司为获嘉县产业集聚区运营发展服务有限公司全资子公司，该公司主要为河南大成包装材料有限公司源网荷储一体化项目</w:t>
      </w:r>
      <w:r>
        <w:rPr>
          <w:rFonts w:hint="eastAsia" w:ascii="仿宋" w:hAnsi="仿宋" w:eastAsia="仿宋" w:cs="仿宋"/>
          <w:color w:val="auto"/>
          <w:kern w:val="0"/>
          <w:sz w:val="24"/>
          <w:szCs w:val="24"/>
          <w:highlight w:val="none"/>
          <w:lang w:val="en-US" w:eastAsia="zh-CN"/>
        </w:rPr>
        <w:t>成立</w:t>
      </w:r>
      <w:r>
        <w:rPr>
          <w:rFonts w:hint="default" w:ascii="仿宋" w:hAnsi="仿宋" w:eastAsia="仿宋" w:cs="仿宋"/>
          <w:color w:val="auto"/>
          <w:kern w:val="0"/>
          <w:sz w:val="24"/>
          <w:szCs w:val="24"/>
          <w:highlight w:val="none"/>
          <w:lang w:val="en-US" w:eastAsia="zh-CN"/>
        </w:rPr>
        <w:t>的项目公司，项目建成后由河南中原智慧冷链物流园管理运营有限公司进行经营管理，目前没有实际经营。本项目建成后光伏售电、储能峰谷套利、智能充电桩收入为主营业务收入。</w:t>
      </w:r>
    </w:p>
    <w:p>
      <w:pPr>
        <w:autoSpaceDE w:val="false"/>
        <w:spacing w:line="360" w:lineRule="auto"/>
        <w:ind w:firstLine="562" w:firstLineChars="200"/>
        <w:jc w:val="left"/>
        <w:rPr>
          <w:rFonts w:ascii="仿宋" w:hAnsi="仿宋" w:eastAsia="仿宋"/>
          <w:b/>
          <w:snapToGrid w:val="false"/>
          <w:color w:val="000000"/>
          <w:sz w:val="30"/>
          <w:szCs w:val="30"/>
        </w:rPr>
      </w:pPr>
      <w:r>
        <w:rPr>
          <w:rFonts w:hint="eastAsia" w:ascii="仿宋" w:hAnsi="仿宋" w:eastAsia="仿宋" w:cstheme="minorEastAsia"/>
          <w:b/>
          <w:bCs/>
          <w:sz w:val="28"/>
          <w:szCs w:val="28"/>
        </w:rPr>
        <w:t>二、主要出资人分析</w:t>
      </w:r>
    </w:p>
    <w:p>
      <w:pPr>
        <w:autoSpaceDE w:val="false"/>
        <w:spacing w:line="360" w:lineRule="auto"/>
        <w:ind w:firstLine="562" w:firstLineChars="200"/>
        <w:jc w:val="left"/>
        <w:rPr>
          <w:rFonts w:hint="eastAsia" w:ascii="仿宋" w:hAnsi="仿宋" w:eastAsia="仿宋" w:cstheme="minorEastAsia"/>
          <w:b/>
          <w:bCs/>
          <w:sz w:val="28"/>
          <w:szCs w:val="28"/>
          <w:lang w:eastAsia="zh-CN"/>
        </w:rPr>
      </w:pPr>
      <w:r>
        <w:rPr>
          <w:rFonts w:hint="eastAsia" w:ascii="仿宋" w:hAnsi="仿宋" w:eastAsia="仿宋" w:cstheme="minorEastAsia"/>
          <w:b/>
          <w:bCs/>
          <w:sz w:val="28"/>
          <w:szCs w:val="28"/>
        </w:rPr>
        <w:t>（一）出资人基本信息表</w:t>
      </w:r>
      <w:r>
        <w:rPr>
          <w:rFonts w:hint="eastAsia" w:ascii="仿宋" w:hAnsi="仿宋" w:eastAsia="仿宋" w:cstheme="minorEastAsia"/>
          <w:b/>
          <w:bCs/>
          <w:sz w:val="28"/>
          <w:szCs w:val="28"/>
          <w:lang w:eastAsia="zh-CN"/>
        </w:rPr>
        <w:t>（</w:t>
      </w:r>
      <w:r>
        <w:rPr>
          <w:rFonts w:hint="eastAsia" w:ascii="仿宋" w:hAnsi="仿宋" w:eastAsia="仿宋" w:cstheme="minorEastAsia"/>
          <w:b/>
          <w:bCs/>
          <w:sz w:val="28"/>
          <w:szCs w:val="28"/>
          <w:lang w:val="en-US" w:eastAsia="zh-CN"/>
        </w:rPr>
        <w:t>股东</w:t>
      </w:r>
      <w:r>
        <w:rPr>
          <w:rFonts w:hint="eastAsia" w:ascii="仿宋" w:hAnsi="仿宋" w:eastAsia="仿宋" w:cstheme="minorEastAsia"/>
          <w:b/>
          <w:bCs/>
          <w:sz w:val="28"/>
          <w:szCs w:val="28"/>
          <w:lang w:eastAsia="zh-CN"/>
        </w:rPr>
        <w:t>）</w:t>
      </w:r>
    </w:p>
    <w:tbl>
      <w:tblPr>
        <w:tblStyle w:val="000008"/>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2232"/>
        <w:gridCol w:w="718"/>
        <w:gridCol w:w="286"/>
        <w:gridCol w:w="979"/>
        <w:gridCol w:w="433"/>
        <w:gridCol w:w="549"/>
        <w:gridCol w:w="975"/>
        <w:gridCol w:w="979"/>
      </w:tblGrid>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出资人名称</w:t>
            </w:r>
          </w:p>
        </w:tc>
        <w:tc>
          <w:tcPr>
            <w:tcW w:w="7151" w:type="dxa"/>
            <w:gridSpan w:val="8"/>
            <w:tcBorders>
              <w:tl2br w:val="nil"/>
              <w:tr2bl w:val="nil"/>
            </w:tcBorders>
            <w:shd w:val="clear" w:color="auto" w:fill="auto"/>
            <w:vAlign w:val="center"/>
          </w:tcPr>
          <w:p>
            <w:pPr>
              <w:rPr>
                <w:rFonts w:hint="default" w:ascii="仿宋" w:hAnsi="仿宋" w:eastAsia="仿宋" w:cs="宋体"/>
                <w:szCs w:val="21"/>
                <w:lang w:val="en-US" w:eastAsia="zh-CN"/>
              </w:rPr>
            </w:pPr>
            <w:r>
              <w:rPr>
                <w:rFonts w:hint="default" w:ascii="仿宋" w:hAnsi="仿宋" w:eastAsia="仿宋" w:cs="宋体"/>
                <w:szCs w:val="21"/>
                <w:lang w:val="en-US" w:eastAsia="zh-CN"/>
              </w:rPr>
              <w:t>获嘉县产业集聚区运营发展服务有限公司</w:t>
            </w: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注册地址</w:t>
            </w:r>
          </w:p>
        </w:tc>
        <w:tc>
          <w:tcPr>
            <w:tcW w:w="7151" w:type="dxa"/>
            <w:gridSpan w:val="8"/>
            <w:tcBorders>
              <w:tl2br w:val="nil"/>
              <w:tr2bl w:val="nil"/>
            </w:tcBorders>
            <w:shd w:val="clear" w:color="auto" w:fill="auto"/>
            <w:vAlign w:val="center"/>
          </w:tcPr>
          <w:p>
            <w:pPr>
              <w:rPr>
                <w:rFonts w:ascii="仿宋" w:hAnsi="仿宋" w:eastAsia="仿宋" w:cs="宋体"/>
                <w:szCs w:val="21"/>
              </w:rPr>
            </w:pPr>
            <w:r>
              <w:rPr>
                <w:rFonts w:ascii="仿宋" w:hAnsi="仿宋" w:eastAsia="仿宋" w:cs="宋体"/>
                <w:szCs w:val="21"/>
              </w:rPr>
              <w:t>河南省获嘉县城关镇产业集聚区四楼405号</w:t>
            </w: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成立时间</w:t>
            </w:r>
          </w:p>
        </w:tc>
        <w:tc>
          <w:tcPr>
            <w:tcW w:w="2950" w:type="dxa"/>
            <w:gridSpan w:val="2"/>
            <w:tcBorders>
              <w:tl2br w:val="nil"/>
              <w:tr2bl w:val="nil"/>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2020.8.7</w:t>
            </w:r>
          </w:p>
        </w:tc>
        <w:tc>
          <w:tcPr>
            <w:tcW w:w="1698" w:type="dxa"/>
            <w:gridSpan w:val="3"/>
            <w:tcBorders>
              <w:tl2br w:val="nil"/>
              <w:tr2bl w:val="nil"/>
            </w:tcBorders>
            <w:shd w:val="clear" w:color="auto" w:fill="auto"/>
            <w:vAlign w:val="center"/>
          </w:tcPr>
          <w:p>
            <w:pPr>
              <w:rPr>
                <w:rFonts w:ascii="仿宋" w:hAnsi="仿宋" w:eastAsia="仿宋" w:cs="宋体"/>
                <w:szCs w:val="21"/>
              </w:rPr>
            </w:pPr>
          </w:p>
        </w:tc>
        <w:tc>
          <w:tcPr>
            <w:tcW w:w="2503" w:type="dxa"/>
            <w:gridSpan w:val="3"/>
            <w:tcBorders>
              <w:tl2br w:val="nil"/>
              <w:tr2bl w:val="nil"/>
            </w:tcBorders>
            <w:shd w:val="clear" w:color="auto" w:fill="auto"/>
            <w:vAlign w:val="center"/>
          </w:tcPr>
          <w:p>
            <w:pPr>
              <w:rPr>
                <w:rFonts w:hint="eastAsia" w:ascii="仿宋" w:hAnsi="仿宋" w:eastAsia="仿宋" w:cs="宋体"/>
                <w:szCs w:val="21"/>
                <w:lang w:eastAsia="zh-CN"/>
              </w:rPr>
            </w:pP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经营范围</w:t>
            </w:r>
          </w:p>
        </w:tc>
        <w:tc>
          <w:tcPr>
            <w:tcW w:w="7151" w:type="dxa"/>
            <w:gridSpan w:val="8"/>
            <w:tcBorders>
              <w:tl2br w:val="nil"/>
              <w:tr2bl w:val="nil"/>
            </w:tcBorders>
            <w:shd w:val="clear" w:color="auto" w:fill="auto"/>
            <w:vAlign w:val="center"/>
          </w:tcPr>
          <w:p>
            <w:pPr>
              <w:rPr>
                <w:rFonts w:ascii="仿宋" w:hAnsi="仿宋" w:eastAsia="仿宋" w:cs="宋体"/>
                <w:szCs w:val="21"/>
              </w:rPr>
            </w:pPr>
            <w:r>
              <w:rPr>
                <w:rFonts w:ascii="仿宋" w:hAnsi="仿宋" w:eastAsia="仿宋" w:cs="宋体"/>
                <w:szCs w:val="21"/>
              </w:rPr>
              <w:t>一般项目：物业管理；房地产评估；房地产经纪；房地产咨询；住房租赁；非居住房地产租赁；建筑材料销售；铁路运输辅助活动；陆路国际货物运输代理；停车场服务；机械设备租赁；运输设备租赁服务；仓储设备租赁服务；单位后勤管理服务；企业管理；公共事业管理服务；园区管理服务；供应链管理服务；法律咨询（不包括律师事务所业务）；信息咨询服务（不含许可类信息咨询服务）；环保咨询服务；企业管理咨询；劳务服务（不含劳务派遣）；市政设施管理；城市绿化管理；建筑物清洁服务；专业保洁、清洗、消毒服务（除依法须经批准的项目外，凭营业执照依法自主开展经营活动）</w:t>
            </w: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所有制类别</w:t>
            </w:r>
          </w:p>
        </w:tc>
        <w:tc>
          <w:tcPr>
            <w:tcW w:w="3236" w:type="dxa"/>
            <w:gridSpan w:val="3"/>
            <w:tcBorders>
              <w:tl2br w:val="nil"/>
              <w:tr2bl w:val="nil"/>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有限责任公司</w:t>
            </w:r>
          </w:p>
        </w:tc>
        <w:tc>
          <w:tcPr>
            <w:tcW w:w="1961" w:type="dxa"/>
            <w:gridSpan w:val="3"/>
            <w:tcBorders>
              <w:tl2br w:val="nil"/>
              <w:tr2bl w:val="nil"/>
            </w:tcBorders>
            <w:shd w:val="clear" w:color="auto" w:fill="auto"/>
            <w:vAlign w:val="center"/>
          </w:tcPr>
          <w:p>
            <w:pPr>
              <w:rPr>
                <w:rFonts w:ascii="仿宋" w:hAnsi="仿宋" w:eastAsia="仿宋" w:cs="宋体"/>
                <w:szCs w:val="21"/>
              </w:rPr>
            </w:pPr>
          </w:p>
        </w:tc>
        <w:tc>
          <w:tcPr>
            <w:tcW w:w="1954" w:type="dxa"/>
            <w:gridSpan w:val="2"/>
            <w:tcBorders>
              <w:tl2br w:val="nil"/>
              <w:tr2bl w:val="nil"/>
            </w:tcBorders>
            <w:shd w:val="clear" w:color="auto" w:fill="auto"/>
            <w:vAlign w:val="center"/>
          </w:tcPr>
          <w:p>
            <w:pPr>
              <w:rPr>
                <w:rFonts w:ascii="仿宋" w:hAnsi="仿宋" w:eastAsia="仿宋" w:cs="宋体"/>
                <w:szCs w:val="21"/>
              </w:rPr>
            </w:pP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行业(国民经济行业分类标准)</w:t>
            </w:r>
          </w:p>
        </w:tc>
        <w:tc>
          <w:tcPr>
            <w:tcW w:w="3236" w:type="dxa"/>
            <w:gridSpan w:val="3"/>
            <w:tcBorders>
              <w:tl2br w:val="nil"/>
              <w:tr2bl w:val="nil"/>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商务服务</w:t>
            </w:r>
          </w:p>
        </w:tc>
        <w:tc>
          <w:tcPr>
            <w:tcW w:w="1961" w:type="dxa"/>
            <w:gridSpan w:val="3"/>
            <w:tcBorders>
              <w:tl2br w:val="nil"/>
              <w:tr2bl w:val="nil"/>
            </w:tcBorders>
            <w:shd w:val="clear" w:color="auto" w:fill="auto"/>
            <w:vAlign w:val="center"/>
          </w:tcPr>
          <w:p>
            <w:pPr>
              <w:rPr>
                <w:rFonts w:ascii="仿宋" w:hAnsi="仿宋" w:eastAsia="仿宋" w:cs="宋体"/>
                <w:szCs w:val="21"/>
              </w:rPr>
            </w:pPr>
          </w:p>
        </w:tc>
        <w:tc>
          <w:tcPr>
            <w:tcW w:w="1954" w:type="dxa"/>
            <w:gridSpan w:val="2"/>
            <w:tcBorders>
              <w:tl2br w:val="nil"/>
              <w:tr2bl w:val="nil"/>
            </w:tcBorders>
            <w:shd w:val="clear" w:color="auto" w:fill="auto"/>
            <w:vAlign w:val="center"/>
          </w:tcPr>
          <w:p>
            <w:pPr>
              <w:rPr>
                <w:rFonts w:ascii="仿宋" w:hAnsi="仿宋" w:eastAsia="仿宋" w:cs="宋体"/>
                <w:szCs w:val="21"/>
              </w:rPr>
            </w:pPr>
          </w:p>
        </w:tc>
      </w:tr>
      <w:tr>
        <w:trPr/>
        <w:tc>
          <w:tcPr>
            <w:tcW w:w="1270"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注册资本(万元)</w:t>
            </w:r>
          </w:p>
        </w:tc>
        <w:tc>
          <w:tcPr>
            <w:tcW w:w="3236" w:type="dxa"/>
            <w:gridSpan w:val="3"/>
            <w:tcBorders>
              <w:tl2br w:val="nil"/>
              <w:tr2bl w:val="nil"/>
            </w:tcBorders>
            <w:shd w:val="clear" w:color="auto" w:fill="auto"/>
            <w:vAlign w:val="center"/>
          </w:tcPr>
          <w:p>
            <w:pPr>
              <w:rPr>
                <w:rFonts w:hint="default" w:ascii="仿宋" w:hAnsi="仿宋" w:eastAsia="仿宋" w:cs="宋体"/>
                <w:szCs w:val="21"/>
                <w:lang w:val="en-US" w:eastAsia="zh-CN"/>
              </w:rPr>
            </w:pPr>
            <w:r>
              <w:rPr>
                <w:rFonts w:hint="eastAsia" w:ascii="仿宋" w:hAnsi="仿宋" w:eastAsia="仿宋" w:cs="宋体"/>
                <w:szCs w:val="21"/>
                <w:lang w:val="en-US" w:eastAsia="zh-CN"/>
              </w:rPr>
              <w:t>300</w:t>
            </w:r>
          </w:p>
        </w:tc>
        <w:tc>
          <w:tcPr>
            <w:tcW w:w="1961" w:type="dxa"/>
            <w:gridSpan w:val="3"/>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szCs w:val="21"/>
              </w:rPr>
              <w:t>注册资本到位率（%）</w:t>
            </w:r>
          </w:p>
        </w:tc>
        <w:tc>
          <w:tcPr>
            <w:tcW w:w="1954" w:type="dxa"/>
            <w:gridSpan w:val="2"/>
            <w:tcBorders>
              <w:tl2br w:val="nil"/>
              <w:tr2bl w:val="nil"/>
            </w:tcBorders>
            <w:shd w:val="clear" w:color="auto" w:fill="auto"/>
            <w:vAlign w:val="center"/>
          </w:tcPr>
          <w:p>
            <w:pPr>
              <w:rPr>
                <w:rFonts w:hint="default" w:ascii="仿宋" w:hAnsi="仿宋" w:eastAsia="仿宋" w:cs="宋体"/>
                <w:szCs w:val="21"/>
                <w:lang w:val="en-US" w:eastAsia="zh-CN"/>
              </w:rPr>
            </w:pPr>
          </w:p>
        </w:tc>
      </w:tr>
      <w:tr>
        <w:trPr/>
        <w:tc>
          <w:tcPr>
            <w:tcW w:w="1270" w:type="dxa"/>
            <w:vMerge w:val="restart"/>
            <w:tcBorders>
              <w:tl2br w:val="nil"/>
              <w:tr2bl w:val="nil"/>
            </w:tcBorders>
            <w:shd w:val="clear" w:color="auto" w:fill="auto"/>
            <w:tcMar>
              <w:top w:w="15" w:type="dxa"/>
              <w:left w:w="15" w:type="dxa"/>
              <w:bottom w:w="15" w:type="dxa"/>
              <w:right w:w="15" w:type="dxa"/>
            </w:tcMar>
            <w:vAlign w:val="center"/>
          </w:tcPr>
          <w:p>
            <w:pPr>
              <w:rPr>
                <w:rFonts w:ascii="仿宋" w:hAnsi="仿宋" w:eastAsia="仿宋"/>
                <w:szCs w:val="21"/>
              </w:rPr>
            </w:pPr>
            <w:r>
              <w:rPr>
                <w:rFonts w:hint="eastAsia" w:ascii="仿宋" w:hAnsi="仿宋" w:eastAsia="仿宋"/>
                <w:szCs w:val="21"/>
              </w:rPr>
              <w:t>财务情况</w:t>
            </w:r>
          </w:p>
          <w:p>
            <w:pPr>
              <w:rPr>
                <w:rFonts w:ascii="仿宋" w:hAnsi="仿宋" w:eastAsia="仿宋" w:cs="宋体"/>
                <w:szCs w:val="21"/>
              </w:rPr>
            </w:pPr>
            <w:r>
              <w:rPr>
                <w:rFonts w:hint="eastAsia" w:ascii="仿宋" w:hAnsi="仿宋" w:eastAsia="仿宋"/>
                <w:szCs w:val="21"/>
              </w:rPr>
              <w:t>信用情况（单位：万元）</w:t>
            </w:r>
          </w:p>
        </w:tc>
        <w:tc>
          <w:tcPr>
            <w:tcW w:w="2232" w:type="dxa"/>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报告期</w:t>
            </w:r>
          </w:p>
        </w:tc>
        <w:tc>
          <w:tcPr>
            <w:tcW w:w="1004" w:type="dxa"/>
            <w:gridSpan w:val="2"/>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cs="宋体"/>
                <w:szCs w:val="21"/>
              </w:rPr>
              <w:t>前三年</w:t>
            </w:r>
          </w:p>
        </w:tc>
        <w:tc>
          <w:tcPr>
            <w:tcW w:w="979"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cs="宋体"/>
                <w:szCs w:val="21"/>
              </w:rPr>
              <w:t>前二年</w:t>
            </w:r>
          </w:p>
        </w:tc>
        <w:tc>
          <w:tcPr>
            <w:tcW w:w="982" w:type="dxa"/>
            <w:gridSpan w:val="2"/>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cs="宋体"/>
                <w:szCs w:val="21"/>
              </w:rPr>
              <w:t>前一年</w:t>
            </w:r>
          </w:p>
        </w:tc>
        <w:tc>
          <w:tcPr>
            <w:tcW w:w="975" w:type="dxa"/>
            <w:tcBorders>
              <w:tl2br w:val="nil"/>
              <w:tr2bl w:val="nil"/>
            </w:tcBorders>
            <w:shd w:val="clear" w:color="auto" w:fill="auto"/>
            <w:vAlign w:val="center"/>
          </w:tcPr>
          <w:p>
            <w:pPr>
              <w:rPr>
                <w:rFonts w:ascii="仿宋" w:hAnsi="仿宋" w:eastAsia="仿宋" w:cs="宋体"/>
                <w:szCs w:val="21"/>
              </w:rPr>
            </w:pPr>
            <w:r>
              <w:rPr>
                <w:rFonts w:hint="eastAsia" w:ascii="仿宋" w:hAnsi="仿宋" w:eastAsia="仿宋" w:cs="宋体"/>
                <w:szCs w:val="21"/>
              </w:rPr>
              <w:t>最近一期</w:t>
            </w:r>
          </w:p>
        </w:tc>
        <w:tc>
          <w:tcPr>
            <w:tcW w:w="979" w:type="dxa"/>
            <w:tcBorders>
              <w:tl2br w:val="nil"/>
              <w:tr2bl w:val="nil"/>
            </w:tcBorders>
            <w:shd w:val="clear" w:color="auto" w:fill="auto"/>
            <w:vAlign w:val="center"/>
          </w:tcPr>
          <w:p>
            <w:pPr>
              <w:ind w:firstLine="105" w:firstLineChars="50"/>
              <w:rPr>
                <w:rFonts w:ascii="仿宋" w:hAnsi="仿宋" w:eastAsia="仿宋" w:cs="宋体"/>
                <w:szCs w:val="21"/>
              </w:rPr>
            </w:pPr>
            <w:r>
              <w:rPr>
                <w:rFonts w:hint="eastAsia" w:ascii="仿宋" w:hAnsi="仿宋" w:eastAsia="仿宋" w:cs="宋体"/>
                <w:szCs w:val="21"/>
              </w:rPr>
              <w:t>备   注</w:t>
            </w: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总资产</w:t>
            </w:r>
          </w:p>
        </w:tc>
        <w:tc>
          <w:tcPr>
            <w:tcW w:w="1004" w:type="dxa"/>
            <w:gridSpan w:val="2"/>
            <w:tcBorders>
              <w:tl2br w:val="nil"/>
              <w:tr2bl w:val="nil"/>
            </w:tcBorders>
            <w:shd w:val="clear" w:color="auto" w:fill="auto"/>
            <w:tcMar>
              <w:top w:w="15" w:type="dxa"/>
              <w:left w:w="15" w:type="dxa"/>
              <w:bottom w:w="15" w:type="dxa"/>
              <w:right w:w="15" w:type="dxa"/>
            </w:tcMar>
            <w:vAlign w:val="center"/>
          </w:tcPr>
          <w:p>
            <w:pPr>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其中：货币资金</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ind w:firstLine="630" w:firstLineChars="300"/>
              <w:rPr>
                <w:rFonts w:ascii="仿宋" w:hAnsi="仿宋" w:eastAsia="仿宋" w:cs="宋体"/>
                <w:szCs w:val="21"/>
              </w:rPr>
            </w:pPr>
            <w:r>
              <w:rPr>
                <w:rFonts w:hint="eastAsia" w:ascii="仿宋" w:hAnsi="仿宋" w:eastAsia="仿宋"/>
                <w:szCs w:val="21"/>
              </w:rPr>
              <w:t xml:space="preserve">流动资产 </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ascii="仿宋" w:hAnsi="仿宋" w:eastAsia="仿宋" w:cs="宋体"/>
                <w:szCs w:val="21"/>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总负债</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其中：短期负债</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 xml:space="preserve">      长期负债</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szCs w:val="21"/>
              </w:rPr>
            </w:pPr>
            <w:r>
              <w:rPr>
                <w:rFonts w:hint="eastAsia" w:ascii="仿宋" w:hAnsi="仿宋" w:eastAsia="仿宋"/>
                <w:szCs w:val="21"/>
              </w:rPr>
              <w:t>所有者权益（净资产）</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总营业收入</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净利润</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经营净现金流</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资产负债率</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cs="宋体"/>
                <w:szCs w:val="21"/>
              </w:rPr>
              <w:t>流动比</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pPr>
              <w:spacing w:line="375" w:lineRule="atLeast"/>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rPr>
                <w:rFonts w:ascii="仿宋" w:hAnsi="仿宋" w:eastAsia="仿宋"/>
                <w:szCs w:val="21"/>
              </w:rPr>
            </w:pPr>
            <w:r>
              <w:rPr>
                <w:rFonts w:hint="eastAsia" w:ascii="仿宋" w:hAnsi="仿宋" w:eastAsia="仿宋"/>
                <w:szCs w:val="21"/>
              </w:rPr>
              <w:t>最新长期股权投资占所有者权益比（%）</w:t>
            </w:r>
          </w:p>
        </w:tc>
        <w:tc>
          <w:tcPr>
            <w:tcW w:w="2965" w:type="dxa"/>
            <w:gridSpan w:val="5"/>
            <w:tcBorders>
              <w:tl2br w:val="nil"/>
              <w:tr2bl w:val="nil"/>
            </w:tcBorders>
            <w:shd w:val="clear" w:color="auto" w:fill="auto"/>
            <w:tcMar>
              <w:top w:w="15" w:type="dxa"/>
              <w:left w:w="15" w:type="dxa"/>
              <w:bottom w:w="15" w:type="dxa"/>
              <w:right w:w="15" w:type="dxa"/>
            </w:tcMar>
            <w:vAlign w:val="center"/>
          </w:tcPr>
          <w:p>
            <w:pPr>
              <w:rPr>
                <w:rFonts w:ascii="仿宋" w:hAnsi="仿宋" w:eastAsia="仿宋"/>
                <w:szCs w:val="21"/>
              </w:rPr>
            </w:pPr>
            <w:r>
              <w:rPr>
                <w:rFonts w:hint="eastAsia" w:ascii="仿宋" w:hAnsi="仿宋" w:eastAsia="仿宋"/>
                <w:szCs w:val="21"/>
              </w:rPr>
              <w:t>（长期股权投资+可出售金融资产）/所有者权益*100%</w:t>
            </w:r>
          </w:p>
        </w:tc>
        <w:tc>
          <w:tcPr>
            <w:tcW w:w="1954" w:type="dxa"/>
            <w:gridSpan w:val="2"/>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客户在我行信用评级</w:t>
            </w:r>
          </w:p>
        </w:tc>
        <w:tc>
          <w:tcPr>
            <w:tcW w:w="1004" w:type="dxa"/>
            <w:gridSpan w:val="2"/>
            <w:tcBorders>
              <w:tl2br w:val="nil"/>
              <w:tr2bl w:val="nil"/>
            </w:tcBorders>
            <w:shd w:val="clear" w:color="auto" w:fill="auto"/>
            <w:tcMar>
              <w:top w:w="15" w:type="dxa"/>
              <w:left w:w="15" w:type="dxa"/>
              <w:bottom w:w="15" w:type="dxa"/>
              <w:right w:w="15" w:type="dxa"/>
            </w:tcMar>
            <w:vAlign w:val="center"/>
          </w:tcPr>
          <w:p>
            <w:pPr>
              <w:rPr>
                <w:rFonts w:hint="default" w:ascii="仿宋" w:hAnsi="仿宋" w:eastAsia="仿宋" w:cs="宋体"/>
                <w:szCs w:val="21"/>
                <w:lang w:val="en-US" w:eastAsia="zh-CN"/>
              </w:rPr>
            </w:pPr>
          </w:p>
        </w:tc>
        <w:tc>
          <w:tcPr>
            <w:tcW w:w="1961" w:type="dxa"/>
            <w:gridSpan w:val="3"/>
            <w:tcBorders>
              <w:tl2br w:val="nil"/>
              <w:tr2bl w:val="nil"/>
            </w:tcBorders>
            <w:shd w:val="clear" w:color="auto" w:fill="auto"/>
            <w:tcMar>
              <w:top w:w="15" w:type="dxa"/>
              <w:left w:w="15" w:type="dxa"/>
              <w:bottom w:w="15" w:type="dxa"/>
              <w:right w:w="15" w:type="dxa"/>
            </w:tcMar>
            <w:vAlign w:val="center"/>
          </w:tcPr>
          <w:p>
            <w:pPr>
              <w:rPr>
                <w:rFonts w:ascii="仿宋" w:hAnsi="仿宋" w:eastAsia="仿宋" w:cs="宋体"/>
                <w:szCs w:val="21"/>
              </w:rPr>
            </w:pPr>
            <w:r>
              <w:rPr>
                <w:rFonts w:hint="eastAsia" w:ascii="仿宋" w:hAnsi="仿宋" w:eastAsia="仿宋"/>
                <w:szCs w:val="21"/>
              </w:rPr>
              <w:t>风险限额</w:t>
            </w:r>
          </w:p>
        </w:tc>
        <w:tc>
          <w:tcPr>
            <w:tcW w:w="1954" w:type="dxa"/>
            <w:gridSpan w:val="2"/>
            <w:tcBorders>
              <w:tl2br w:val="nil"/>
              <w:tr2bl w:val="nil"/>
            </w:tcBorders>
            <w:shd w:val="clear" w:color="auto" w:fill="auto"/>
            <w:tcMar>
              <w:top w:w="15" w:type="dxa"/>
              <w:left w:w="15" w:type="dxa"/>
              <w:bottom w:w="15" w:type="dxa"/>
              <w:right w:w="15" w:type="dxa"/>
            </w:tcMar>
            <w:vAlign w:val="center"/>
          </w:tcPr>
          <w:p>
            <w:pPr>
              <w:rPr>
                <w:rFonts w:hint="default" w:ascii="仿宋" w:hAnsi="仿宋" w:eastAsia="仿宋" w:cs="宋体"/>
                <w:szCs w:val="21"/>
                <w:lang w:val="en-US" w:eastAsia="zh-CN"/>
              </w:rPr>
            </w:pPr>
          </w:p>
        </w:tc>
      </w:tr>
      <w:tr>
        <w:trPr/>
        <w:tc>
          <w:tcPr>
            <w:tcW w:w="1270" w:type="dxa"/>
            <w:vMerge w:val="continue"/>
            <w:tcBorders>
              <w:tl2br w:val="nil"/>
              <w:tr2bl w:val="nil"/>
            </w:tcBorders>
            <w:shd w:val="clear" w:color="auto" w:fill="auto"/>
            <w:vAlign w:val="center"/>
          </w:tcPr>
          <w:p>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我行已有授信业务余额</w:t>
            </w:r>
          </w:p>
        </w:tc>
        <w:tc>
          <w:tcPr>
            <w:tcW w:w="100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default" w:ascii="仿宋" w:hAnsi="仿宋" w:eastAsia="仿宋" w:cs="宋体"/>
                <w:szCs w:val="21"/>
                <w:lang w:val="en-US" w:eastAsia="zh-CN"/>
              </w:rPr>
            </w:pPr>
          </w:p>
        </w:tc>
        <w:tc>
          <w:tcPr>
            <w:tcW w:w="1961" w:type="dxa"/>
            <w:gridSpan w:val="3"/>
            <w:tcBorders>
              <w:tl2br w:val="nil"/>
              <w:tr2bl w:val="nil"/>
            </w:tcBorders>
            <w:shd w:val="clear" w:color="auto" w:fill="auto"/>
            <w:tcMar>
              <w:top w:w="15" w:type="dxa"/>
              <w:left w:w="15" w:type="dxa"/>
              <w:bottom w:w="15" w:type="dxa"/>
              <w:right w:w="15" w:type="dxa"/>
            </w:tcMar>
            <w:vAlign w:val="center"/>
          </w:tcPr>
          <w:p>
            <w:pPr>
              <w:spacing w:line="375" w:lineRule="atLeast"/>
              <w:rPr>
                <w:rFonts w:ascii="仿宋" w:hAnsi="仿宋" w:eastAsia="仿宋" w:cs="宋体"/>
                <w:szCs w:val="21"/>
              </w:rPr>
            </w:pPr>
            <w:r>
              <w:rPr>
                <w:rFonts w:hint="eastAsia" w:ascii="仿宋" w:hAnsi="仿宋" w:eastAsia="仿宋"/>
                <w:szCs w:val="21"/>
              </w:rPr>
              <w:t>我行不良贷款余额</w:t>
            </w:r>
          </w:p>
        </w:tc>
        <w:tc>
          <w:tcPr>
            <w:tcW w:w="1954" w:type="dxa"/>
            <w:gridSpan w:val="2"/>
            <w:tcBorders>
              <w:tl2br w:val="nil"/>
              <w:tr2bl w:val="nil"/>
            </w:tcBorders>
            <w:shd w:val="clear" w:color="auto" w:fill="auto"/>
            <w:tcMar>
              <w:top w:w="15" w:type="dxa"/>
              <w:left w:w="15" w:type="dxa"/>
              <w:bottom w:w="15" w:type="dxa"/>
              <w:right w:w="15" w:type="dxa"/>
            </w:tcMar>
            <w:vAlign w:val="center"/>
          </w:tcPr>
          <w:p>
            <w:pPr>
              <w:spacing w:line="375" w:lineRule="atLeast"/>
              <w:rPr>
                <w:rFonts w:hint="eastAsia" w:ascii="仿宋" w:hAnsi="仿宋" w:eastAsia="仿宋" w:cs="宋体"/>
                <w:szCs w:val="21"/>
                <w:lang w:val="en-US" w:eastAsia="zh-CN"/>
              </w:rPr>
            </w:pPr>
            <w:r>
              <w:rPr>
                <w:rFonts w:hint="eastAsia" w:ascii="仿宋" w:hAnsi="仿宋" w:eastAsia="仿宋" w:cs="宋体"/>
                <w:szCs w:val="21"/>
                <w:lang w:val="en-US" w:eastAsia="zh-CN"/>
              </w:rPr>
              <w:t>0</w:t>
            </w:r>
          </w:p>
        </w:tc>
      </w:tr>
    </w:tbl>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（二）主要出资人情况分析</w:t>
      </w:r>
    </w:p>
    <w:p>
      <w:pPr>
        <w:autoSpaceDE w:val="false"/>
        <w:snapToGrid w:val="false"/>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见</w:t>
      </w:r>
      <w:r>
        <w:rPr>
          <w:rFonts w:hint="eastAsia" w:ascii="仿宋" w:hAnsi="仿宋" w:eastAsia="仿宋" w:cstheme="minorEastAsia"/>
          <w:bCs/>
          <w:sz w:val="24"/>
          <w:lang w:val="en-US" w:eastAsia="zh-CN"/>
        </w:rPr>
        <w:t>上述</w:t>
      </w:r>
      <w:r>
        <w:rPr>
          <w:rFonts w:hint="eastAsia" w:ascii="仿宋" w:hAnsi="仿宋" w:eastAsia="仿宋" w:cstheme="minorEastAsia"/>
          <w:bCs/>
          <w:sz w:val="24"/>
          <w:lang w:eastAsia="zh-CN"/>
        </w:rPr>
        <w:t>借款人所属集团情况分析。</w:t>
      </w:r>
    </w:p>
    <w:p>
      <w:pPr>
        <w:autoSpaceDE w:val="false"/>
        <w:spacing w:line="360" w:lineRule="auto"/>
        <w:ind w:firstLine="562" w:firstLineChars="200"/>
        <w:jc w:val="left"/>
        <w:rPr>
          <w:rFonts w:ascii="仿宋" w:hAnsi="仿宋" w:eastAsia="仿宋" w:cstheme="minorEastAsia"/>
          <w:b/>
          <w:bCs/>
          <w:sz w:val="28"/>
          <w:szCs w:val="28"/>
        </w:rPr>
      </w:pPr>
      <w:bookmarkStart w:id="1" w:name="_Toc257616532"/>
      <w:r>
        <w:rPr>
          <w:rFonts w:hint="eastAsia" w:ascii="仿宋" w:hAnsi="仿宋" w:eastAsia="仿宋" w:cstheme="minorEastAsia"/>
          <w:b/>
          <w:bCs/>
          <w:sz w:val="28"/>
          <w:szCs w:val="28"/>
        </w:rPr>
        <w:t>三、其他参与人分析</w:t>
      </w:r>
      <w:bookmarkEnd w:id="1"/>
    </w:p>
    <w:p>
      <w:pPr>
        <w:autoSpaceDE w:val="false"/>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（一）项目其他参与人基本概况表</w:t>
      </w:r>
    </w:p>
    <w:p>
      <w:pPr>
        <w:autoSpaceDE w:val="false"/>
        <w:snapToGrid w:val="false"/>
        <w:spacing w:line="360" w:lineRule="auto"/>
        <w:ind w:firstLine="480" w:firstLineChars="200"/>
        <w:jc w:val="left"/>
        <w:rPr>
          <w:rFonts w:hint="default" w:ascii="仿宋" w:hAnsi="仿宋" w:eastAsia="仿宋" w:cstheme="minorEastAsia"/>
          <w:bCs/>
          <w:sz w:val="24"/>
          <w:lang w:val="en-US" w:eastAsia="zh-CN"/>
        </w:rPr>
      </w:pPr>
      <w:r>
        <w:rPr>
          <w:rFonts w:hint="eastAsia" w:ascii="仿宋" w:hAnsi="仿宋" w:eastAsia="仿宋" w:cstheme="minorEastAsia"/>
          <w:bCs/>
          <w:sz w:val="24"/>
          <w:lang w:val="en-US" w:eastAsia="zh-CN"/>
        </w:rPr>
        <w:t>本项目暂无其他参与人。</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（二）项目其他参与人具体分析</w:t>
      </w:r>
    </w:p>
    <w:p>
      <w:pPr>
        <w:autoSpaceDE w:val="false"/>
        <w:snapToGrid w:val="false"/>
        <w:spacing w:line="360" w:lineRule="auto"/>
        <w:ind w:firstLine="480" w:firstLineChars="200"/>
        <w:jc w:val="left"/>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sz w:val="24"/>
          <w:lang w:val="en-US" w:eastAsia="zh-CN"/>
        </w:rPr>
        <w:t>本项目暂无其他参与人。</w:t>
      </w:r>
    </w:p>
    <w:p>
      <w:pPr>
        <w:autoSpaceDE w:val="false"/>
        <w:spacing w:line="360" w:lineRule="auto"/>
        <w:ind w:firstLine="562" w:firstLineChars="200"/>
        <w:jc w:val="left"/>
        <w:rPr>
          <w:rFonts w:ascii="仿宋" w:hAnsi="仿宋" w:eastAsia="仿宋" w:cstheme="minorEastAsia"/>
          <w:b/>
          <w:bCs/>
          <w:sz w:val="28"/>
          <w:szCs w:val="28"/>
          <w:highlight w:val="none"/>
        </w:rPr>
      </w:pPr>
      <w:r>
        <w:rPr>
          <w:rFonts w:hint="eastAsia" w:ascii="仿宋" w:hAnsi="仿宋" w:eastAsia="仿宋" w:cstheme="minorEastAsia"/>
          <w:b/>
          <w:bCs/>
          <w:sz w:val="28"/>
          <w:szCs w:val="28"/>
          <w:highlight w:val="none"/>
        </w:rPr>
        <w:t>四、保证人</w:t>
      </w:r>
    </w:p>
    <w:p>
      <w:pPr>
        <w:autoSpaceDE w:val="false"/>
        <w:snapToGrid w:val="false"/>
        <w:spacing w:line="360" w:lineRule="auto"/>
        <w:ind w:firstLine="480" w:firstLineChars="200"/>
        <w:jc w:val="left"/>
        <w:rPr>
          <w:rFonts w:hint="default" w:ascii="仿宋" w:hAnsi="仿宋" w:eastAsia="仿宋" w:cstheme="minorEastAsia"/>
          <w:bCs/>
          <w:sz w:val="24"/>
          <w:highlight w:val="none"/>
          <w:lang w:val="en-US" w:eastAsia="zh-CN"/>
        </w:rPr>
      </w:pPr>
      <w:r>
        <w:rPr>
          <w:rFonts w:hint="eastAsia" w:ascii="仿宋" w:hAnsi="仿宋" w:eastAsia="仿宋" w:cstheme="minorEastAsia"/>
          <w:bCs/>
          <w:sz w:val="24"/>
          <w:highlight w:val="none"/>
          <w:lang w:eastAsia="zh-CN"/>
        </w:rPr>
        <w:t>保证人</w:t>
      </w:r>
      <w:r>
        <w:rPr>
          <w:rFonts w:hint="eastAsia" w:ascii="仿宋" w:hAnsi="仿宋" w:eastAsia="仿宋" w:cstheme="minorEastAsia"/>
          <w:bCs/>
          <w:sz w:val="24"/>
          <w:highlight w:val="none"/>
          <w:lang w:val="en-US" w:eastAsia="zh-CN"/>
        </w:rPr>
        <w:t>1：河南同盟国资集团有限公司</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2"/>
        <w:textAlignment w:val="auto"/>
        <w:rPr>
          <w:rFonts w:hint="eastAsia" w:ascii="仿宋" w:hAnsi="仿宋" w:eastAsia="仿宋" w:cstheme="minorEastAsia"/>
          <w:bCs/>
          <w:color w:val="FF0000"/>
          <w:sz w:val="24"/>
          <w:highlight w:val="none"/>
          <w:lang w:eastAsia="zh-CN"/>
        </w:rPr>
      </w:pPr>
      <w:r>
        <w:rPr>
          <w:rFonts w:hint="eastAsia" w:ascii="仿宋" w:hAnsi="仿宋" w:eastAsia="仿宋" w:cstheme="minorEastAsia"/>
          <w:bCs/>
          <w:sz w:val="24"/>
          <w:highlight w:val="none"/>
          <w:lang w:val="en-US" w:eastAsia="zh-CN"/>
        </w:rPr>
        <w:t>河南同盟国资集团有限公司成立于2011年1月5日，法定代表人：张光玉，注册资本20000万元，注册地址：河南省新乡市获嘉县凤翔路8号产学研中心院内综合楼，经营范围：许可项目：房地产开发经营；建设工程施工；食品销售；酒类经营（依法须经批准的项目，经相关部门批准后方可开展经营活动，具体经营项目以相关部门批准文件或许可证件为准）一般项目：以自有资金从事投资活动；土石方工程施工；园林绿化工程施工；对外承包工程；土地使用权租赁；土地整治服务；土地调查评估服务；文化场馆管理服务；城市公园管理；游览景区管理；电力设施器材销售；建筑材料销售；林业产品销售；智能农业管理；农业机械销售；污水处理及其再生利用；农村生活垃圾经营性服务；充电桩销售；停车场服务；文具用品零售；文具用品批发；办公用品销售；玩具、动漫及游艺用品销售；文艺创作（除依法须经批准的项目外，凭营业执照依法自主开展经营活动）</w:t>
      </w:r>
      <w:r>
        <w:rPr>
          <w:rFonts w:hint="eastAsia" w:ascii="仿宋" w:hAnsi="仿宋" w:eastAsia="仿宋" w:cstheme="minorEastAsia"/>
          <w:bCs/>
          <w:kern w:val="2"/>
          <w:sz w:val="24"/>
          <w:szCs w:val="24"/>
          <w:highlight w:val="none"/>
          <w:lang w:val="en-US" w:eastAsia="zh-CN" w:bidi="ar-SA"/>
        </w:rPr>
        <w:t>。</w:t>
      </w:r>
    </w:p>
    <w:p>
      <w:pPr>
        <w:autoSpaceDE w:val="false"/>
        <w:spacing w:line="360" w:lineRule="auto"/>
        <w:ind w:firstLine="562" w:firstLineChars="200"/>
        <w:jc w:val="left"/>
        <w:rPr>
          <w:rFonts w:ascii="仿宋" w:hAnsi="仿宋" w:eastAsia="仿宋" w:cstheme="minorEastAsia"/>
          <w:b/>
          <w:bCs/>
          <w:sz w:val="28"/>
          <w:szCs w:val="28"/>
          <w:highlight w:val="none"/>
        </w:rPr>
      </w:pPr>
      <w:r>
        <w:rPr>
          <w:rFonts w:hint="eastAsia" w:ascii="仿宋" w:hAnsi="仿宋" w:eastAsia="仿宋" w:cstheme="minorEastAsia"/>
          <w:b/>
          <w:bCs/>
          <w:sz w:val="28"/>
          <w:szCs w:val="28"/>
          <w:highlight w:val="none"/>
        </w:rPr>
        <w:t>五、抵质押物</w:t>
      </w:r>
    </w:p>
    <w:p>
      <w:pPr>
        <w:autoSpaceDE w:val="false"/>
        <w:snapToGrid w:val="false"/>
        <w:spacing w:line="360" w:lineRule="auto"/>
        <w:ind w:firstLine="480" w:firstLineChars="200"/>
        <w:jc w:val="left"/>
        <w:rPr/>
      </w:pPr>
      <w:r>
        <w:rPr>
          <w:rFonts w:hint="eastAsia" w:ascii="仿宋" w:hAnsi="仿宋" w:eastAsia="仿宋" w:cstheme="minorEastAsia"/>
          <w:bCs/>
          <w:sz w:val="24"/>
          <w:highlight w:val="none"/>
          <w:lang w:val="en-US" w:eastAsia="zh-CN"/>
        </w:rPr>
        <w:t>本项目采用应收账款质押并追加信用担保方式进行担保押。</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六、本章小结</w:t>
      </w:r>
    </w:p>
    <w:p>
      <w:pPr>
        <w:keepNext w:val="false"/>
        <w:keepLines w:val="false"/>
        <w:pageBreakBefore w:val="false"/>
        <w:widowControl w:val="false"/>
        <w:kinsoku/>
        <w:wordWrap/>
        <w:overflowPunct w:val="false"/>
        <w:topLinePunct w:val="false"/>
        <w:autoSpaceDE/>
        <w:autoSpaceDN/>
        <w:bidi w:val="false"/>
        <w:adjustRightInd/>
        <w:snapToGrid w:val="false"/>
        <w:spacing w:line="360" w:lineRule="auto"/>
        <w:ind w:firstLine="480" w:firstLineChars="200"/>
        <w:textAlignment w:val="bottom"/>
        <w:rPr>
          <w:rFonts w:hint="eastAsia" w:ascii="仿宋" w:hAnsi="仿宋" w:eastAsia="仿宋"/>
          <w:kern w:val="0"/>
          <w:sz w:val="24"/>
          <w:szCs w:val="24"/>
          <w:highlight w:val="none"/>
          <w:lang w:val="en-US" w:eastAsia="zh-CN"/>
        </w:rPr>
      </w:pPr>
      <w:r>
        <w:rPr>
          <w:rFonts w:hint="eastAsia" w:ascii="仿宋" w:hAnsi="仿宋" w:eastAsia="仿宋"/>
          <w:kern w:val="0"/>
          <w:sz w:val="24"/>
          <w:szCs w:val="24"/>
          <w:lang w:val="en-US" w:eastAsia="zh-CN"/>
        </w:rPr>
        <w:t>保证人河南同盟国资集团有限公司为本项目提供信用担保，保证</w:t>
      </w:r>
      <w:r>
        <w:rPr>
          <w:rFonts w:hint="eastAsia" w:ascii="仿宋" w:hAnsi="仿宋" w:eastAsia="仿宋"/>
          <w:kern w:val="0"/>
          <w:sz w:val="24"/>
          <w:szCs w:val="24"/>
          <w:highlight w:val="none"/>
          <w:lang w:val="en-US" w:eastAsia="zh-CN"/>
        </w:rPr>
        <w:t>人为既有法人（国资背景），主要从工程建设等，根据经营单位反馈，可以为本项目提供一定现金流支持。河南同盟国资集团有限公司负债率较高，风险缓释能力有限。</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000004"/>
        <w:spacing w:before="0" w:after="0" w:line="360" w:lineRule="auto"/>
        <w:jc w:val="center"/>
        <w:rPr>
          <w:rFonts w:hint="eastAsia" w:ascii="仿宋" w:hAnsi="仿宋" w:eastAsia="仿宋" w:cstheme="majorEastAsia"/>
          <w:color w:val="000000"/>
          <w:kern w:val="0"/>
          <w:sz w:val="36"/>
          <w:szCs w:val="36"/>
          <w:highlight w:val="none"/>
        </w:rPr>
      </w:pPr>
      <w:r>
        <w:rPr>
          <w:rFonts w:hint="eastAsia" w:ascii="仿宋" w:hAnsi="仿宋" w:eastAsia="仿宋" w:cstheme="majorEastAsia"/>
          <w:color w:val="000000"/>
          <w:kern w:val="0"/>
          <w:sz w:val="36"/>
          <w:szCs w:val="36"/>
          <w:highlight w:val="none"/>
        </w:rPr>
        <w:t>第三章 项目概况与回报模式评估</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一、项目基本情况</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（一）项目内容</w:t>
      </w:r>
    </w:p>
    <w:p>
      <w:pPr>
        <w:autoSpaceDE w:val="false"/>
        <w:snapToGrid w:val="false"/>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项目名称：河南大成包装材料有限公司源网荷储一体化项目</w:t>
      </w:r>
    </w:p>
    <w:p>
      <w:pPr>
        <w:autoSpaceDE w:val="false"/>
        <w:snapToGrid w:val="false"/>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val="en-US" w:eastAsia="zh-CN"/>
        </w:rPr>
        <w:t>建设</w:t>
      </w:r>
      <w:r>
        <w:rPr>
          <w:rFonts w:hint="eastAsia" w:ascii="仿宋" w:hAnsi="仿宋" w:eastAsia="仿宋" w:cstheme="minorEastAsia"/>
          <w:bCs/>
          <w:sz w:val="24"/>
          <w:lang w:eastAsia="zh-CN"/>
        </w:rPr>
        <w:t>单位：河南中原智慧冷链物流园管理运营有限公司</w:t>
      </w:r>
    </w:p>
    <w:p>
      <w:pPr>
        <w:pBdr>
          <w:bottom w:val="none" w:color="auto" w:sz="0" w:space="0"/>
        </w:pBdr>
        <w:autoSpaceDE w:val="false"/>
        <w:snapToGrid w:val="false"/>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建设地点：新乡市获嘉县先进制造业开发区梧桐路与安王公路交叉口东南角，位于现状获嘉县县县产业集聚区创业孵化园区内。</w:t>
      </w:r>
    </w:p>
    <w:p>
      <w:pPr>
        <w:pBdr>
          <w:bottom w:val="none" w:color="auto" w:sz="0" w:space="0"/>
        </w:pBdr>
        <w:autoSpaceDE w:val="false"/>
        <w:snapToGrid w:val="false"/>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建设规模及内容：本项目在获嘉县产业集聚区创业孵化园区内工业厂房屋顶部署</w:t>
      </w:r>
      <w:r>
        <w:rPr>
          <w:rFonts w:hint="eastAsia" w:ascii="仿宋" w:hAnsi="仿宋" w:eastAsia="仿宋" w:cstheme="minorEastAsia"/>
          <w:bCs/>
          <w:color w:val="000000"/>
          <w:sz w:val="24"/>
          <w:lang w:eastAsia="zh-CN"/>
        </w:rPr>
        <w:t>5956KW的分布式光伏发电系统，并配套安装用户侧储能设施，总规模达到20MW/40MWh。此外，项目规划安装5个光伏充电桩</w:t>
      </w:r>
      <w:r>
        <w:rPr>
          <w:rFonts w:hint="eastAsia" w:ascii="仿宋" w:hAnsi="仿宋" w:eastAsia="仿宋" w:cstheme="minorEastAsia"/>
          <w:bCs/>
          <w:sz w:val="24"/>
          <w:lang w:eastAsia="zh-CN"/>
        </w:rPr>
        <w:t>，并同步实施园区其他相关配套工程。通过源网荷储一体化方案，项目所产出的新能源电力将直供给大成包装使用。</w:t>
      </w:r>
    </w:p>
    <w:p>
      <w:pPr>
        <w:autoSpaceDE w:val="false"/>
        <w:snapToGrid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（二）项目合规性</w:t>
      </w:r>
    </w:p>
    <w:tbl>
      <w:tblPr>
        <w:tblStyle w:val="000008"/>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1296"/>
        <w:gridCol w:w="2469"/>
        <w:gridCol w:w="2857"/>
      </w:tblGrid>
      <w:tr>
        <w:trPr>
          <w:trHeight w:val="416" w:hRule="atLeast"/>
        </w:trPr>
        <w:tc>
          <w:tcPr>
            <w:tcW w:w="1706" w:type="dxa"/>
            <w:shd w:val="clear" w:color="auto" w:fill="FFFFFF" w:themeFill="background1"/>
            <w:vAlign w:val="center"/>
          </w:tcPr>
          <w:p>
            <w:pPr>
              <w:jc w:val="center"/>
              <w:rPr>
                <w:rFonts w:ascii="仿宋" w:hAnsi="仿宋" w:eastAsia="仿宋"/>
                <w:b/>
                <w:color w:val="000000"/>
                <w:szCs w:val="21"/>
              </w:rPr>
            </w:pPr>
            <w:r>
              <w:rPr>
                <w:rFonts w:hint="eastAsia" w:ascii="仿宋" w:hAnsi="仿宋" w:eastAsia="仿宋"/>
                <w:b/>
                <w:color w:val="000000"/>
                <w:szCs w:val="21"/>
              </w:rPr>
              <w:t>文件名称</w:t>
            </w:r>
          </w:p>
        </w:tc>
        <w:tc>
          <w:tcPr>
            <w:tcW w:w="1296" w:type="dxa"/>
            <w:shd w:val="clear" w:color="auto" w:fill="FFFFFF" w:themeFill="background1"/>
            <w:vAlign w:val="center"/>
          </w:tcPr>
          <w:p>
            <w:pPr>
              <w:jc w:val="center"/>
              <w:rPr>
                <w:rFonts w:ascii="仿宋" w:hAnsi="仿宋" w:eastAsia="仿宋"/>
                <w:b/>
                <w:color w:val="000000"/>
                <w:szCs w:val="21"/>
              </w:rPr>
            </w:pPr>
            <w:r>
              <w:rPr>
                <w:rFonts w:hint="eastAsia" w:ascii="仿宋" w:hAnsi="仿宋" w:eastAsia="仿宋"/>
                <w:b/>
                <w:color w:val="000000"/>
                <w:szCs w:val="21"/>
              </w:rPr>
              <w:t>是否具备</w:t>
            </w:r>
            <w:r>
              <w:rPr>
                <w:rStyle w:val="000024"/>
                <w:rFonts w:hint="eastAsia" w:ascii="仿宋" w:hAnsi="仿宋" w:eastAsia="仿宋"/>
                <w:b/>
                <w:color w:val="000000"/>
                <w:szCs w:val="21"/>
              </w:rPr>
              <w:footnoteReference w:customMarkFollows="false" w:id="0"/>
            </w:r>
          </w:p>
        </w:tc>
        <w:tc>
          <w:tcPr>
            <w:tcW w:w="5326" w:type="dxa"/>
            <w:gridSpan w:val="2"/>
            <w:shd w:val="clear" w:color="auto" w:fill="FFFFFF" w:themeFill="background1"/>
            <w:vAlign w:val="center"/>
          </w:tcPr>
          <w:p>
            <w:pPr>
              <w:jc w:val="center"/>
              <w:rPr>
                <w:rFonts w:ascii="仿宋" w:hAnsi="仿宋" w:eastAsia="仿宋"/>
                <w:b/>
                <w:color w:val="000000"/>
                <w:szCs w:val="21"/>
              </w:rPr>
            </w:pPr>
            <w:r>
              <w:rPr>
                <w:rFonts w:hint="eastAsia" w:ascii="仿宋" w:hAnsi="仿宋" w:eastAsia="仿宋"/>
                <w:b/>
                <w:color w:val="000000"/>
                <w:szCs w:val="21"/>
              </w:rPr>
              <w:t>内容</w:t>
            </w:r>
          </w:p>
        </w:tc>
      </w:tr>
      <w:tr>
        <w:trPr>
          <w:trHeight w:val="417" w:hRule="atLeast"/>
        </w:trPr>
        <w:tc>
          <w:tcPr>
            <w:tcW w:w="1706" w:type="dxa"/>
            <w:shd w:val="clear" w:color="auto" w:fill="auto"/>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建设用地规划许可证</w:t>
            </w:r>
          </w:p>
        </w:tc>
        <w:tc>
          <w:tcPr>
            <w:tcW w:w="1296" w:type="dxa"/>
            <w:tcBorders>
              <w:bottom w:val="single" w:color="000000" w:sz="4" w:space="0"/>
            </w:tcBorders>
            <w:shd w:val="clear" w:color="auto" w:fill="F1F1F1" w:themeFill="background1" w:themeFillShade="F2"/>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bottom w:val="single" w:color="000000" w:sz="4" w:space="0"/>
            </w:tcBorders>
            <w:shd w:val="clear" w:color="auto" w:fill="auto"/>
            <w:vAlign w:val="center"/>
          </w:tcPr>
          <w:p>
            <w:pP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bottom w:val="single" w:color="000000" w:sz="4" w:space="0"/>
            </w:tcBorders>
            <w:shd w:val="clear" w:color="auto" w:fill="F1F1F1" w:themeFill="background1" w:themeFillShade="F2"/>
            <w:vAlign w:val="center"/>
          </w:tcPr>
          <w:p>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2020年9月16日取得</w:t>
            </w:r>
            <w:r>
              <w:rPr>
                <w:rFonts w:hint="eastAsia" w:ascii="仿宋" w:hAnsi="仿宋" w:eastAsia="仿宋"/>
                <w:color w:val="000000"/>
                <w:szCs w:val="21"/>
                <w:lang w:eastAsia="zh-CN"/>
              </w:rPr>
              <w:t>建设用地规划许可证</w:t>
            </w:r>
            <w:r>
              <w:rPr>
                <w:rFonts w:hint="default" w:ascii="仿宋" w:hAnsi="仿宋" w:eastAsia="仿宋"/>
                <w:color w:val="000000"/>
                <w:szCs w:val="21"/>
                <w:lang w:val="en-US" w:eastAsia="zh-CN"/>
              </w:rPr>
              <w:t>，编号：地字第410724202000064号；</w:t>
            </w:r>
          </w:p>
          <w:p>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2021年9月9日取得</w:t>
            </w:r>
            <w:r>
              <w:rPr>
                <w:rFonts w:hint="eastAsia" w:ascii="仿宋" w:hAnsi="仿宋" w:eastAsia="仿宋"/>
                <w:color w:val="000000"/>
                <w:szCs w:val="21"/>
                <w:lang w:eastAsia="zh-CN"/>
              </w:rPr>
              <w:t>建设用地规划许可证</w:t>
            </w:r>
            <w:r>
              <w:rPr>
                <w:rFonts w:hint="default" w:ascii="仿宋" w:hAnsi="仿宋" w:eastAsia="仿宋"/>
                <w:color w:val="000000"/>
                <w:szCs w:val="21"/>
                <w:lang w:val="en-US" w:eastAsia="zh-CN"/>
              </w:rPr>
              <w:t>，编号：地字第410724202100041号；</w:t>
            </w:r>
          </w:p>
        </w:tc>
      </w:tr>
      <w:tr>
        <w:trPr>
          <w:trHeight w:val="417" w:hRule="atLeast"/>
        </w:trPr>
        <w:tc>
          <w:tcPr>
            <w:tcW w:w="1706" w:type="dxa"/>
            <w:shd w:val="clear" w:color="auto" w:fill="auto"/>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土地使用权证</w:t>
            </w:r>
          </w:p>
        </w:tc>
        <w:tc>
          <w:tcPr>
            <w:tcW w:w="1296" w:type="dxa"/>
            <w:tcBorders>
              <w:bottom w:val="single" w:color="000000" w:sz="4" w:space="0"/>
            </w:tcBorders>
            <w:shd w:val="clear" w:color="auto" w:fill="F1F1F1" w:themeFill="background1" w:themeFillShade="F2"/>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bottom w:val="single" w:color="000000" w:sz="4" w:space="0"/>
            </w:tcBorders>
            <w:shd w:val="clear" w:color="auto" w:fill="auto"/>
            <w:vAlign w:val="center"/>
          </w:tcPr>
          <w:p>
            <w:pPr>
              <w:pBdr>
                <w:bottom w:val="none" w:color="auto" w:sz="0" w:space="0"/>
              </w:pBd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bottom w:val="single" w:color="000000" w:sz="4" w:space="0"/>
            </w:tcBorders>
            <w:shd w:val="clear" w:color="auto" w:fill="F1F1F1" w:themeFill="background1" w:themeFillShade="F2"/>
            <w:vAlign w:val="center"/>
          </w:tcPr>
          <w:p>
            <w:pPr>
              <w:jc w:val="left"/>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2022年3月16日取得土地使用权证书，编号：豫（2022）获嘉县不动产权第0003613号</w:t>
            </w:r>
          </w:p>
          <w:p>
            <w:pPr>
              <w:pBdr>
                <w:bottom w:val="none" w:color="auto" w:sz="0" w:space="0"/>
              </w:pBdr>
              <w:jc w:val="left"/>
              <w:rPr>
                <w:rFonts w:hint="default" w:ascii="仿宋" w:hAnsi="仿宋" w:eastAsia="仿宋"/>
                <w:color w:val="000000"/>
                <w:szCs w:val="21"/>
                <w:lang w:val="en-US" w:eastAsia="zh-CN"/>
              </w:rPr>
            </w:pPr>
          </w:p>
        </w:tc>
      </w:tr>
      <w:tr>
        <w:trPr>
          <w:trHeight w:val="408" w:hRule="atLeast"/>
        </w:trPr>
        <w:tc>
          <w:tcPr>
            <w:tcW w:w="1706" w:type="dxa"/>
            <w:shd w:val="clear" w:color="auto" w:fill="auto"/>
            <w:vAlign w:val="center"/>
          </w:tcPr>
          <w:p>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项目可行性研究报告</w:t>
            </w:r>
          </w:p>
        </w:tc>
        <w:tc>
          <w:tcPr>
            <w:tcW w:w="1296" w:type="dxa"/>
            <w:tcBorders>
              <w:top w:val="single" w:color="000000" w:sz="4" w:space="0"/>
              <w:bottom w:val="single" w:color="000000" w:sz="4" w:space="0"/>
            </w:tcBorders>
            <w:shd w:val="clear" w:color="auto" w:fill="F1F1F1" w:themeFill="background1" w:themeFillShade="F2"/>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top w:val="single" w:color="000000" w:sz="4" w:space="0"/>
              <w:bottom w:val="single" w:color="000000" w:sz="4" w:space="0"/>
            </w:tcBorders>
            <w:shd w:val="clear" w:color="auto" w:fill="auto"/>
            <w:vAlign w:val="center"/>
          </w:tcPr>
          <w:p>
            <w:pPr>
              <w:pBdr>
                <w:bottom w:val="none" w:color="auto" w:sz="0" w:space="0"/>
              </w:pBd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top w:val="single" w:color="000000" w:sz="4" w:space="0"/>
              <w:bottom w:val="single" w:color="000000" w:sz="4" w:space="0"/>
            </w:tcBorders>
            <w:shd w:val="clear" w:color="auto" w:fill="F1F1F1" w:themeFill="background1" w:themeFillShade="F2"/>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2025年5月完成可行性研究报告制作</w:t>
            </w:r>
          </w:p>
          <w:p>
            <w:pPr>
              <w:rPr>
                <w:rFonts w:hint="default" w:ascii="仿宋" w:hAnsi="仿宋" w:eastAsia="仿宋"/>
                <w:color w:val="000000"/>
                <w:szCs w:val="21"/>
                <w:lang w:val="en-US" w:eastAsia="zh-CN"/>
              </w:rPr>
            </w:pPr>
          </w:p>
        </w:tc>
      </w:tr>
      <w:tr>
        <w:trPr>
          <w:trHeight w:val="408" w:hRule="atLeast"/>
        </w:trPr>
        <w:tc>
          <w:tcPr>
            <w:tcW w:w="1706" w:type="dxa"/>
            <w:shd w:val="clear" w:color="auto" w:fill="auto"/>
            <w:vAlign w:val="center"/>
          </w:tcPr>
          <w:p>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项目备案</w:t>
            </w:r>
          </w:p>
        </w:tc>
        <w:tc>
          <w:tcPr>
            <w:tcW w:w="1296" w:type="dxa"/>
            <w:tcBorders>
              <w:top w:val="single" w:color="000000" w:sz="4" w:space="0"/>
              <w:bottom w:val="single" w:color="000000" w:sz="4" w:space="0"/>
            </w:tcBorders>
            <w:shd w:val="clear" w:color="auto" w:fill="F1F1F1" w:themeFill="background1" w:themeFillShade="F2"/>
            <w:vAlign w:val="center"/>
          </w:tcPr>
          <w:p>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top w:val="single" w:color="000000" w:sz="4" w:space="0"/>
              <w:bottom w:val="single" w:color="000000" w:sz="4" w:space="0"/>
            </w:tcBorders>
            <w:shd w:val="clear" w:color="auto" w:fill="auto"/>
            <w:vAlign w:val="center"/>
          </w:tcPr>
          <w:p>
            <w:pP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top w:val="single" w:color="000000" w:sz="4" w:space="0"/>
              <w:bottom w:val="single" w:color="000000" w:sz="4" w:space="0"/>
            </w:tcBorders>
            <w:shd w:val="clear" w:color="auto" w:fill="F1F1F1" w:themeFill="background1" w:themeFillShade="F2"/>
            <w:vAlign w:val="center"/>
          </w:tcPr>
          <w:p>
            <w:pP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2025年5月30日由获嘉县发改委取得项目备案证明</w:t>
            </w:r>
          </w:p>
        </w:tc>
      </w:tr>
      <w:tr>
        <w:trPr>
          <w:trHeight w:val="408" w:hRule="atLeast"/>
        </w:trPr>
        <w:tc>
          <w:tcPr>
            <w:tcW w:w="1706" w:type="dxa"/>
            <w:shd w:val="clear" w:color="auto" w:fill="auto"/>
            <w:vAlign w:val="center"/>
          </w:tcPr>
          <w:p>
            <w:pPr>
              <w:rPr>
                <w:rFonts w:hint="default" w:ascii="仿宋" w:hAnsi="仿宋" w:eastAsia="仿宋"/>
                <w:color w:val="FF0000"/>
                <w:szCs w:val="21"/>
                <w:lang w:val="en-US" w:eastAsia="zh-CN"/>
              </w:rPr>
            </w:pPr>
            <w:r>
              <w:rPr>
                <w:rFonts w:hint="eastAsia" w:ascii="仿宋" w:hAnsi="仿宋" w:eastAsia="仿宋"/>
                <w:color w:val="FF0000"/>
                <w:szCs w:val="21"/>
                <w:lang w:val="en-US" w:eastAsia="zh-CN"/>
              </w:rPr>
              <w:t>环评登记</w:t>
            </w:r>
          </w:p>
        </w:tc>
        <w:tc>
          <w:tcPr>
            <w:tcW w:w="1296" w:type="dxa"/>
            <w:tcBorders>
              <w:top w:val="single" w:color="000000" w:sz="4" w:space="0"/>
              <w:bottom w:val="single" w:color="000000" w:sz="4" w:space="0"/>
            </w:tcBorders>
            <w:shd w:val="clear" w:color="auto" w:fill="F1F1F1" w:themeFill="background1" w:themeFillShade="F2"/>
            <w:vAlign w:val="center"/>
          </w:tcPr>
          <w:p>
            <w:pPr>
              <w:rPr>
                <w:rFonts w:hint="default" w:ascii="仿宋" w:hAnsi="仿宋" w:eastAsia="仿宋"/>
                <w:color w:val="FF0000"/>
                <w:szCs w:val="21"/>
                <w:lang w:val="en-US" w:eastAsia="zh-CN"/>
              </w:rPr>
            </w:pPr>
            <w:r>
              <w:rPr>
                <w:rFonts w:hint="eastAsia" w:ascii="仿宋" w:hAnsi="仿宋" w:eastAsia="仿宋"/>
                <w:color w:val="FF0000"/>
                <w:szCs w:val="21"/>
                <w:lang w:val="en-US" w:eastAsia="zh-CN"/>
              </w:rPr>
              <w:t>是</w:t>
            </w:r>
          </w:p>
        </w:tc>
        <w:tc>
          <w:tcPr>
            <w:tcW w:w="2469" w:type="dxa"/>
            <w:tcBorders>
              <w:top w:val="single" w:color="000000" w:sz="4" w:space="0"/>
              <w:bottom w:val="single" w:color="000000" w:sz="4" w:space="0"/>
            </w:tcBorders>
            <w:shd w:val="clear" w:color="auto" w:fill="auto"/>
            <w:vAlign w:val="center"/>
          </w:tcPr>
          <w:p>
            <w:pPr>
              <w:rPr>
                <w:rFonts w:ascii="仿宋" w:hAnsi="仿宋" w:eastAsia="仿宋" w:cstheme="minorBidi"/>
                <w:color w:val="FF0000"/>
                <w:kern w:val="2"/>
                <w:sz w:val="21"/>
                <w:szCs w:val="21"/>
                <w:highlight w:val="none"/>
                <w:lang w:val="en-US" w:eastAsia="zh-CN" w:bidi="ar-SA"/>
              </w:rPr>
            </w:pPr>
            <w:r>
              <w:rPr>
                <w:rFonts w:ascii="仿宋" w:hAnsi="仿宋" w:eastAsia="仿宋"/>
                <w:color w:val="FF0000"/>
                <w:szCs w:val="21"/>
                <w:highlight w:val="none"/>
              </w:rPr>
              <w:t>批复部门、文件名称及文号</w:t>
            </w:r>
          </w:p>
          <w:p>
            <w:pPr>
              <w:rPr>
                <w:rFonts w:ascii="仿宋" w:hAnsi="仿宋" w:eastAsia="仿宋" w:cstheme="minorBidi"/>
                <w:color w:val="FF0000"/>
                <w:kern w:val="2"/>
                <w:sz w:val="21"/>
                <w:szCs w:val="21"/>
                <w:highlight w:val="none"/>
                <w:lang w:val="en-US" w:eastAsia="zh-CN" w:bidi="ar-SA"/>
              </w:rPr>
            </w:pPr>
          </w:p>
        </w:tc>
        <w:tc>
          <w:tcPr>
            <w:tcW w:w="2857" w:type="dxa"/>
            <w:tcBorders>
              <w:top w:val="single" w:color="000000" w:sz="4" w:space="0"/>
              <w:bottom w:val="single" w:color="000000" w:sz="4" w:space="0"/>
            </w:tcBorders>
            <w:shd w:val="clear" w:color="auto" w:fill="F1F1F1" w:themeFill="background1" w:themeFillShade="F2"/>
            <w:vAlign w:val="center"/>
          </w:tcPr>
          <w:p>
            <w:pPr>
              <w:rPr>
                <w:rFonts w:hint="eastAsia" w:ascii="仿宋" w:hAnsi="仿宋" w:eastAsia="仿宋"/>
                <w:color w:val="FF0000"/>
                <w:szCs w:val="21"/>
                <w:lang w:val="en-US" w:eastAsia="zh-CN"/>
              </w:rPr>
            </w:pPr>
          </w:p>
        </w:tc>
      </w:tr>
    </w:tbl>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（三）项目回报模式及评价</w:t>
      </w:r>
    </w:p>
    <w:p>
      <w:pPr>
        <w:keepNext w:val="false"/>
        <w:keepLines w:val="false"/>
        <w:pageBreakBefore w:val="false"/>
        <w:widowControl w:val="false"/>
        <w:kinsoku/>
        <w:wordWrap/>
        <w:overflowPunct/>
        <w:topLinePunct w:val="false"/>
        <w:autoSpaceDE w:val="false"/>
        <w:autoSpaceDN/>
        <w:bidi w:val="false"/>
        <w:adjustRightInd/>
        <w:spacing w:line="360" w:lineRule="auto"/>
        <w:ind w:firstLine="480" w:firstLineChars="200"/>
        <w:jc w:val="left"/>
        <w:textAlignment w:val="auto"/>
        <w:rPr>
          <w:rFonts w:hint="default" w:ascii="仿宋" w:hAnsi="仿宋" w:eastAsia="仿宋" w:cstheme="minorEastAsia"/>
          <w:bCs/>
          <w:sz w:val="24"/>
          <w:highlight w:val="none"/>
          <w:lang w:val="en-US" w:eastAsia="zh-CN"/>
        </w:rPr>
      </w:pPr>
      <w:r>
        <w:rPr>
          <w:rFonts w:hint="eastAsia" w:ascii="仿宋" w:hAnsi="仿宋" w:eastAsia="仿宋" w:cstheme="minorEastAsia"/>
          <w:bCs/>
          <w:sz w:val="24"/>
          <w:highlight w:val="none"/>
          <w:lang w:val="en-US" w:eastAsia="zh-CN"/>
        </w:rPr>
        <w:t>本项目建成后所产出的新能源电力将直接出售给</w:t>
      </w:r>
      <w:r>
        <w:rPr>
          <w:rFonts w:hint="eastAsia" w:ascii="仿宋" w:hAnsi="仿宋" w:eastAsia="仿宋" w:cstheme="minorEastAsia"/>
          <w:bCs/>
          <w:sz w:val="24"/>
          <w:lang w:eastAsia="zh-CN"/>
        </w:rPr>
        <w:t>大成包装材料有限公司</w:t>
      </w:r>
      <w:r>
        <w:rPr>
          <w:rFonts w:hint="eastAsia" w:ascii="仿宋" w:hAnsi="仿宋" w:eastAsia="仿宋" w:cstheme="minorEastAsia"/>
          <w:bCs/>
          <w:sz w:val="24"/>
          <w:highlight w:val="none"/>
          <w:lang w:val="en-US" w:eastAsia="zh-CN"/>
        </w:rPr>
        <w:t>使用，从而降低企业生产经营成本，本项目所产出电能足以完全消纳。项目收入主要由光伏售电收入、储能峰谷套利收入、光储充电桩收入三部分构成，项目收入来源明确，回报模式清晰。</w:t>
      </w:r>
    </w:p>
    <w:p>
      <w:pPr>
        <w:keepNext w:val="false"/>
        <w:keepLines w:val="false"/>
        <w:pageBreakBefore w:val="false"/>
        <w:widowControl w:val="false"/>
        <w:kinsoku/>
        <w:wordWrap/>
        <w:overflowPunct/>
        <w:topLinePunct w:val="false"/>
        <w:autoSpaceDE w:val="false"/>
        <w:autoSpaceDN/>
        <w:bidi w:val="false"/>
        <w:adjustRightInd/>
        <w:snapToGrid w:val="false"/>
        <w:spacing w:line="360" w:lineRule="auto"/>
        <w:ind w:firstLine="562" w:firstLineChars="200"/>
        <w:jc w:val="left"/>
        <w:textAlignment w:val="auto"/>
        <w:rPr>
          <w:rFonts w:ascii="仿宋" w:hAnsi="仿宋" w:eastAsia="仿宋" w:cstheme="minorEastAsia"/>
          <w:b/>
          <w:bCs/>
          <w:sz w:val="28"/>
          <w:szCs w:val="28"/>
        </w:rPr>
      </w:pPr>
      <w:r>
        <w:rPr>
          <w:rFonts w:hint="eastAsia" w:ascii="仿宋" w:hAnsi="仿宋" w:eastAsia="仿宋" w:cstheme="minorEastAsia"/>
          <w:b/>
          <w:bCs/>
          <w:sz w:val="28"/>
          <w:szCs w:val="28"/>
        </w:rPr>
        <w:t>（四）项目建设进度评估</w:t>
      </w:r>
    </w:p>
    <w:p>
      <w:pPr>
        <w:keepNext w:val="false"/>
        <w:keepLines w:val="false"/>
        <w:pageBreakBefore w:val="false"/>
        <w:widowControl w:val="false"/>
        <w:kinsoku/>
        <w:wordWrap/>
        <w:overflowPunct/>
        <w:topLinePunct w:val="false"/>
        <w:autoSpaceDE w:val="false"/>
        <w:autoSpaceDN/>
        <w:bidi w:val="false"/>
        <w:adjustRightInd/>
        <w:snapToGrid w:val="false"/>
        <w:spacing w:line="360" w:lineRule="auto"/>
        <w:ind w:firstLine="480" w:firstLineChars="200"/>
        <w:jc w:val="left"/>
        <w:textAlignment w:val="auto"/>
        <w:rPr>
          <w:rFonts w:hint="eastAsia" w:ascii="仿宋" w:hAnsi="仿宋" w:eastAsia="仿宋" w:cstheme="minorEastAsia"/>
          <w:b w:val="false"/>
          <w:bCs w:val="false"/>
          <w:sz w:val="24"/>
          <w:szCs w:val="24"/>
          <w:highlight w:val="none"/>
          <w:lang w:val="en-US" w:eastAsia="zh-CN"/>
        </w:rPr>
      </w:pPr>
      <w:r>
        <w:rPr>
          <w:rFonts w:hint="eastAsia" w:ascii="仿宋" w:hAnsi="仿宋" w:eastAsia="仿宋" w:cstheme="minorEastAsia"/>
          <w:b w:val="false"/>
          <w:bCs w:val="false"/>
          <w:sz w:val="24"/>
          <w:szCs w:val="24"/>
          <w:highlight w:val="none"/>
          <w:lang w:val="en-US" w:eastAsia="zh-CN"/>
        </w:rPr>
        <w:t>该项目计划建设期为6个月。项目目前属于前期准备阶段，尚未完成招投标手续，项目尚未开工建设。</w:t>
      </w:r>
    </w:p>
    <w:p>
      <w:pPr>
        <w:numPr>
          <w:ilvl w:val="0"/>
          <w:numId w:val="0"/>
        </w:num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二、</w:t>
      </w:r>
      <w:r>
        <w:rPr>
          <w:rFonts w:hint="eastAsia" w:ascii="仿宋" w:hAnsi="仿宋" w:eastAsia="仿宋" w:cstheme="minorEastAsia"/>
          <w:b/>
          <w:bCs/>
          <w:sz w:val="28"/>
          <w:szCs w:val="28"/>
        </w:rPr>
        <w:t>建设及生产条件评估</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480" w:firstLineChars="200"/>
        <w:textAlignment w:val="auto"/>
        <w:rPr>
          <w:rFonts w:hint="default" w:eastAsiaTheme="minorEastAsia"/>
          <w:lang w:val="en-US" w:eastAsia="zh-CN"/>
        </w:rPr>
      </w:pPr>
      <w:r>
        <w:rPr>
          <w:rFonts w:hint="eastAsia" w:ascii="仿宋" w:hAnsi="仿宋" w:eastAsia="仿宋" w:cstheme="minorEastAsia"/>
          <w:bCs/>
          <w:kern w:val="2"/>
          <w:sz w:val="24"/>
          <w:szCs w:val="24"/>
          <w:highlight w:val="none"/>
          <w:lang w:val="en-US" w:eastAsia="zh-CN" w:bidi="ar-SA"/>
        </w:rPr>
        <w:t>获嘉县位于河南省新乡市西部地区，项目所在地处于获嘉县产业集聚区，交通便利，供电、通信、网络等设施齐备。</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项目工艺技术评估</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480" w:firstLineChars="200"/>
        <w:textAlignment w:val="auto"/>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根据可研及经营单位反馈，该项目为屋顶分布式光伏及配套用户侧储能及充电桩安装，不涉及特殊工艺。</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四、</w:t>
      </w:r>
      <w:r>
        <w:rPr>
          <w:rFonts w:hint="eastAsia" w:ascii="仿宋" w:hAnsi="仿宋" w:eastAsia="仿宋" w:cstheme="minorEastAsia"/>
          <w:b/>
          <w:bCs/>
          <w:sz w:val="28"/>
          <w:szCs w:val="28"/>
        </w:rPr>
        <w:t>项目选用主要设备评估</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480" w:firstLineChars="200"/>
        <w:textAlignment w:val="auto"/>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非制造型企业，不涉及。</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绿色金融评估</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420" w:firstLineChars="200"/>
        <w:jc w:val="both"/>
        <w:textAlignment w:val="auto"/>
        <w:rPr>
          <w:rFonts w:hint="default" w:eastAsiaTheme="minorEastAsia"/>
          <w:lang w:val="en-US" w:eastAsia="zh-CN"/>
        </w:rPr>
      </w:pPr>
      <w:r>
        <w:rPr>
          <w:rFonts w:hint="eastAsia"/>
          <w:lang w:val="en-US" w:eastAsia="zh-CN"/>
        </w:rPr>
        <w:t xml:space="preserve"> </w:t>
      </w:r>
      <w:r>
        <w:rPr>
          <w:rFonts w:hint="eastAsia" w:ascii="仿宋" w:hAnsi="仿宋" w:eastAsia="仿宋" w:cs="宋体"/>
          <w:b w:val="false"/>
          <w:bCs w:val="false"/>
          <w:kern w:val="2"/>
          <w:sz w:val="24"/>
          <w:szCs w:val="24"/>
          <w:highlight w:val="none"/>
          <w:lang w:val="en-US" w:eastAsia="zh-CN" w:bidi="ar-SA"/>
        </w:rPr>
        <w:t>该项目施工设计方案不涉及绿色金融，但项目行业属于新能源售电，该项目融资属于绿色金融范畴。</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六、</w:t>
      </w:r>
      <w:r>
        <w:rPr>
          <w:rFonts w:hint="eastAsia" w:ascii="仿宋" w:hAnsi="仿宋" w:eastAsia="仿宋" w:cstheme="minorEastAsia"/>
          <w:b/>
          <w:bCs/>
          <w:sz w:val="28"/>
          <w:szCs w:val="28"/>
        </w:rPr>
        <w:t>本章小结</w:t>
      </w:r>
    </w:p>
    <w:p>
      <w:pPr>
        <w:pStyle w:val="00001d"/>
        <w:keepNext w:val="false"/>
        <w:keepLines w:val="false"/>
        <w:pageBreakBefore w:val="false"/>
        <w:widowControl w:val="false"/>
        <w:numPr>
          <w:ilvl w:val="0"/>
          <w:numId w:val="0"/>
        </w:numPr>
        <w:pBdr>
          <w:bottom w:val="none" w:color="auto" w:sz="0" w:space="0"/>
        </w:pBdr>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本项目在获嘉县产业集聚区创业孵化园区内工业厂房屋顶部署5956KW的分布式光伏发电系统，并配套安装用户侧储能设施，总规模达到20MW/40MWh。此外，项目规划安装5个光伏充电桩，并同步实施园区其他相关配套工程。通过源网荷储一体化方案，项目所产出的新能源电力将直供给大成包装有限公司使用。项目规划利用获嘉县产业集聚区创业孵化园闲置屋顶面积31530.09㎡，园区内可使用道路区域面积12267.68㎡，合计可使用面积为42807.95㎡。项目主要收入为光伏售电收入、储能峰谷套利收入、及光储充电桩收入。本项目已经取得备案等合规性手续，其他手续正在办理。</w:t>
      </w:r>
    </w:p>
    <w:p>
      <w:pP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br w:type="page"/>
      </w:r>
    </w:p>
    <w:p>
      <w:pPr>
        <w:pStyle w:val="000004"/>
        <w:spacing w:before="0" w:after="0" w:line="360" w:lineRule="auto"/>
        <w:jc w:val="center"/>
        <w:rPr>
          <w:rFonts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第四章 项目市场评估</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（一）</w:t>
      </w:r>
      <w:r>
        <w:rPr>
          <w:rFonts w:hint="eastAsia" w:ascii="仿宋" w:hAnsi="仿宋" w:eastAsia="仿宋" w:cstheme="minorEastAsia"/>
          <w:b/>
          <w:bCs/>
          <w:sz w:val="28"/>
          <w:szCs w:val="28"/>
        </w:rPr>
        <w:t>市场容量现状分析</w:t>
      </w:r>
    </w:p>
    <w:p>
      <w:pPr>
        <w:pStyle w:val="00001d"/>
        <w:keepNext w:val="false"/>
        <w:keepLines w:val="false"/>
        <w:pageBreakBefore w:val="false"/>
        <w:widowControl w:val="false"/>
        <w:kinsoku/>
        <w:wordWrap/>
        <w:overflowPunct/>
        <w:topLinePunct w:val="false"/>
        <w:autoSpaceDE/>
        <w:autoSpaceDN/>
        <w:bidi w:val="false"/>
        <w:adjustRightInd/>
        <w:snapToGrid/>
        <w:spacing w:line="360" w:lineRule="auto"/>
        <w:ind w:left="0" w:leftChars="0"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1、源网荷储市场容量分析</w:t>
      </w:r>
    </w:p>
    <w:p>
      <w:pPr>
        <w:pStyle w:val="00001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随着当地经济的稳步前行，各产业尤其是工业领域呈现出蓬勃发 展态势，用电需求持续攀升。众多中小企业不断发展壮大，其生产运 营对电力的依赖程度与日俱增，为源网荷储一体化项目提供了坚实的市场基础。在当前能源转型的大趋势下，绿色能源成为降低企业运营 成本、提高生产效率的关键要素。对于获嘉县的中小企业而言，源网 荷储一体化项目所提供的清洁电能，不仅能满足其日益增长的电力需 求，保障生产活动的稳定开展，还能借助绿电的价格优势以及储能系 统对峰谷电价差的有效利用，大幅降低用电成本，增强市场竞争力。 从长期来看，随着技术的不断进步与完善，源网荷储一体化项目的应 用范围将进一步拓展，无论是工业园区、商业综合体还是居民社区， 都将成为潜在的市场增长点，其市场容量有望持续扩充，在满足获嘉 县能源需求、推动绿色发展的道路上发挥关键作用。</w:t>
      </w:r>
    </w:p>
    <w:p>
      <w:pPr>
        <w:pStyle w:val="00001e"/>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仿宋"/>
          <w:sz w:val="24"/>
          <w:szCs w:val="24"/>
          <w:lang w:val="en-US" w:eastAsia="zh-CN"/>
        </w:rPr>
        <w:t>项目分布式光伏发电年产出绿电约为 718.07 万KWH、用户侧储能年充放电量约为1324.80万KWH。经调查，目前河南大成包装材料有限公司年用电量约为 4752.00 万KWH，该企业是 24 小时不间断生产，相应每天用电时段用电量平均，本项目光伏发电将直接供应至河南大成包装材料有限公司平谷时段用电，项目储能将满足该公司在高峰时段电力稳定供应。低谷时段国网电价较低，国网压力较小，用电企业可直接向国网购买，平谷用电不足部分将直接向国网购买。本项目所产出绿色电力能源销售价格低于国网销售价格。另外，在项目周边半径 20 公里范围内，还有众多用电量较大的企业，例如：河南金天化工有限公司年用电量约 9000 万KWH、新乡中新化工有限责任公司年用电量约 6000 万KWH、河南宏一纺织有限公司年用电量约 4000 万KWH，以上企业都可以作为本项目消纳客户。目标市场环境较好，容量缺口较大。</w:t>
      </w:r>
    </w:p>
    <w:p>
      <w:pPr>
        <w:numPr>
          <w:ilvl w:val="0"/>
          <w:numId w:val="0"/>
        </w:numPr>
        <w:autoSpaceDE w:val="false"/>
        <w:spacing w:line="360" w:lineRule="auto"/>
        <w:ind w:leftChars="0" w:firstLine="562" w:firstLineChars="200"/>
        <w:jc w:val="left"/>
        <w:rPr>
          <w:rFonts w:hint="eastAsia" w:ascii="仿宋" w:hAnsi="仿宋" w:eastAsia="仿宋" w:cstheme="minorEastAsia"/>
          <w:b/>
          <w:bCs/>
          <w:color w:val="auto"/>
          <w:sz w:val="28"/>
          <w:szCs w:val="28"/>
        </w:rPr>
      </w:pPr>
      <w:r>
        <w:rPr>
          <w:rFonts w:hint="eastAsia" w:ascii="仿宋" w:hAnsi="仿宋" w:eastAsia="仿宋" w:cstheme="minorEastAsia"/>
          <w:b/>
          <w:bCs/>
          <w:color w:val="auto"/>
          <w:sz w:val="28"/>
          <w:szCs w:val="28"/>
          <w:lang w:eastAsia="zh-CN"/>
        </w:rPr>
        <w:t>（</w:t>
      </w:r>
      <w:r>
        <w:rPr>
          <w:rFonts w:hint="eastAsia" w:ascii="仿宋" w:hAnsi="仿宋" w:eastAsia="仿宋" w:cstheme="minorEastAsia"/>
          <w:b/>
          <w:bCs/>
          <w:color w:val="auto"/>
          <w:sz w:val="28"/>
          <w:szCs w:val="28"/>
          <w:lang w:val="en-US" w:eastAsia="zh-CN"/>
        </w:rPr>
        <w:t>二</w:t>
      </w:r>
      <w:r>
        <w:rPr>
          <w:rFonts w:hint="eastAsia" w:ascii="仿宋" w:hAnsi="仿宋" w:eastAsia="仿宋" w:cstheme="minorEastAsia"/>
          <w:b/>
          <w:bCs/>
          <w:color w:val="auto"/>
          <w:sz w:val="28"/>
          <w:szCs w:val="28"/>
          <w:lang w:eastAsia="zh-CN"/>
        </w:rPr>
        <w:t>）</w:t>
      </w:r>
      <w:r>
        <w:rPr>
          <w:rFonts w:hint="eastAsia" w:ascii="仿宋" w:hAnsi="仿宋" w:eastAsia="仿宋" w:cstheme="minorEastAsia"/>
          <w:b/>
          <w:bCs/>
          <w:color w:val="auto"/>
          <w:sz w:val="28"/>
          <w:szCs w:val="28"/>
        </w:rPr>
        <w:t>价格现状分析</w:t>
      </w:r>
    </w:p>
    <w:p>
      <w:pPr>
        <w:keepNext w:val="false"/>
        <w:keepLines w:val="false"/>
        <w:pageBreakBefore w:val="false"/>
        <w:widowControl w:val="false"/>
        <w:numPr>
          <w:ilvl w:val="0"/>
          <w:numId w:val="0"/>
        </w:numPr>
        <w:pBdr>
          <w:bottom w:val="none" w:color="auto" w:sz="0" w:space="0"/>
        </w:pBdr>
        <w:kinsoku/>
        <w:wordWrap/>
        <w:overflowPunct/>
        <w:topLinePunct w:val="false"/>
        <w:autoSpaceDE/>
        <w:autoSpaceDN/>
        <w:bidi w:val="false"/>
        <w:adjustRightInd/>
        <w:snapToGrid/>
        <w:spacing w:line="360" w:lineRule="auto"/>
        <w:ind w:firstLine="480" w:firstLineChars="200"/>
        <w:textAlignment w:val="auto"/>
        <w:rPr>
          <w:rFonts w:ascii="仿宋" w:hAnsi="仿宋" w:eastAsia="仿宋" w:cstheme="minorEastAsia"/>
          <w:b/>
          <w:bCs/>
          <w:color w:val="000000"/>
          <w:sz w:val="28"/>
          <w:szCs w:val="28"/>
          <w:highlight w:val="none"/>
        </w:rPr>
      </w:pPr>
      <w:r>
        <w:rPr>
          <w:rFonts w:hint="eastAsia" w:ascii="仿宋" w:hAnsi="仿宋" w:eastAsia="仿宋" w:cs="宋体"/>
          <w:b w:val="false"/>
          <w:bCs w:val="false"/>
          <w:color w:val="000000"/>
          <w:kern w:val="2"/>
          <w:sz w:val="24"/>
          <w:szCs w:val="24"/>
          <w:highlight w:val="none"/>
          <w:lang w:val="en-US" w:eastAsia="zh-CN" w:bidi="ar-SA"/>
        </w:rPr>
        <w:t>根据《国网河南省电力公司代理购电工商用户电价表（执行时间：2025年5月1日-2025年5月31日）》，两部制工商业用电（1-10千伏）高峰电价为1.105元/度、平时段电价为0.692元/度、低估时段电价为0.377元/度，大成包装企业为24小时生产企业，平均电价约为0.724元/度，本次估算不含尖峰电价。本项目提供的绿色电力能源售电价格为暂定为0.57元/度，在不含尖峰电价情况下本项目售电价格比国网便宜0.154元/度，降低企业用电成本比较可观。</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562" w:firstLineChars="200"/>
        <w:textAlignment w:val="auto"/>
        <w:rPr>
          <w:rFonts w:hint="eastAsia" w:ascii="仿宋" w:hAnsi="仿宋" w:eastAsia="仿宋" w:cstheme="minorEastAsia"/>
          <w:b/>
          <w:bCs/>
          <w:color w:val="auto"/>
          <w:sz w:val="28"/>
          <w:szCs w:val="28"/>
          <w:highlight w:val="none"/>
          <w:lang w:eastAsia="zh-CN"/>
        </w:rPr>
      </w:pPr>
      <w:r>
        <w:rPr>
          <w:rFonts w:hint="eastAsia" w:ascii="仿宋" w:hAnsi="仿宋" w:eastAsia="仿宋" w:cstheme="minorEastAsia"/>
          <w:b/>
          <w:bCs/>
          <w:color w:val="auto"/>
          <w:sz w:val="28"/>
          <w:szCs w:val="28"/>
          <w:highlight w:val="none"/>
        </w:rPr>
        <w:t>二、项目</w:t>
      </w:r>
      <w:r>
        <w:rPr>
          <w:rFonts w:hint="eastAsia" w:ascii="仿宋" w:hAnsi="仿宋" w:eastAsia="仿宋" w:cstheme="minorEastAsia"/>
          <w:b/>
          <w:bCs/>
          <w:color w:val="auto"/>
          <w:sz w:val="28"/>
          <w:szCs w:val="28"/>
          <w:highlight w:val="none"/>
          <w:lang w:val="en-US" w:eastAsia="zh-CN"/>
        </w:rPr>
        <w:t>现阶段发展趋势</w:t>
      </w:r>
    </w:p>
    <w:p>
      <w:pPr>
        <w:keepNext w:val="false"/>
        <w:keepLines w:val="false"/>
        <w:pageBreakBefore w:val="false"/>
        <w:widowControl w:val="false"/>
        <w:kinsoku/>
        <w:wordWrap/>
        <w:overflowPunct/>
        <w:topLinePunct w:val="false"/>
        <w:autoSpaceDE w:val="false"/>
        <w:autoSpaceDN/>
        <w:bidi w:val="false"/>
        <w:adjustRightInd/>
        <w:snapToGrid/>
        <w:spacing w:line="360" w:lineRule="auto"/>
        <w:ind w:firstLine="480" w:firstLineChars="200"/>
        <w:jc w:val="left"/>
        <w:textAlignment w:val="auto"/>
        <w:rPr>
          <w:rFonts w:hint="default" w:ascii="仿宋" w:hAnsi="仿宋" w:eastAsia="仿宋" w:cs="宋体"/>
          <w:b w:val="false"/>
          <w:bCs w:val="false"/>
          <w:color w:val="auto"/>
          <w:kern w:val="2"/>
          <w:sz w:val="24"/>
          <w:szCs w:val="24"/>
          <w:highlight w:val="none"/>
          <w:lang w:val="en-US" w:eastAsia="zh-CN" w:bidi="ar-SA"/>
        </w:rPr>
      </w:pPr>
      <w:r>
        <w:rPr>
          <w:rFonts w:hint="default" w:ascii="仿宋" w:hAnsi="仿宋" w:eastAsia="仿宋" w:cs="宋体"/>
          <w:b w:val="false"/>
          <w:bCs w:val="false"/>
          <w:color w:val="auto"/>
          <w:kern w:val="2"/>
          <w:sz w:val="24"/>
          <w:szCs w:val="24"/>
          <w:highlight w:val="none"/>
          <w:lang w:val="en-US" w:eastAsia="zh-CN" w:bidi="ar-SA"/>
        </w:rPr>
        <w:t>参与市场竞争，在成本的约束下尽量为中小企业提供低价能源</w:t>
      </w:r>
    </w:p>
    <w:p>
      <w:pPr>
        <w:keepNext w:val="false"/>
        <w:keepLines w:val="false"/>
        <w:pageBreakBefore w:val="false"/>
        <w:widowControl w:val="false"/>
        <w:kinsoku/>
        <w:wordWrap/>
        <w:overflowPunct/>
        <w:topLinePunct w:val="false"/>
        <w:autoSpaceDE w:val="false"/>
        <w:autoSpaceDN/>
        <w:bidi w:val="false"/>
        <w:adjustRightInd/>
        <w:snapToGrid/>
        <w:spacing w:line="360" w:lineRule="auto"/>
        <w:ind w:firstLine="480" w:firstLineChars="200"/>
        <w:jc w:val="left"/>
        <w:textAlignment w:val="auto"/>
        <w:rPr>
          <w:rFonts w:hint="default" w:ascii="仿宋" w:hAnsi="仿宋" w:eastAsia="仿宋" w:cs="宋体"/>
          <w:b w:val="false"/>
          <w:bCs w:val="false"/>
          <w:color w:val="auto"/>
          <w:kern w:val="2"/>
          <w:sz w:val="24"/>
          <w:szCs w:val="24"/>
          <w:highlight w:val="none"/>
          <w:lang w:val="en-US" w:eastAsia="zh-CN" w:bidi="ar-SA"/>
        </w:rPr>
      </w:pPr>
      <w:r>
        <w:rPr>
          <w:rFonts w:hint="default" w:ascii="仿宋" w:hAnsi="仿宋" w:eastAsia="仿宋" w:cs="宋体"/>
          <w:b w:val="false"/>
          <w:bCs w:val="false"/>
          <w:color w:val="auto"/>
          <w:kern w:val="2"/>
          <w:sz w:val="24"/>
          <w:szCs w:val="24"/>
          <w:highlight w:val="none"/>
          <w:lang w:val="en-US" w:eastAsia="zh-CN" w:bidi="ar-SA"/>
        </w:rPr>
        <w:t>项目建成后，因为光伏发电的度电成本较低，所以项目产出的绿色电能将投入市场参与市场竞争是非常</w:t>
      </w:r>
      <w:r>
        <w:rPr>
          <w:rFonts w:hint="eastAsia" w:ascii="仿宋" w:hAnsi="仿宋" w:eastAsia="仿宋" w:cs="宋体"/>
          <w:b w:val="false"/>
          <w:bCs w:val="false"/>
          <w:color w:val="auto"/>
          <w:kern w:val="2"/>
          <w:sz w:val="24"/>
          <w:szCs w:val="24"/>
          <w:highlight w:val="none"/>
          <w:lang w:val="en-US" w:eastAsia="zh-CN" w:bidi="ar-SA"/>
        </w:rPr>
        <w:t>具有竞争力</w:t>
      </w:r>
      <w:r>
        <w:rPr>
          <w:rFonts w:hint="default" w:ascii="仿宋" w:hAnsi="仿宋" w:eastAsia="仿宋" w:cs="宋体"/>
          <w:b w:val="false"/>
          <w:bCs w:val="false"/>
          <w:color w:val="auto"/>
          <w:kern w:val="2"/>
          <w:sz w:val="24"/>
          <w:szCs w:val="24"/>
          <w:highlight w:val="none"/>
          <w:lang w:val="en-US" w:eastAsia="zh-CN" w:bidi="ar-SA"/>
        </w:rPr>
        <w:t>的。本项目光伏发电+储能可以提高中小企业用电的稳定性和可靠性，为企业的运营带来稳定的电力保障，促进中小企业朝着绿色企业转型。通过光伏发电，所生产的绿电不仅环保而且可再生，企业购买绿电不仅可以满足自身电力需求，还能够树立起环保、绿色、可持续发展的品牌形象。这种品牌形象的树立将在消费者心中建立起企业的环保形象，从而提升产品和服务的竞争力，使企业在市场上占据更有利的地位。</w:t>
      </w:r>
    </w:p>
    <w:p>
      <w:pPr>
        <w:numPr>
          <w:ilvl w:val="0"/>
          <w:numId w:val="0"/>
        </w:num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竞争力分析</w:t>
      </w:r>
    </w:p>
    <w:p>
      <w:pPr>
        <w:pStyle w:val="00000e"/>
        <w:keepNext w:val="false"/>
        <w:keepLines w:val="false"/>
        <w:pageBreakBefore w:val="false"/>
        <w:widowControl w:val="false"/>
        <w:kinsoku/>
        <w:wordWrap/>
        <w:overflowPunct/>
        <w:topLinePunct w:val="false"/>
        <w:autoSpaceDE/>
        <w:autoSpaceDN/>
        <w:bidi w:val="false"/>
        <w:adjustRightInd/>
        <w:snapToGrid/>
        <w:spacing w:after="0" w:line="360" w:lineRule="auto"/>
        <w:ind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（1）</w:t>
      </w:r>
      <w:r>
        <w:rPr>
          <w:rFonts w:hint="default" w:ascii="仿宋" w:hAnsi="仿宋" w:eastAsia="仿宋" w:cs="宋体"/>
          <w:b w:val="false"/>
          <w:bCs w:val="false"/>
          <w:kern w:val="2"/>
          <w:sz w:val="24"/>
          <w:szCs w:val="24"/>
          <w:highlight w:val="none"/>
          <w:lang w:val="en-US" w:eastAsia="zh-CN" w:bidi="ar-SA"/>
        </w:rPr>
        <w:t>项目供电价格低于传统供电价格</w:t>
      </w:r>
    </w:p>
    <w:p>
      <w:pPr>
        <w:pStyle w:val="00000e"/>
        <w:keepNext w:val="false"/>
        <w:keepLines w:val="false"/>
        <w:pageBreakBefore w:val="false"/>
        <w:widowControl w:val="false"/>
        <w:kinsoku/>
        <w:wordWrap/>
        <w:overflowPunct/>
        <w:topLinePunct w:val="false"/>
        <w:autoSpaceDE/>
        <w:autoSpaceDN/>
        <w:bidi w:val="false"/>
        <w:adjustRightInd/>
        <w:snapToGrid/>
        <w:spacing w:after="0" w:line="360" w:lineRule="auto"/>
        <w:ind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default" w:ascii="仿宋" w:hAnsi="仿宋" w:eastAsia="仿宋" w:cs="宋体"/>
          <w:b w:val="false"/>
          <w:bCs w:val="false"/>
          <w:kern w:val="2"/>
          <w:sz w:val="24"/>
          <w:szCs w:val="24"/>
          <w:highlight w:val="none"/>
          <w:lang w:val="en-US" w:eastAsia="zh-CN" w:bidi="ar-SA"/>
        </w:rPr>
        <w:t>本项目具备显著的市场竞争力，核心优势在于产出的绿色电力能源价格显著低于国网电价。以 2025 年 5 月工商业代理电价两部制 1-10 千伏为例，国网高峰电价为 1.105 元 / 度、平时段电价为 0.692 元 / 度、低谷时段电价为 0.377 元 / 度，而大成包装作为 24 小时生产企业，平均电价约为 0.724 元 / 度（不含尖峰电价）。本项目绿色电力能源售电价格暂定为 0.57 元 / 度，在不含尖峰电价的情况下，每度电比国网便宜 0.154 元。大成包装年用电量约 4752 万度，据此计算，本项目每年可为其节约电费约为266万元。这一价格优势不仅能大幅降低企业生产成本，提升其市场竞争力，还能吸引周边如河南金天化工、新乡中新化工等用电量较大的企业作为消纳客户，目标市场容量缺口大，同时项目采用源网荷储一体化模式，保障电力稳定供应，进一步增强了对用户的吸引力，市场前景广阔。</w:t>
      </w:r>
    </w:p>
    <w:p>
      <w:pPr>
        <w:pStyle w:val="00000e"/>
        <w:keepNext w:val="false"/>
        <w:keepLines w:val="false"/>
        <w:pageBreakBefore w:val="false"/>
        <w:widowControl w:val="false"/>
        <w:kinsoku/>
        <w:wordWrap/>
        <w:overflowPunct/>
        <w:topLinePunct w:val="false"/>
        <w:autoSpaceDE/>
        <w:autoSpaceDN/>
        <w:bidi w:val="false"/>
        <w:adjustRightInd/>
        <w:snapToGrid/>
        <w:spacing w:after="0" w:line="360" w:lineRule="auto"/>
        <w:ind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（2）</w:t>
      </w:r>
      <w:r>
        <w:rPr>
          <w:rFonts w:hint="default" w:ascii="仿宋" w:hAnsi="仿宋" w:eastAsia="仿宋" w:cs="宋体"/>
          <w:b w:val="false"/>
          <w:bCs w:val="false"/>
          <w:kern w:val="2"/>
          <w:sz w:val="24"/>
          <w:szCs w:val="24"/>
          <w:highlight w:val="none"/>
          <w:lang w:val="en-US" w:eastAsia="zh-CN" w:bidi="ar-SA"/>
        </w:rPr>
        <w:t>绿色电力可以协同中小企业绿色转型</w:t>
      </w:r>
    </w:p>
    <w:p>
      <w:pPr>
        <w:pStyle w:val="00000e"/>
        <w:keepNext w:val="false"/>
        <w:keepLines w:val="false"/>
        <w:pageBreakBefore w:val="false"/>
        <w:widowControl w:val="false"/>
        <w:kinsoku/>
        <w:wordWrap/>
        <w:overflowPunct/>
        <w:topLinePunct w:val="false"/>
        <w:autoSpaceDE/>
        <w:autoSpaceDN/>
        <w:bidi w:val="false"/>
        <w:adjustRightInd/>
        <w:snapToGrid/>
        <w:spacing w:after="0" w:line="360" w:lineRule="auto"/>
        <w:ind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default" w:ascii="仿宋" w:hAnsi="仿宋" w:eastAsia="仿宋" w:cs="宋体"/>
          <w:b w:val="false"/>
          <w:bCs w:val="false"/>
          <w:kern w:val="2"/>
          <w:sz w:val="24"/>
          <w:szCs w:val="24"/>
          <w:highlight w:val="none"/>
          <w:lang w:val="en-US" w:eastAsia="zh-CN" w:bidi="ar-SA"/>
        </w:rPr>
        <w:t>绿色电力的采用可以在多个层面协助中小企业实现绿色转型。首先，绿色电力供应商通常提供与可再生能源相关的技术和咨询服务，帮助企业评估其能源使用情况，并提出有效的节能方案，从而降低能源消耗和成本。其次，通过与绿色电力供应商建立合作关系，企业可以获得政府的奖励和认可，如绿色证书或减排配额，进而提升其品牌形象和市场竞争力。此外，一些绿色电力供应商还提供灵活的购电方式和定制化的解决方案，满足不同企业的需求，特别是中小企业，使其更容易实施绿色能源转型。另外，作为绿色供应链的一部分，采用绿色电力还可以激励企业的供应商和合作伙伴跟随其步伐，共同推动整个产业链的绿色化转型。最重要的是，绿色电力的使用符合当今社会对环保和可持续发展的迫切需求，中小企业选择绿色电力不仅可以降低环境风险，还可以吸引更多的消费者和投资者，促进企业的长期可持续发展。因此，通过与绿色电力供应商合作，中小企业可以获得技术支持、市场优势和社会认可，实现可持续发展的双赢局面。</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四、本章小结</w:t>
      </w:r>
    </w:p>
    <w:p>
      <w:pPr>
        <w:pStyle w:val="00000d"/>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default" w:ascii="仿宋" w:hAnsi="仿宋" w:eastAsia="仿宋" w:cs="宋体"/>
          <w:b w:val="false"/>
          <w:bCs w:val="false"/>
          <w:kern w:val="2"/>
          <w:sz w:val="24"/>
          <w:szCs w:val="24"/>
          <w:highlight w:val="none"/>
          <w:lang w:val="en-US" w:eastAsia="zh-CN" w:bidi="ar-SA"/>
        </w:rPr>
      </w:pPr>
      <w:r>
        <w:rPr>
          <w:rFonts w:hint="eastAsia" w:ascii="仿宋" w:hAnsi="仿宋" w:eastAsia="仿宋" w:cs="宋体"/>
          <w:b w:val="false"/>
          <w:bCs w:val="false"/>
          <w:kern w:val="2"/>
          <w:sz w:val="24"/>
          <w:szCs w:val="24"/>
          <w:highlight w:val="none"/>
          <w:lang w:val="en-US" w:eastAsia="zh-CN" w:bidi="ar-SA"/>
        </w:rPr>
        <w:t>该项目市场容量和前景较好切稳定，服务价格竞争力较强，符合国家政策和地方需要。</w:t>
      </w:r>
    </w:p>
    <w:p>
      <w:pPr>
        <w:pStyle w:val="000004"/>
        <w:pageBreakBefore/>
        <w:spacing w:before="0" w:after="0" w:line="360" w:lineRule="auto"/>
        <w:jc w:val="center"/>
        <w:rPr>
          <w:rFonts w:ascii="仿宋" w:hAnsi="仿宋" w:eastAsia="仿宋" w:cstheme="majorEastAsia"/>
          <w:kern w:val="0"/>
          <w:sz w:val="36"/>
          <w:szCs w:val="36"/>
        </w:rPr>
      </w:pPr>
      <w:r>
        <w:rPr>
          <w:rFonts w:hint="eastAsia" w:ascii="仿宋" w:hAnsi="仿宋" w:eastAsia="仿宋" w:cstheme="majorEastAsia"/>
          <w:kern w:val="0"/>
          <w:sz w:val="36"/>
          <w:szCs w:val="36"/>
        </w:rPr>
        <w:t>第五章 投资估算与筹资方案评估</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一、投资估算</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jc w:val="left"/>
        <w:textAlignment w:val="auto"/>
        <w:rPr>
          <w:rFonts w:hint="default" w:ascii="仿宋" w:hAnsi="仿宋" w:eastAsia="仿宋" w:cs="仿宋"/>
          <w:b w:val="false"/>
          <w:bCs w:val="false"/>
          <w:color w:val="auto"/>
          <w:sz w:val="24"/>
          <w:szCs w:val="24"/>
          <w:lang w:val="en-US" w:eastAsia="zh-CN"/>
        </w:rPr>
      </w:pPr>
      <w:r>
        <w:rPr>
          <w:rFonts w:hint="default" w:ascii="仿宋" w:hAnsi="仿宋" w:eastAsia="仿宋" w:cs="仿宋"/>
          <w:b w:val="false"/>
          <w:bCs w:val="false"/>
          <w:color w:val="auto"/>
          <w:sz w:val="24"/>
          <w:szCs w:val="24"/>
          <w:lang w:val="en-US" w:eastAsia="zh-CN"/>
        </w:rPr>
        <w:t>项目总投资8767.59万元，其中项目工程费用7902.57万元，占总投资的90.13%；工程建设其它费用372.52万元，占总投资的4.25%；预备费413.75万元，占总投资的4.72%；建设期利息78.75万元，占总投资的0.90%。</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二、项目筹资方案评价</w:t>
      </w:r>
    </w:p>
    <w:p>
      <w:pPr>
        <w:keepNext w:val="false"/>
        <w:keepLines w:val="false"/>
        <w:pageBreakBefore w:val="false"/>
        <w:widowControl w:val="false"/>
        <w:kinsoku/>
        <w:wordWrap/>
        <w:overflowPunct/>
        <w:topLinePunct w:val="false"/>
        <w:autoSpaceDE/>
        <w:autoSpaceDN/>
        <w:bidi w:val="false"/>
        <w:adjustRightInd/>
        <w:snapToGrid/>
        <w:spacing w:line="360" w:lineRule="auto"/>
        <w:ind w:left="0" w:leftChars="0" w:right="0" w:rightChars="0" w:firstLine="480" w:firstLineChars="200"/>
        <w:jc w:val="both"/>
        <w:textAlignment w:val="auto"/>
        <w:outlineLvl w:val="9"/>
        <w:rPr>
          <w:rFonts w:hint="eastAsia" w:ascii="仿宋" w:hAnsi="仿宋" w:eastAsia="仿宋" w:cstheme="minorEastAsia"/>
          <w:b/>
          <w:bCs/>
          <w:sz w:val="28"/>
          <w:szCs w:val="28"/>
        </w:rPr>
      </w:pPr>
      <w:r>
        <w:rPr>
          <w:rFonts w:hint="eastAsia" w:ascii="仿宋" w:hAnsi="仿宋" w:eastAsia="仿宋" w:cs="宋体"/>
          <w:b w:val="false"/>
          <w:bCs w:val="false"/>
          <w:kern w:val="2"/>
          <w:sz w:val="24"/>
          <w:szCs w:val="24"/>
          <w:lang w:val="en-US" w:eastAsia="zh-CN" w:bidi="ar-SA"/>
        </w:rPr>
        <w:t>根据可研及经营单位上报方案，该项目计划融资7000万元，剩余1767.59万元为项目资本金，截至目前，项目属于前期准备阶段，暂无借款人已投入数据。</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三、融资方案与资金成本评价</w:t>
      </w:r>
    </w:p>
    <w:p>
      <w:pPr>
        <w:autoSpaceDE w:val="false"/>
        <w:spacing w:line="360" w:lineRule="auto"/>
        <w:ind w:firstLine="480" w:firstLineChars="200"/>
        <w:jc w:val="left"/>
        <w:rPr>
          <w:rFonts w:hint="eastAsia" w:ascii="仿宋" w:hAnsi="仿宋" w:eastAsia="仿宋" w:cstheme="minorEastAsia"/>
          <w:b/>
          <w:bCs/>
          <w:sz w:val="28"/>
          <w:szCs w:val="28"/>
          <w:highlight w:val="none"/>
        </w:rPr>
      </w:pPr>
      <w:r>
        <w:rPr>
          <w:rFonts w:hint="eastAsia" w:ascii="仿宋" w:hAnsi="仿宋" w:eastAsia="仿宋" w:cs="宋体"/>
          <w:b w:val="false"/>
          <w:bCs w:val="false"/>
          <w:sz w:val="24"/>
          <w:szCs w:val="24"/>
        </w:rPr>
        <w:t>经评估，</w:t>
      </w:r>
      <w:r>
        <w:rPr>
          <w:rFonts w:hint="eastAsia" w:ascii="仿宋" w:hAnsi="仿宋" w:eastAsia="仿宋" w:cs="宋体"/>
          <w:b w:val="false"/>
          <w:bCs w:val="false"/>
          <w:sz w:val="24"/>
          <w:szCs w:val="24"/>
          <w:lang w:val="en-US" w:eastAsia="zh-CN"/>
        </w:rPr>
        <w:t>该项目资本金1767.59万元，占总投资的20.16%，银行融资7000.00万元，占总投资的79.84%，</w:t>
      </w:r>
      <w:r>
        <w:rPr>
          <w:rFonts w:hint="eastAsia" w:ascii="仿宋" w:hAnsi="仿宋" w:eastAsia="仿宋" w:cs="宋体"/>
          <w:b w:val="false"/>
          <w:bCs w:val="false"/>
          <w:sz w:val="24"/>
          <w:szCs w:val="24"/>
          <w:highlight w:val="none"/>
          <w:lang w:val="en-US" w:eastAsia="zh-CN"/>
        </w:rPr>
        <w:t>融资可行</w:t>
      </w:r>
      <w:r>
        <w:rPr>
          <w:rFonts w:hint="eastAsia" w:ascii="仿宋" w:hAnsi="仿宋" w:eastAsia="仿宋" w:cs="宋体"/>
          <w:b w:val="false"/>
          <w:bCs w:val="false"/>
          <w:sz w:val="24"/>
          <w:szCs w:val="24"/>
          <w:highlight w:val="none"/>
        </w:rPr>
        <w:t>。</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四、本章小结</w:t>
      </w:r>
    </w:p>
    <w:p>
      <w:pPr>
        <w:autoSpaceDE w:val="false"/>
        <w:spacing w:line="360" w:lineRule="auto"/>
        <w:ind w:firstLine="480" w:firstLineChars="200"/>
        <w:jc w:val="left"/>
        <w:rPr>
          <w:rFonts w:ascii="仿宋" w:hAnsi="仿宋" w:eastAsia="仿宋" w:cstheme="minorEastAsia"/>
          <w:b/>
          <w:bCs/>
          <w:sz w:val="28"/>
          <w:szCs w:val="28"/>
          <w:highlight w:val="red"/>
        </w:rPr>
      </w:pPr>
      <w:r>
        <w:rPr>
          <w:rFonts w:hint="eastAsia" w:ascii="仿宋" w:hAnsi="仿宋" w:eastAsia="仿宋" w:cs="宋体"/>
          <w:b w:val="false"/>
          <w:bCs w:val="false"/>
          <w:color w:val="auto"/>
          <w:sz w:val="24"/>
          <w:szCs w:val="24"/>
          <w:highlight w:val="none"/>
          <w:lang w:val="en-US" w:eastAsia="zh-CN"/>
        </w:rPr>
        <w:t>经测算，该项目总投资</w:t>
      </w:r>
      <w:r>
        <w:rPr>
          <w:rFonts w:hint="default" w:ascii="仿宋" w:hAnsi="仿宋" w:eastAsia="仿宋" w:cs="仿宋"/>
          <w:b w:val="false"/>
          <w:bCs w:val="false"/>
          <w:color w:val="auto"/>
          <w:sz w:val="24"/>
          <w:szCs w:val="24"/>
          <w:lang w:val="en-US" w:eastAsia="zh-CN"/>
        </w:rPr>
        <w:t>8767.59</w:t>
      </w:r>
      <w:r>
        <w:rPr>
          <w:rFonts w:hint="eastAsia" w:ascii="仿宋" w:hAnsi="仿宋" w:eastAsia="仿宋" w:cs="宋体"/>
          <w:b w:val="false"/>
          <w:bCs w:val="false"/>
          <w:color w:val="auto"/>
          <w:sz w:val="24"/>
          <w:szCs w:val="24"/>
          <w:highlight w:val="none"/>
          <w:lang w:val="en-US" w:eastAsia="zh-CN"/>
        </w:rPr>
        <w:t>万元，资本金</w:t>
      </w:r>
      <w:r>
        <w:rPr>
          <w:rFonts w:hint="eastAsia" w:ascii="仿宋" w:hAnsi="仿宋" w:eastAsia="仿宋" w:cs="宋体"/>
          <w:b w:val="false"/>
          <w:bCs w:val="false"/>
          <w:sz w:val="24"/>
          <w:szCs w:val="24"/>
          <w:lang w:val="en-US" w:eastAsia="zh-CN"/>
        </w:rPr>
        <w:t>1767.59</w:t>
      </w:r>
      <w:r>
        <w:rPr>
          <w:rFonts w:hint="eastAsia" w:ascii="仿宋" w:hAnsi="仿宋" w:eastAsia="仿宋" w:cs="宋体"/>
          <w:b w:val="false"/>
          <w:bCs w:val="false"/>
          <w:color w:val="auto"/>
          <w:sz w:val="24"/>
          <w:szCs w:val="24"/>
          <w:highlight w:val="none"/>
          <w:lang w:val="en-US" w:eastAsia="zh-CN"/>
        </w:rPr>
        <w:t>万元，资本金比例</w:t>
      </w:r>
      <w:r>
        <w:rPr>
          <w:rFonts w:hint="eastAsia" w:ascii="仿宋" w:hAnsi="仿宋" w:eastAsia="仿宋" w:cs="宋体"/>
          <w:b w:val="false"/>
          <w:bCs w:val="false"/>
          <w:sz w:val="24"/>
          <w:szCs w:val="24"/>
          <w:lang w:val="en-US" w:eastAsia="zh-CN"/>
        </w:rPr>
        <w:t>20.16</w:t>
      </w:r>
      <w:r>
        <w:rPr>
          <w:rFonts w:hint="eastAsia" w:ascii="仿宋" w:hAnsi="仿宋" w:eastAsia="仿宋" w:cs="宋体"/>
          <w:b w:val="false"/>
          <w:bCs w:val="false"/>
          <w:color w:val="auto"/>
          <w:sz w:val="24"/>
          <w:szCs w:val="24"/>
          <w:highlight w:val="none"/>
          <w:lang w:val="en-US" w:eastAsia="zh-CN"/>
        </w:rPr>
        <w:t>%，符合资本金比例相关要求。</w:t>
      </w:r>
    </w:p>
    <w:p>
      <w:pPr>
        <w:pStyle w:val="000004"/>
        <w:pageBreakBefore/>
        <w:spacing w:before="0" w:after="0" w:line="360" w:lineRule="auto"/>
        <w:jc w:val="center"/>
        <w:rPr>
          <w:rFonts w:ascii="仿宋" w:hAnsi="仿宋" w:eastAsia="仿宋" w:cstheme="majorEastAsia"/>
          <w:kern w:val="0"/>
          <w:sz w:val="36"/>
          <w:szCs w:val="36"/>
          <w:highlight w:val="none"/>
        </w:rPr>
      </w:pPr>
      <w:r>
        <w:rPr>
          <w:rFonts w:hint="eastAsia" w:ascii="仿宋" w:hAnsi="仿宋" w:eastAsia="仿宋" w:cstheme="majorEastAsia"/>
          <w:bCs/>
          <w:snapToGrid w:val="false"/>
          <w:kern w:val="0"/>
          <w:sz w:val="36"/>
          <w:szCs w:val="36"/>
          <w:highlight w:val="none"/>
        </w:rPr>
        <w:t>第六章 财务效益与偿债能力评估</w:t>
      </w:r>
    </w:p>
    <w:p>
      <w:pPr>
        <w:autoSpaceDE w:val="false"/>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一、基础数据与参数表</w:t>
      </w:r>
    </w:p>
    <w:tbl>
      <w:tblPr>
        <w:tblStyle w:val="000008"/>
        <w:tblW w:w="0" w:type="auto"/>
        <w:tblInd w:w="0" w:type="dxa"/>
        <w:tblLayout w:type="fixed"/>
        <w:tblCellMar>
          <w:top w:w="0" w:type="dxa"/>
          <w:left w:w="0" w:type="dxa"/>
          <w:bottom w:w="0" w:type="dxa"/>
          <w:right w:w="0" w:type="dxa"/>
        </w:tblCellMar>
      </w:tblPr>
      <w:tblGrid>
        <w:gridCol w:w="2584"/>
        <w:gridCol w:w="2778"/>
        <w:gridCol w:w="3080"/>
      </w:tblGrid>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ascii="仿宋" w:hAnsi="仿宋" w:eastAsia="仿宋" w:cs="宋体"/>
                <w:szCs w:val="21"/>
                <w:highlight w:val="none"/>
              </w:rPr>
            </w:pPr>
            <w:r>
              <w:rPr>
                <w:rFonts w:hint="eastAsia" w:ascii="仿宋" w:hAnsi="仿宋" w:eastAsia="仿宋"/>
                <w:b/>
                <w:szCs w:val="21"/>
                <w:highlight w:val="none"/>
              </w:rPr>
              <w:t>指标名称</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ascii="仿宋" w:hAnsi="仿宋" w:eastAsia="仿宋" w:cs="宋体"/>
                <w:szCs w:val="21"/>
                <w:highlight w:val="none"/>
              </w:rPr>
            </w:pPr>
            <w:r>
              <w:rPr>
                <w:rFonts w:hint="eastAsia" w:ascii="仿宋" w:hAnsi="仿宋" w:eastAsia="仿宋"/>
                <w:b/>
                <w:szCs w:val="21"/>
                <w:highlight w:val="none"/>
              </w:rPr>
              <w:t>选定值或区间值</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ascii="仿宋" w:hAnsi="仿宋" w:eastAsia="仿宋" w:cs="宋体"/>
                <w:szCs w:val="21"/>
                <w:highlight w:val="none"/>
              </w:rPr>
            </w:pPr>
            <w:r>
              <w:rPr>
                <w:rFonts w:hint="eastAsia" w:ascii="仿宋" w:hAnsi="仿宋" w:eastAsia="仿宋"/>
                <w:b/>
                <w:szCs w:val="21"/>
                <w:highlight w:val="none"/>
              </w:rPr>
              <w:t>选定依据</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rPr>
              <w:t>工程费用</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宋体" w:hAnsi="宋体" w:eastAsia="宋体" w:cs="宋体"/>
                <w:color w:val="auto"/>
                <w:sz w:val="21"/>
                <w:szCs w:val="21"/>
                <w:lang w:val="en-US" w:eastAsia="zh-CN"/>
              </w:rPr>
              <w:t>7902.57</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可研数据</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光伏储能售电增值税率</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13%</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智能充电桩增</w:t>
            </w:r>
            <w:r>
              <w:rPr>
                <w:rFonts w:hint="eastAsia" w:ascii="仿宋" w:hAnsi="仿宋" w:eastAsia="仿宋" w:cs="宋体"/>
                <w:szCs w:val="21"/>
                <w:highlight w:val="none"/>
              </w:rPr>
              <w:t>值税税率</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9</w:t>
            </w:r>
            <w:r>
              <w:rPr>
                <w:rFonts w:hint="eastAsia" w:ascii="仿宋" w:hAnsi="仿宋" w:eastAsia="仿宋" w:cs="宋体"/>
                <w:szCs w:val="21"/>
                <w:highlight w:val="none"/>
              </w:rPr>
              <w:t>%</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相关税法</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城市维护建设税率</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7%</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教育附加税率（含地方）</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3%</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未分配利润还款比例</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95%</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评估设定</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前三年折旧及摊销还款比例</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100%</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评估设定</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三年后折旧及摊销还款比例</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100%</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评估设定</w:t>
            </w:r>
          </w:p>
        </w:tc>
      </w:tr>
      <w:tr>
        <w:trPr/>
        <w:tc>
          <w:tcPr>
            <w:tcW w:w="2584" w:type="dxa"/>
            <w:tcBorders>
              <w:top w:val="outset" w:color="auto" w:sz="6" w:space="0"/>
              <w:left w:val="outset" w:color="auto" w:sz="6"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所得税率</w:t>
            </w:r>
          </w:p>
        </w:tc>
        <w:tc>
          <w:tcPr>
            <w:tcW w:w="2778" w:type="dxa"/>
            <w:tcBorders>
              <w:top w:val="outset" w:color="auto" w:sz="6" w:space="0"/>
              <w:left w:val="outset" w:color="auto" w:sz="6" w:space="0"/>
              <w:bottom w:val="outset" w:color="auto" w:sz="6" w:space="0"/>
              <w:right w:val="single" w:color="auto" w:sz="4"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25%</w:t>
            </w:r>
          </w:p>
        </w:tc>
        <w:tc>
          <w:tcPr>
            <w:tcW w:w="3080" w:type="dxa"/>
            <w:tcBorders>
              <w:top w:val="outset" w:color="auto" w:sz="6" w:space="0"/>
              <w:left w:val="single" w:color="auto" w:sz="4" w:space="0"/>
              <w:bottom w:val="outset" w:color="auto" w:sz="6" w:space="0"/>
              <w:right w:val="outset" w:color="auto" w:sz="6" w:space="0"/>
            </w:tcBorders>
            <w:noWrap w:val="false"/>
            <w:vAlign w:val="center"/>
          </w:tcPr>
          <w:p>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bl>
    <w:p>
      <w:pPr>
        <w:numPr>
          <w:ilvl w:val="0"/>
          <w:numId w:val="0"/>
        </w:num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二、</w:t>
      </w:r>
      <w:r>
        <w:rPr>
          <w:rFonts w:hint="eastAsia" w:ascii="仿宋" w:hAnsi="仿宋" w:eastAsia="仿宋" w:cstheme="minorEastAsia"/>
          <w:b/>
          <w:bCs/>
          <w:sz w:val="28"/>
          <w:szCs w:val="28"/>
        </w:rPr>
        <w:t>销售（营业）收入</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本项目运营收入包含光伏发电收入、储能售电收入及光储充电桩收益等收入。</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1、光伏发电收入</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1）数量：本项目采用“源网荷储模式”，结合企业河南大成包装材料有限公司年用电量4752万kWh，即年平均用电负荷为44MW左右，,该企业距本项目光伏电站2公里左右（小于20公），根据测算，光伏电站每年发电量为718.07万kWh（3.349kWh/kWp/天*5956kWp*360天），考虑到该企业是24小时生产，白天平谷时段用电1425.60万kWh，本项目光伏发电将直接由该企业100%消纳。</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（2）衰减值：光伏发电首年衰减值为1%，剩余每年衰减值为0.4%。</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（3）1KW光伏装机容量平均日发电量：光伏发电时段在8:00-18:00，考虑日照时间、气温、照射角度等因素，根据Global Solar Atlas太阳能资源分析软件进行计算，如下图所示，1KW光伏装机容量每日发电量为3.349kWh/kWp/天,本项目预计年发电量3.349kWh/kWp/天*5956kWp*360天=718.07万kWh。</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drawing>
          <wp:inline distT="0" distB="0" distL="114300" distR="114300">
            <wp:extent cx="4724400" cy="2476500"/>
            <wp:effectExtent l="0" t="0" r="0" b="7620"/>
            <wp:docPr id="2" name="图片 3" descr="IMG_256"/>
            <wp:cNvGraphicFramePr>
              <a:graphicFrameLocks noChangeAspect="true"/>
            </wp:cNvGraphicFramePr>
            <a:graphic>
              <a:graphicData uri="http://schemas.openxmlformats.org/drawingml/2006/picture">
                <pic:pic>
                  <pic:nvPicPr>
                    <pic:cNvPr id="3" name="图片 3" descr="IMG_256"/>
                    <pic:cNvPicPr>
                      <a:picLocks noChangeAspect="true"/>
                    </pic:cNvPicPr>
                  </pic:nvPicPr>
                  <pic:blipFill>
                    <a:blip r:embed="rId7"/>
                    <a:stretch>
                      <a:fillRect/>
                    </a:stretch>
                  </pic:blipFill>
                  <pic:spPr>
                    <a:xfrm>
                      <a:off x="0" y="0"/>
                      <a:ext cx="4724400" cy="2476500"/>
                    </a:xfrm>
                    <a:prstGeom prst="rect">
                      <a:avLst/>
                    </a:prstGeom>
                    <a:noFill/>
                    <a:ln w="9525">
                      <a:noFill/>
                    </a:ln>
                  </pic:spPr>
                </pic:pic>
              </a:graphicData>
            </a:graphic>
          </wp:inline>
        </w:drawing>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4）工商业用电平均电价：根据国网河南省电力公司代理购电工商业用户电价表，本项目电压等级为1-10千伏区间，根据河南省发展改革委发布了《关于调整工商业分时电价有关事项的通知》规定：高峰段为16--24时，低谷时段为0时-次日7时，其余时段为平段，根据生产规律，高峰用电占比39%，平时段用电占比60%，低谷时段用电为1%，光伏发电主要集中在早上8-17点，工商业用电平均电价为0.724元/kWh左右（每月电价有一定浮动），出于谨慎性原则，光伏发电用电电价为0.57元/kWh，暂不考虑电价调幅。</w:t>
      </w:r>
    </w:p>
    <w:p>
      <w:pPr>
        <w:autoSpaceDE w:val="false"/>
        <w:spacing w:line="360" w:lineRule="auto"/>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drawing>
          <wp:inline distT="0" distB="0" distL="0" distR="0">
            <wp:extent cx="5274310" cy="2512695"/>
            <wp:effectExtent l="0" t="0" r="0" b="0"/>
            <wp:docPr id="5" name="picture" descr="descript"/>
            <wp:cNvGraphicFramePr/>
            <a:graphic>
              <a:graphicData uri="http://schemas.openxmlformats.org/drawingml/2006/picture">
                <pic:pic>
                  <pic:nvPicPr>
                    <pic:cNvPr id="6" name="picture" descr="descript"/>
                    <pic:cNvPicPr/>
                  </pic:nvPicPr>
                  <pic:blipFill>
                    <a:blip r:embed="rId8"/>
                    <a:stretch>
                      <a:fillRect/>
                    </a:stretch>
                  </pic:blipFill>
                  <pic:spPr>
                    <a:xfrm>
                      <a:off x="0" y="0"/>
                      <a:ext cx="5274310" cy="2513296"/>
                    </a:xfrm>
                    <a:prstGeom prst="rect">
                      <a:avLst/>
                    </a:prstGeom>
                  </pic:spPr>
                </pic:pic>
              </a:graphicData>
            </a:graphic>
          </wp:inline>
        </w:drawing>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根据谨慎性原则，本次测算工商业用电平均电价为0.724元/kWh，则自发自用电费收益=（自用率*装机容量*1KW光伏装机容量平均日发电量*年发电天数-储能日储存电量*360）*工商业用电平均电价，贷款存续期间自用收益经营性收入估算合计为4554.38万元。（装机容量运营期首年衰减1%，以后每年衰减0.4%）详情请见估算表收入部分。</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2、储能售电收入</w:t>
      </w:r>
    </w:p>
    <w:p>
      <w:pPr>
        <w:autoSpaceDE/>
        <w:spacing w:line="360" w:lineRule="auto"/>
        <w:ind w:firstLineChars="200"/>
        <w:contextualSpacing/>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1）峰值需求量：河南大成包装材料有限公司年用电需求4752万kWh，考虑到该企业是24小时生产，峰值用电1425.60万kWh（高峰段为16--24时），本项目配备储能发电系统总计40MW，其中普通用户侧储能为37MW，剩余3MW分布式换电储能设备，因3MW分布式换电储能设备需要专业团队运营，收入存在不去定性，本次测算将不作为收入计算。本项目最大储能量为每天8*5000=40000kWh。为谨慎考虑，日出能量按照92%计算为36800kWh。年储能供电量是36800kWh*360=1324.80万kWh，可为满足该企业波峰用电需求</w:t>
      </w:r>
      <w:r>
        <w:rPr>
          <w:rFonts w:hint="eastAsia" w:ascii="仿宋" w:hAnsi="仿宋" w:eastAsia="仿宋" w:cs="宋体"/>
          <w:b w:val="false"/>
          <w:bCs w:val="false"/>
          <w:sz w:val="24"/>
          <w:szCs w:val="24"/>
          <w:lang w:val="en-US" w:eastAsia="zh-CN"/>
        </w:rPr>
        <w:t>。</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2）储能销售电价：根据结合近2025年5月份电力公司代理购电工商业用户电价表推算，峰值价差约为0.728元/kwh（未考虑尖峰电价），出于谨慎性原则，项目暂按差价0.61元/kWh测算。储能峰谷发电收益=日峰值需求量*峰谷价差*年发电天数，贷款存续期间自用收益及经营性收入估算合计为9451.58万元。</w:t>
      </w:r>
    </w:p>
    <w:p>
      <w:pPr>
        <w:autoSpaceDE w:val="false"/>
        <w:spacing w:line="360" w:lineRule="auto"/>
        <w:ind w:firstLineChars="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drawing>
          <wp:inline distT="0" distB="0" distL="0" distR="0">
            <wp:extent cx="5274310" cy="2512695"/>
            <wp:effectExtent l="0" t="0" r="0" b="0"/>
            <wp:docPr id="8" name="picture" descr="descript"/>
            <wp:cNvGraphicFramePr/>
            <a:graphic>
              <a:graphicData uri="http://schemas.openxmlformats.org/drawingml/2006/picture">
                <pic:pic>
                  <pic:nvPicPr>
                    <pic:cNvPr id="9" name="picture" descr="descript"/>
                    <pic:cNvPicPr/>
                  </pic:nvPicPr>
                  <pic:blipFill>
                    <a:blip r:embed="rId8"/>
                    <a:stretch>
                      <a:fillRect/>
                    </a:stretch>
                  </pic:blipFill>
                  <pic:spPr>
                    <a:xfrm>
                      <a:off x="0" y="0"/>
                      <a:ext cx="5274310" cy="2513296"/>
                    </a:xfrm>
                    <a:prstGeom prst="rect">
                      <a:avLst/>
                    </a:prstGeom>
                  </pic:spPr>
                </pic:pic>
              </a:graphicData>
            </a:graphic>
          </wp:inline>
        </w:drawing>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3、充电桩收入</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根据《关于加快电动汽车充电基础设施建设的实施意见》以及《河南省发展改革委转发国家发展改革委关于电动汽车用电价格政策有关问题的通知》：充换电设施经营单位可向电动汽车用户收取电费及充电服务费两项费用。结合新乡市市市场价格，目前辖区范围内电动汽车充电服务费按充电的计量单位数(千瓦时)收取，社会车辆充电服务费标准暂定为0.8元/千瓦时。</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本项目设置600kw液冷充电桩5个。项目充电桩所使用电力全部由光伏车棚及储能模块提供，考虑到本项目的服务群体和区位，定价不宜过高，本次充电费用将按照0.35元/度充电电费及0.3元/度充电服务费，合计充电桩使用费为0.65元/千瓦时计算，功率为600kw，利用率按照运营期第0.5年使用系数按50%，第二年按60%，第三年按70%，第四年按80%，第五年按90%，第六年及以后按95%计算。每个充电桩每天工作0.5小时，年使用360天，每小时充电600度。贷款存续期间充电桩收入估算合计为347.49万元</w:t>
      </w:r>
      <w:r>
        <w:rPr>
          <w:rFonts w:hint="eastAsia" w:ascii="仿宋" w:hAnsi="仿宋" w:eastAsia="仿宋" w:cs="宋体"/>
          <w:b w:val="false"/>
          <w:bCs w:val="false"/>
          <w:sz w:val="24"/>
          <w:szCs w:val="24"/>
          <w:lang w:val="en-US" w:eastAsia="zh-CN"/>
        </w:rPr>
        <w:t>。</w:t>
      </w:r>
    </w:p>
    <w:p>
      <w:pP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综上所述，项目12年运营期内总收入为14353.45万元。</w:t>
      </w:r>
    </w:p>
    <w:p>
      <w:pPr>
        <w:numPr>
          <w:ilvl w:val="0"/>
          <w:numId w:val="0"/>
        </w:numPr>
        <w:autoSpaceDE w:val="false"/>
        <w:spacing w:line="360" w:lineRule="auto"/>
        <w:ind w:firstLine="562" w:firstLineChars="200"/>
        <w:jc w:val="left"/>
        <w:rPr>
          <w:rFonts w:hint="default" w:ascii="仿宋" w:hAnsi="仿宋" w:eastAsia="仿宋" w:cstheme="minorEastAsia"/>
          <w:b/>
          <w:bCs/>
          <w:sz w:val="28"/>
          <w:szCs w:val="28"/>
          <w:lang w:val="en-US" w:eastAsia="zh-CN"/>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成本与费用</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1、燃料动力费</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项目建设完成后，本项目生产服务用房用电用水由运营方承担。按实际生产量估算，价格依据现行市场确定，当项目达到设计达产能力100%，年成本费用为2.6万元/年，考虑到储能波谷充电，波峰放电，电池充电放每天消耗电能3200kWh，波谷充电成本0.35元/kWh，年消耗电能3200kWh*360*0.35元/kWh=40.32万元。项目运营期内年均燃料动力费成本41.17万元。</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2、人员工资与福利成本</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本项目编制拟定为6人，主要为运营、维修维护管理人员，平均工资标准为100000元/年，考虑平均社会发展水平，费用每年3增长5%；经计算，年均职工薪酬及福利费为62.14万元。</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3、保洁维护费</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参考市场运维成本，结合项目实际情况，按照年折旧费的8%计取，经计算项目运营期内年均保洁维护费为28.79万元。</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4、折旧与摊销</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本项目按直线法计算折旧，本项目主要是光伏设备和储能设备，该设备折旧年限为20年，残值率为5%。项目运营期内年均折旧额为359.53万元。</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5、运营及管理费</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主要为光伏发电设备、储能系统管理和光伏充电桩等，结合项目实际情况，按照年营业收入2%计取，则项目合计运营及管理费年均为23.92万元。</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7、利息支出</w:t>
      </w:r>
    </w:p>
    <w:p>
      <w:pPr>
        <w:pBdr>
          <w:bottom w:val="none" w:color="auto" w:sz="0" w:space="0"/>
        </w:pBdr>
        <w:autoSpaceDE w:val="false"/>
        <w:spacing w:line="360" w:lineRule="auto"/>
        <w:ind w:firstLine="480" w:firstLineChars="200"/>
        <w:jc w:val="left"/>
        <w:rPr>
          <w:rFonts w:hint="eastAsia" w:ascii="仿宋" w:hAnsi="仿宋" w:eastAsia="仿宋" w:cs="宋体"/>
          <w:b w:val="false"/>
          <w:bCs w:val="false"/>
          <w:sz w:val="24"/>
          <w:szCs w:val="24"/>
          <w:lang w:val="en-US" w:eastAsia="zh-CN"/>
        </w:rPr>
      </w:pPr>
      <w:r>
        <w:rPr>
          <w:rFonts w:hint="eastAsia" w:ascii="仿宋" w:hAnsi="仿宋" w:eastAsia="仿宋" w:cs="宋体"/>
          <w:b w:val="false"/>
          <w:bCs w:val="false"/>
          <w:sz w:val="24"/>
          <w:szCs w:val="24"/>
          <w:lang w:val="en-US" w:eastAsia="zh-CN"/>
        </w:rPr>
        <w:t>项目申请贷款7000万元，年限为12年，其中建设期0.5年，建设期利息计入总投资，利率为4.50%。运营期内每年还本付息，具体情况见《还本付息表》。</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四、</w:t>
      </w:r>
      <w:r>
        <w:rPr>
          <w:rFonts w:hint="eastAsia" w:ascii="仿宋" w:hAnsi="仿宋" w:eastAsia="仿宋" w:cstheme="minorEastAsia"/>
          <w:b/>
          <w:bCs/>
          <w:sz w:val="28"/>
          <w:szCs w:val="28"/>
        </w:rPr>
        <w:t xml:space="preserve">税金及附加 </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20" w:firstLineChars="200"/>
        <w:textAlignment w:val="auto"/>
        <w:rPr>
          <w:rFonts w:hint="eastAsia" w:ascii="仿宋" w:hAnsi="仿宋" w:eastAsia="仿宋" w:cs="宋体"/>
          <w:bCs/>
          <w:kern w:val="2"/>
          <w:sz w:val="24"/>
          <w:szCs w:val="24"/>
          <w:lang w:val="en-US" w:eastAsia="zh-CN" w:bidi="ar-SA"/>
        </w:rPr>
      </w:pPr>
      <w:r>
        <w:rPr>
          <w:rFonts w:hint="eastAsia"/>
          <w:lang w:val="en-US" w:eastAsia="zh-CN"/>
        </w:rPr>
        <w:t xml:space="preserve"> </w:t>
      </w:r>
      <w:r>
        <w:rPr>
          <w:rFonts w:hint="eastAsia" w:ascii="仿宋" w:hAnsi="仿宋" w:eastAsia="仿宋" w:cs="宋体"/>
          <w:bCs/>
          <w:kern w:val="2"/>
          <w:sz w:val="24"/>
          <w:szCs w:val="24"/>
          <w:lang w:val="en-US" w:eastAsia="zh-CN" w:bidi="ar-SA"/>
        </w:rPr>
        <w:t>根据财政部、税务总局公布的《财政部税务总局海关总署关于深化增值税改革有关政策的公告》（2019年第39号）及税法有关规定，光伏储能售电增值税13%、智能充电桩6%；另外计缴纳城市建设维护税、教育附加、地方教育附加（分别为增值税×7%、3%、2%）。</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增值税=（销项税-进项税-可抵扣进项税）×税率</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销项税=营业收入/（1+税率）*税率</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default" w:eastAsiaTheme="minorEastAsia"/>
          <w:lang w:val="en-US" w:eastAsia="zh-CN"/>
        </w:rPr>
      </w:pPr>
      <w:r>
        <w:rPr>
          <w:rFonts w:hint="eastAsia" w:ascii="仿宋" w:hAnsi="仿宋" w:eastAsia="仿宋" w:cs="宋体"/>
          <w:bCs/>
          <w:kern w:val="2"/>
          <w:sz w:val="24"/>
          <w:szCs w:val="24"/>
          <w:lang w:val="en-US" w:eastAsia="zh-CN" w:bidi="ar-SA"/>
        </w:rPr>
        <w:t>所得税=税前利润（利润总额）×适用税率=（营业收入－营业税及附加－总成本费用）×适用税率。</w:t>
      </w:r>
    </w:p>
    <w:p>
      <w:pPr>
        <w:numPr>
          <w:ilvl w:val="0"/>
          <w:numId w:val="0"/>
        </w:numPr>
        <w:autoSpaceDE w:val="false"/>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 xml:space="preserve">利润及利润分配 </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leftChars="0" w:firstLine="480" w:firstLineChars="200"/>
        <w:textAlignment w:val="auto"/>
        <w:rPr>
          <w:rFonts w:hint="default" w:eastAsiaTheme="minorEastAsia"/>
          <w:lang w:val="en-US" w:eastAsia="zh-CN"/>
        </w:rPr>
      </w:pPr>
      <w:r>
        <w:rPr>
          <w:rFonts w:hint="eastAsia" w:ascii="仿宋" w:hAnsi="仿宋" w:eastAsia="仿宋" w:cs="宋体"/>
          <w:bCs/>
          <w:kern w:val="2"/>
          <w:sz w:val="24"/>
          <w:szCs w:val="24"/>
          <w:lang w:val="en-US" w:eastAsia="zh-CN" w:bidi="ar-SA"/>
        </w:rPr>
        <w:t>经测算，</w:t>
      </w:r>
      <w:r>
        <w:rPr>
          <w:rFonts w:hint="eastAsia" w:ascii="仿宋" w:hAnsi="仿宋" w:eastAsia="仿宋" w:cs="宋体"/>
          <w:bCs/>
          <w:kern w:val="2"/>
          <w:sz w:val="24"/>
          <w:szCs w:val="24"/>
          <w:highlight w:val="none"/>
          <w:lang w:val="en-US" w:eastAsia="zh-CN" w:bidi="ar-SA"/>
        </w:rPr>
        <w:t>运营期年均可供分配利</w:t>
      </w:r>
      <w:r>
        <w:rPr>
          <w:rFonts w:hint="eastAsia" w:ascii="仿宋" w:hAnsi="仿宋" w:eastAsia="仿宋" w:cs="宋体"/>
          <w:bCs/>
          <w:color w:val="000000"/>
          <w:kern w:val="2"/>
          <w:sz w:val="24"/>
          <w:szCs w:val="24"/>
          <w:highlight w:val="none"/>
          <w:lang w:val="en-US" w:eastAsia="zh-CN" w:bidi="ar-SA"/>
        </w:rPr>
        <w:t>润为1316.44万</w:t>
      </w:r>
      <w:r>
        <w:rPr>
          <w:rFonts w:hint="eastAsia" w:ascii="仿宋" w:hAnsi="仿宋" w:eastAsia="仿宋" w:cs="宋体"/>
          <w:bCs/>
          <w:kern w:val="2"/>
          <w:sz w:val="24"/>
          <w:szCs w:val="24"/>
          <w:highlight w:val="none"/>
          <w:lang w:val="en-US" w:eastAsia="zh-CN" w:bidi="ar-SA"/>
        </w:rPr>
        <w:t>元</w:t>
      </w:r>
      <w:r>
        <w:rPr>
          <w:rFonts w:hint="eastAsia" w:ascii="仿宋" w:hAnsi="仿宋" w:eastAsia="仿宋" w:cs="宋体"/>
          <w:bCs/>
          <w:kern w:val="2"/>
          <w:sz w:val="24"/>
          <w:szCs w:val="24"/>
          <w:lang w:val="en-US" w:eastAsia="zh-CN" w:bidi="ar-SA"/>
        </w:rPr>
        <w:t>。所得税按利润总额的25%计算，盈余公积金按净利润的10%提取，利润分配比例为90%。</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六、财务效益评估</w:t>
      </w:r>
    </w:p>
    <w:p>
      <w:pPr>
        <w:autoSpaceDE w:val="false"/>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（一）盈利能力分析</w:t>
      </w:r>
    </w:p>
    <w:p>
      <w:pPr>
        <w:autoSpaceDE w:val="false"/>
        <w:spacing w:line="360" w:lineRule="auto"/>
        <w:ind w:firstLine="480" w:firstLineChars="200"/>
        <w:jc w:val="left"/>
        <w:rPr>
          <w:rFonts w:hint="default"/>
          <w:color w:val="000000"/>
          <w:highlight w:val="yellow"/>
          <w:lang w:val="en-US"/>
        </w:rPr>
      </w:pPr>
      <w:r>
        <w:rPr>
          <w:rFonts w:hint="eastAsia" w:ascii="仿宋" w:hAnsi="仿宋" w:eastAsia="仿宋" w:cs="宋体"/>
          <w:bCs/>
          <w:color w:val="000000"/>
          <w:sz w:val="24"/>
          <w:highlight w:val="none"/>
          <w:lang w:val="en-US" w:eastAsia="zh-CN"/>
        </w:rPr>
        <w:t>该项目运营期内，年平均销售利润率29.55%，具备一定盈利能力；投资利润率48.37%，项目财务内部收益率（税后）7.98%，高于基准收益率4.2%，项目净现值（税后）2151.65万元。</w:t>
      </w:r>
    </w:p>
    <w:p>
      <w:pPr>
        <w:autoSpaceDE w:val="false"/>
        <w:spacing w:line="360" w:lineRule="auto"/>
        <w:ind w:firstLine="562" w:firstLineChars="200"/>
        <w:jc w:val="left"/>
        <w:rPr>
          <w:rFonts w:hint="eastAsia" w:ascii="仿宋" w:hAnsi="仿宋" w:eastAsia="仿宋" w:cs="宋体"/>
          <w:bCs/>
          <w:sz w:val="24"/>
          <w:highlight w:val="none"/>
        </w:rPr>
      </w:pPr>
      <w:r>
        <w:rPr>
          <w:rFonts w:hint="eastAsia" w:ascii="仿宋" w:hAnsi="仿宋" w:eastAsia="仿宋" w:cstheme="minorEastAsia"/>
          <w:b/>
          <w:bCs/>
          <w:sz w:val="28"/>
          <w:szCs w:val="28"/>
        </w:rPr>
        <w:t>（二）偿债能力分析</w:t>
      </w:r>
    </w:p>
    <w:p>
      <w:pPr>
        <w:autoSpaceDE w:val="false"/>
        <w:spacing w:line="360" w:lineRule="auto"/>
        <w:ind w:firstLine="561"/>
        <w:jc w:val="left"/>
        <w:rPr>
          <w:rFonts w:ascii="仿宋" w:hAnsi="仿宋" w:eastAsia="仿宋" w:cs="宋体"/>
          <w:color w:val="FF0000"/>
          <w:sz w:val="28"/>
          <w:szCs w:val="28"/>
        </w:rPr>
      </w:pPr>
      <w:r>
        <w:rPr>
          <w:rFonts w:hint="eastAsia" w:ascii="仿宋" w:hAnsi="仿宋" w:eastAsia="仿宋" w:cs="宋体"/>
          <w:bCs/>
          <w:sz w:val="24"/>
          <w:highlight w:val="none"/>
        </w:rPr>
        <w:t>经评估，</w:t>
      </w:r>
      <w:r>
        <w:rPr>
          <w:rFonts w:hint="eastAsia" w:ascii="仿宋" w:hAnsi="仿宋" w:eastAsia="仿宋" w:cs="宋体"/>
          <w:bCs/>
          <w:sz w:val="24"/>
          <w:highlight w:val="none"/>
          <w:lang w:val="en-US" w:eastAsia="zh-CN"/>
        </w:rPr>
        <w:t>项目综合利息备付率5.12，综合偿债备付率1.16，说明企业具有较强的清偿能力。</w:t>
      </w:r>
    </w:p>
    <w:p>
      <w:pPr>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七、本章小结</w:t>
      </w:r>
    </w:p>
    <w:p>
      <w:pPr>
        <w:pStyle w:val="00001d"/>
        <w:keepNext w:val="false"/>
        <w:keepLines w:val="false"/>
        <w:pageBreakBefore w:val="false"/>
        <w:widowControl w:val="false"/>
        <w:numPr>
          <w:ilvl w:val="0"/>
          <w:numId w:val="0"/>
        </w:numPr>
        <w:kinsoku/>
        <w:wordWrap/>
        <w:overflowPunct/>
        <w:topLinePunct w:val="false"/>
        <w:autoSpaceDE/>
        <w:autoSpaceDN/>
        <w:bidi w:val="false"/>
        <w:adjustRightInd/>
        <w:snapToGrid/>
        <w:spacing w:line="360" w:lineRule="auto"/>
        <w:ind w:firstLine="480" w:firstLineChars="200"/>
        <w:jc w:val="both"/>
        <w:textAlignment w:val="auto"/>
        <w:rPr>
          <w:rFonts w:hint="default" w:ascii="仿宋" w:hAnsi="仿宋" w:eastAsia="仿宋" w:cs="宋体"/>
          <w:bCs/>
          <w:kern w:val="2"/>
          <w:sz w:val="24"/>
          <w:szCs w:val="24"/>
          <w:highlight w:val="none"/>
          <w:lang w:val="en-US" w:eastAsia="zh-CN" w:bidi="ar-SA"/>
        </w:rPr>
      </w:pPr>
      <w:r>
        <w:rPr>
          <w:rFonts w:hint="eastAsia" w:ascii="仿宋" w:hAnsi="仿宋" w:eastAsia="仿宋" w:cs="宋体"/>
          <w:bCs/>
          <w:color w:val="000000"/>
          <w:kern w:val="2"/>
          <w:sz w:val="24"/>
          <w:szCs w:val="24"/>
          <w:highlight w:val="none"/>
          <w:lang w:val="en-US" w:eastAsia="zh-CN" w:bidi="ar-SA"/>
        </w:rPr>
        <w:t>经评估，项目销售利润率为29.55%；年均投资利润率为48.37%；</w:t>
      </w:r>
      <w:r>
        <w:rPr>
          <w:rFonts w:hint="eastAsia" w:ascii="仿宋" w:hAnsi="仿宋" w:eastAsia="仿宋" w:cs="宋体"/>
          <w:bCs/>
          <w:color w:val="000000" w:themeColor="text1"/>
          <w:kern w:val="2"/>
          <w:sz w:val="24"/>
          <w:szCs w:val="24"/>
          <w:highlight w:val="none"/>
          <w:lang w:val="en-US" w:eastAsia="zh-CN" w:bidi="ar-SA"/>
          <w14:textFill>
            <w14:solidFill>
              <w14:schemeClr w14:val="tx1"/>
            </w14:solidFill>
          </w14:textFill>
        </w:rPr>
        <w:t>全部投资财务内部收益率（税后）为7.98%，财务净现值（税后）为2151.65万元，</w:t>
      </w:r>
      <w:r>
        <w:rPr>
          <w:rFonts w:hint="eastAsia" w:ascii="仿宋" w:hAnsi="仿宋" w:eastAsia="仿宋" w:cs="宋体"/>
          <w:bCs/>
          <w:color w:val="000000" w:themeColor="text1"/>
          <w:sz w:val="24"/>
          <w:highlight w:val="none"/>
          <w:lang w:val="en-US" w:eastAsia="zh-CN"/>
          <w14:textFill>
            <w14:solidFill>
              <w14:schemeClr w14:val="tx1"/>
            </w14:solidFill>
          </w14:textFill>
        </w:rPr>
        <w:t>项目综合利息备付率5.12，综合偿债备付率1.16</w:t>
      </w:r>
      <w:r>
        <w:rPr>
          <w:rFonts w:hint="eastAsia" w:ascii="仿宋" w:hAnsi="仿宋" w:eastAsia="仿宋" w:cs="宋体"/>
          <w:bCs/>
          <w:color w:val="000000" w:themeColor="text1"/>
          <w:kern w:val="2"/>
          <w:sz w:val="24"/>
          <w:szCs w:val="24"/>
          <w:highlight w:val="none"/>
          <w:lang w:val="en-US" w:eastAsia="zh-CN" w:bidi="ar-SA"/>
          <w14:textFill>
            <w14:solidFill>
              <w14:schemeClr w14:val="tx1"/>
            </w14:solidFill>
          </w14:textFill>
        </w:rPr>
        <w:t>，根据可研本项目可</w:t>
      </w:r>
      <w:r>
        <w:rPr>
          <w:rFonts w:hint="eastAsia" w:ascii="仿宋" w:hAnsi="仿宋" w:eastAsia="仿宋" w:cs="宋体"/>
          <w:bCs/>
          <w:kern w:val="2"/>
          <w:sz w:val="24"/>
          <w:szCs w:val="24"/>
          <w:highlight w:val="none"/>
          <w:lang w:val="en-US" w:eastAsia="zh-CN" w:bidi="ar-SA"/>
        </w:rPr>
        <w:t>用14处厂房屋顶及部分闲置空地，经营单位暂未提供相关荷载报告及除可研外的屋顶面积统计相关的佐证材料，若项目建设完工后，实际装机容量小于预测装机容量，将会影响项目整体发电量，导致项目总体收入减少，影响我行还款来源；此外，因屋顶的剩余存续期不明确，若还款期内屋顶所属的建筑物被拆改则我行的还款来源将受不利影响。</w:t>
      </w:r>
    </w:p>
    <w:p>
      <w:pPr>
        <w:pStyle w:val="000004"/>
        <w:pageBreakBefore/>
        <w:spacing w:before="0" w:after="0" w:line="360" w:lineRule="auto"/>
        <w:jc w:val="center"/>
        <w:rPr>
          <w:rFonts w:ascii="仿宋" w:hAnsi="仿宋" w:eastAsia="仿宋" w:cstheme="majorEastAsia"/>
          <w:kern w:val="0"/>
          <w:sz w:val="36"/>
          <w:szCs w:val="36"/>
        </w:rPr>
      </w:pPr>
      <w:r>
        <w:rPr>
          <w:rFonts w:hint="eastAsia" w:ascii="仿宋" w:hAnsi="仿宋" w:eastAsia="仿宋" w:cstheme="majorEastAsia"/>
          <w:kern w:val="0"/>
          <w:sz w:val="36"/>
          <w:szCs w:val="36"/>
        </w:rPr>
        <w:t>第七章 不确定性分析与风险评估</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一、盈亏平衡分析</w:t>
      </w:r>
    </w:p>
    <w:p>
      <w:pPr>
        <w:autoSpaceDE w:val="false"/>
        <w:snapToGrid w:val="false"/>
        <w:spacing w:line="360" w:lineRule="auto"/>
        <w:ind w:firstLine="480" w:firstLineChars="200"/>
        <w:jc w:val="left"/>
        <w:rPr>
          <w:rFonts w:hint="eastAsia" w:ascii="仿宋" w:hAnsi="仿宋" w:eastAsia="仿宋" w:cstheme="minorEastAsia"/>
          <w:b/>
          <w:bCs/>
          <w:sz w:val="28"/>
          <w:szCs w:val="28"/>
        </w:rPr>
      </w:pPr>
      <w:r>
        <w:rPr>
          <w:rFonts w:hint="eastAsia" w:ascii="仿宋" w:hAnsi="仿宋" w:eastAsia="仿宋" w:cs="宋体"/>
          <w:bCs/>
          <w:sz w:val="24"/>
          <w:highlight w:val="none"/>
          <w:lang w:val="en-US" w:eastAsia="zh-CN"/>
        </w:rPr>
        <w:t>项目计算期内，</w:t>
      </w:r>
      <w:r>
        <w:rPr>
          <w:rFonts w:hint="eastAsia" w:ascii="仿宋" w:hAnsi="仿宋" w:eastAsia="仿宋" w:cs="宋体"/>
          <w:bCs/>
          <w:sz w:val="24"/>
          <w:highlight w:val="none"/>
        </w:rPr>
        <w:t>盈亏平衡点为</w:t>
      </w:r>
      <w:r>
        <w:rPr>
          <w:rFonts w:hint="eastAsia" w:ascii="仿宋" w:hAnsi="仿宋" w:eastAsia="仿宋" w:cs="宋体"/>
          <w:bCs/>
          <w:sz w:val="24"/>
          <w:highlight w:val="none"/>
          <w:lang w:val="en-US" w:eastAsia="zh-CN"/>
        </w:rPr>
        <w:t>50.92</w:t>
      </w:r>
      <w:r>
        <w:rPr>
          <w:rFonts w:hint="eastAsia" w:ascii="仿宋" w:hAnsi="仿宋" w:eastAsia="仿宋" w:cs="宋体"/>
          <w:bCs/>
          <w:sz w:val="24"/>
          <w:highlight w:val="none"/>
        </w:rPr>
        <w:t>%，</w:t>
      </w:r>
      <w:r>
        <w:rPr>
          <w:rFonts w:hint="eastAsia" w:ascii="仿宋" w:hAnsi="仿宋" w:eastAsia="仿宋" w:cs="宋体"/>
          <w:bCs/>
          <w:sz w:val="24"/>
          <w:highlight w:val="none"/>
          <w:lang w:val="en-US" w:eastAsia="zh-CN"/>
        </w:rPr>
        <w:t>项目具备一定抗风险能力</w:t>
      </w:r>
      <w:r>
        <w:rPr>
          <w:rFonts w:hint="eastAsia" w:ascii="仿宋" w:hAnsi="仿宋" w:eastAsia="仿宋" w:cs="宋体"/>
          <w:bCs/>
          <w:sz w:val="24"/>
          <w:highlight w:val="none"/>
        </w:rPr>
        <w:t>。</w:t>
      </w:r>
    </w:p>
    <w:p>
      <w:pPr>
        <w:autoSpaceDE w:val="false"/>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二、敏感性分析</w:t>
      </w:r>
    </w:p>
    <w:p>
      <w:pPr>
        <w:keepNext w:val="false"/>
        <w:keepLines w:val="false"/>
        <w:pageBreakBefore w:val="false"/>
        <w:widowControl w:val="false"/>
        <w:kinsoku/>
        <w:wordWrap/>
        <w:overflowPunct/>
        <w:topLinePunct/>
        <w:autoSpaceDE w:val="false"/>
        <w:autoSpaceDN/>
        <w:bidi w:val="false"/>
        <w:adjustRightInd/>
        <w:snapToGrid/>
        <w:spacing w:before="157" w:beforeLines="50" w:after="28" w:line="360" w:lineRule="auto"/>
        <w:ind w:left="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i w:val="false"/>
          <w:strike w:val="false"/>
          <w:color w:val="000000"/>
          <w:spacing w:val="0"/>
          <w:sz w:val="24"/>
          <w:szCs w:val="24"/>
          <w:u w:val="none"/>
        </w:rPr>
        <w:t>本项目主要风险因素包括销售收入、原材料、经营成本、固定资产投资等因素的变化，而投资值的影响。</w:t>
      </w:r>
    </w:p>
    <w:p>
      <w:pPr>
        <w:keepNext w:val="false"/>
        <w:keepLines w:val="false"/>
        <w:pageBreakBefore w:val="false"/>
        <w:widowControl w:val="false"/>
        <w:kinsoku/>
        <w:wordWrap/>
        <w:overflowPunct/>
        <w:topLinePunct/>
        <w:autoSpaceDE w:val="false"/>
        <w:autoSpaceDN/>
        <w:bidi w:val="false"/>
        <w:adjustRightInd/>
        <w:snapToGrid/>
        <w:spacing w:before="157" w:beforeLines="50" w:after="28" w:line="360" w:lineRule="auto"/>
        <w:ind w:left="0" w:right="0" w:rightChars="0" w:firstLine="480" w:firstLineChars="200"/>
        <w:jc w:val="both"/>
        <w:textAlignment w:val="baseline"/>
        <w:rPr/>
      </w:pPr>
      <w:r>
        <w:rPr>
          <w:rFonts w:hint="eastAsia" w:ascii="仿宋" w:hAnsi="仿宋" w:eastAsia="仿宋" w:cs="仿宋"/>
          <w:i w:val="false"/>
          <w:strike w:val="false"/>
          <w:color w:val="000000"/>
          <w:spacing w:val="0"/>
          <w:sz w:val="24"/>
          <w:szCs w:val="24"/>
          <w:u w:val="none"/>
        </w:rPr>
        <w:t>基本方案的基本指标，满足了财务基准值的要求，考虑项目实施过程中的一些不确定因素的变化，分别对销售价格、销售量(增减幅度分别为5%、10%、15%、-5%、-10%和-15%)、经营成本、固定资产投资进行单因素分析(增减幅度分别为5%、10%、15%、-5%、-10%和-15%)，销售价格与销售量的变化数值从理论上分析应该是一致的，即单因素变化对内部收益率、投资回收期的影响进行敏感性分析。</w:t>
      </w:r>
    </w:p>
    <w:p>
      <w:pPr>
        <w:keepNext w:val="false"/>
        <w:keepLines w:val="false"/>
        <w:pageBreakBefore w:val="false"/>
        <w:widowControl w:val="false"/>
        <w:pBdr>
          <w:bottom w:val="none" w:color="auto" w:sz="0" w:space="0"/>
        </w:pBdr>
        <w:kinsoku/>
        <w:wordWrap/>
        <w:overflowPunct/>
        <w:topLinePunct/>
        <w:autoSpaceDE w:val="false"/>
        <w:autoSpaceDN/>
        <w:bidi w:val="false"/>
        <w:adjustRightInd/>
        <w:snapToGrid/>
        <w:spacing w:before="157" w:beforeLines="50" w:after="28" w:line="360" w:lineRule="auto"/>
        <w:ind w:right="0" w:rightChars="0"/>
        <w:jc w:val="center"/>
        <w:textAlignment w:val="baseline"/>
        <w:rPr>
          <w:rFonts w:hint="eastAsia" w:ascii="仿宋" w:hAnsi="仿宋" w:eastAsia="仿宋" w:cs="仿宋"/>
          <w:b w:val="false"/>
          <w:bCs/>
          <w:i w:val="false"/>
          <w:strike w:val="false"/>
          <w:color w:val="000000"/>
          <w:spacing w:val="0"/>
          <w:sz w:val="28"/>
          <w:u w:val="none"/>
        </w:rPr>
      </w:pPr>
      <w:r>
        <w:rPr>
          <w:rFonts w:hint="eastAsia" w:ascii="仿宋" w:hAnsi="仿宋" w:eastAsia="仿宋" w:cs="仿宋"/>
          <w:b w:val="false"/>
          <w:bCs/>
          <w:i w:val="false"/>
          <w:strike w:val="false"/>
          <w:color w:val="000000"/>
          <w:spacing w:val="0"/>
          <w:sz w:val="28"/>
          <w:u w:val="none"/>
        </w:rPr>
        <w:t>财务敏感性分析表</w:t>
      </w:r>
    </w:p>
    <w:tbl>
      <w:tblPr>
        <w:tblStyle w:val="0000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5"/>
        <w:gridCol w:w="990"/>
        <w:gridCol w:w="975"/>
        <w:gridCol w:w="990"/>
        <w:gridCol w:w="975"/>
        <w:gridCol w:w="990"/>
        <w:gridCol w:w="1110"/>
      </w:tblGrid>
      <w:tr>
        <w:trPr>
          <w:trHeight w:val="464"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变动幅度</w:t>
            </w:r>
          </w:p>
        </w:tc>
        <w:tc>
          <w:tcPr>
            <w:tcW w:w="10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10%</w:t>
            </w:r>
          </w:p>
        </w:tc>
        <w:tc>
          <w:tcPr>
            <w:tcW w:w="11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15%</w:t>
            </w:r>
          </w:p>
        </w:tc>
      </w:tr>
      <w:tr>
        <w:trPr>
          <w:trHeight w:val="461"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销售收入</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ascii="仿宋" w:hAnsi="仿宋" w:eastAsia="仿宋" w:cs="仿宋"/>
                <w:i w:val="false"/>
                <w:strike w:val="false"/>
                <w:color w:val="auto"/>
                <w:spacing w:val="0"/>
                <w:sz w:val="21"/>
                <w:u w:val="none"/>
              </w:rPr>
              <w:t>5.54</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ascii="仿宋" w:hAnsi="仿宋" w:eastAsia="仿宋" w:cs="仿宋"/>
                <w:i w:val="false"/>
                <w:strike w:val="false"/>
                <w:color w:val="auto"/>
                <w:spacing w:val="0"/>
                <w:sz w:val="21"/>
                <w:u w:val="none"/>
              </w:rPr>
              <w:t>6.35</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7.17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8.80</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9.61</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FF0000"/>
                <w:lang w:val="en-US" w:eastAsia="zh-CN"/>
              </w:rPr>
            </w:pPr>
            <w:r>
              <w:rPr>
                <w:rFonts w:hint="eastAsia" w:ascii="仿宋" w:hAnsi="仿宋" w:eastAsia="仿宋" w:cs="仿宋"/>
                <w:i w:val="false"/>
                <w:strike w:val="false"/>
                <w:color w:val="auto"/>
                <w:spacing w:val="0"/>
                <w:sz w:val="21"/>
                <w:u w:val="none"/>
                <w:lang w:val="en-US" w:eastAsia="zh-CN"/>
              </w:rPr>
              <w:t>10.42</w:t>
            </w:r>
          </w:p>
        </w:tc>
      </w:tr>
      <w:tr>
        <w:trPr>
          <w:trHeight w:val="435"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经营成本</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8.31</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8.20</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8.09</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7.88</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7.77</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7.66</w:t>
            </w:r>
          </w:p>
        </w:tc>
      </w:tr>
      <w:tr>
        <w:trPr>
          <w:trHeight w:val="499"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ascii="仿宋" w:hAnsi="仿宋" w:eastAsia="仿宋" w:cs="仿宋"/>
                <w:color w:val="auto"/>
              </w:rPr>
            </w:pPr>
            <w:r>
              <w:rPr>
                <w:rFonts w:ascii="仿宋" w:hAnsi="仿宋" w:eastAsia="仿宋" w:cs="仿宋"/>
                <w:i w:val="false"/>
                <w:strike w:val="false"/>
                <w:color w:val="auto"/>
                <w:spacing w:val="0"/>
                <w:sz w:val="21"/>
                <w:u w:val="none"/>
              </w:rPr>
              <w:t>建安投资</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10.33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9.46</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8.68</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i w:val="false"/>
                <w:strike w:val="false"/>
                <w:color w:val="auto"/>
                <w:spacing w:val="0"/>
                <w:sz w:val="21"/>
                <w:u w:val="none"/>
                <w:lang w:val="en-US" w:eastAsia="zh-CN"/>
              </w:rPr>
            </w:pPr>
            <w:r>
              <w:rPr>
                <w:rFonts w:hint="eastAsia" w:ascii="仿宋" w:hAnsi="仿宋" w:eastAsia="仿宋" w:cs="仿宋"/>
                <w:i w:val="false"/>
                <w:strike w:val="false"/>
                <w:color w:val="auto"/>
                <w:spacing w:val="0"/>
                <w:sz w:val="21"/>
                <w:u w:val="none"/>
                <w:lang w:val="en-US" w:eastAsia="zh-CN"/>
              </w:rPr>
              <w:t>7.98</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i w:val="false"/>
                <w:strike w:val="false"/>
                <w:color w:val="auto"/>
                <w:spacing w:val="0"/>
                <w:sz w:val="21"/>
                <w:u w:val="none"/>
                <w:lang w:val="en-US" w:eastAsia="zh-CN"/>
              </w:rPr>
            </w:pPr>
            <w:r>
              <w:rPr>
                <w:rFonts w:hint="eastAsia" w:ascii="仿宋" w:hAnsi="仿宋" w:eastAsia="仿宋" w:cs="仿宋"/>
                <w:i w:val="false"/>
                <w:strike w:val="false"/>
                <w:color w:val="auto"/>
                <w:spacing w:val="0"/>
                <w:sz w:val="21"/>
                <w:u w:val="none"/>
                <w:lang w:val="en-US" w:eastAsia="zh-CN"/>
              </w:rPr>
              <w:t>7.35</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6.77</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val="false"/>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false"/>
                <w:strike w:val="false"/>
                <w:color w:val="auto"/>
                <w:spacing w:val="0"/>
                <w:sz w:val="21"/>
                <w:u w:val="none"/>
                <w:lang w:val="en-US" w:eastAsia="zh-CN"/>
              </w:rPr>
              <w:t>6.24</w:t>
            </w:r>
          </w:p>
        </w:tc>
      </w:tr>
    </w:tbl>
    <w:p>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、本章小结</w:t>
      </w:r>
    </w:p>
    <w:p>
      <w:pPr>
        <w:keepNext w:val="false"/>
        <w:keepLines w:val="false"/>
        <w:pageBreakBefore w:val="false"/>
        <w:widowControl w:val="false"/>
        <w:kinsoku/>
        <w:wordWrap/>
        <w:overflowPunct/>
        <w:topLinePunct w:val="false"/>
        <w:autoSpaceDE/>
        <w:autoSpaceDN/>
        <w:bidi w:val="false"/>
        <w:adjustRightInd/>
        <w:snapToGrid/>
        <w:spacing w:line="360" w:lineRule="auto"/>
        <w:ind w:firstLine="480" w:firstLineChars="200"/>
        <w:textAlignment w:val="auto"/>
        <w:rPr>
          <w:rFonts w:hint="default" w:ascii="仿宋" w:hAnsi="仿宋" w:eastAsia="仿宋" w:cs="宋体"/>
          <w:b w:val="false"/>
          <w:bCs w:val="false"/>
          <w:sz w:val="24"/>
          <w:szCs w:val="24"/>
          <w:highlight w:val="none"/>
          <w:lang w:val="en-US" w:eastAsia="zh-CN"/>
        </w:rPr>
      </w:pPr>
      <w:r>
        <w:rPr>
          <w:rFonts w:hint="eastAsia" w:ascii="仿宋" w:hAnsi="仿宋" w:eastAsia="仿宋" w:cs="仿宋"/>
          <w:kern w:val="2"/>
          <w:sz w:val="24"/>
          <w:szCs w:val="24"/>
          <w:highlight w:val="none"/>
          <w:u w:val="none"/>
          <w:lang w:val="en-US" w:eastAsia="zh-CN" w:bidi="ar-SA"/>
        </w:rPr>
        <w:t>该项目计算期内，盈亏平衡点</w:t>
      </w:r>
      <w:r>
        <w:rPr>
          <w:rFonts w:hint="eastAsia" w:ascii="仿宋" w:hAnsi="仿宋" w:eastAsia="仿宋" w:cs="宋体"/>
          <w:bCs/>
          <w:sz w:val="24"/>
          <w:highlight w:val="none"/>
          <w:lang w:val="en-US" w:eastAsia="zh-CN"/>
        </w:rPr>
        <w:t>50.92</w:t>
      </w:r>
      <w:r>
        <w:rPr>
          <w:rFonts w:hint="eastAsia" w:ascii="仿宋" w:hAnsi="仿宋" w:eastAsia="仿宋" w:cs="宋体"/>
          <w:bCs/>
          <w:sz w:val="24"/>
          <w:highlight w:val="none"/>
          <w:lang w:eastAsia="zh-CN"/>
        </w:rPr>
        <w:t>，</w:t>
      </w:r>
      <w:r>
        <w:rPr>
          <w:rFonts w:hint="eastAsia" w:ascii="仿宋" w:hAnsi="仿宋" w:eastAsia="仿宋" w:cs="宋体"/>
          <w:bCs/>
          <w:sz w:val="24"/>
          <w:highlight w:val="none"/>
          <w:lang w:val="en-US" w:eastAsia="zh-CN"/>
        </w:rPr>
        <w:t>具备一定抗风险能力。项目内部收益率（税后）、贷款偿还期，</w:t>
      </w:r>
      <w:r>
        <w:rPr>
          <w:rFonts w:hint="eastAsia" w:ascii="仿宋" w:hAnsi="仿宋" w:eastAsia="仿宋" w:cs="仿宋"/>
          <w:kern w:val="2"/>
          <w:sz w:val="24"/>
          <w:szCs w:val="24"/>
          <w:highlight w:val="none"/>
          <w:u w:val="none"/>
          <w:lang w:val="en-US" w:eastAsia="zh-CN" w:bidi="ar-SA"/>
        </w:rPr>
        <w:t>受总投资、收入变化影响较大。</w:t>
      </w:r>
    </w:p>
    <w:p>
      <w:pPr>
        <w:rPr>
          <w:rFonts w:ascii="仿宋" w:hAnsi="仿宋" w:eastAsia="仿宋" w:cstheme="minorEastAsia"/>
          <w:b/>
          <w:bCs/>
          <w:sz w:val="28"/>
          <w:szCs w:val="28"/>
        </w:rPr>
      </w:pPr>
    </w:p>
    <w:p>
      <w:pPr>
        <w:pageBreakBefore/>
        <w:jc w:val="center"/>
        <w:rPr>
          <w:rFonts w:ascii="仿宋" w:hAnsi="仿宋" w:eastAsia="仿宋" w:cstheme="majorEastAsia"/>
          <w:b/>
          <w:kern w:val="0"/>
          <w:sz w:val="36"/>
          <w:szCs w:val="36"/>
        </w:rPr>
      </w:pPr>
      <w:r>
        <w:rPr>
          <w:rFonts w:hint="eastAsia" w:ascii="仿宋" w:hAnsi="仿宋" w:eastAsia="仿宋" w:cstheme="majorEastAsia"/>
          <w:b/>
          <w:kern w:val="0"/>
          <w:sz w:val="36"/>
          <w:szCs w:val="36"/>
        </w:rPr>
        <w:t>评估人员信息</w:t>
      </w:r>
    </w:p>
    <w:p>
      <w:pPr>
        <w:rPr>
          <w:rFonts w:ascii="仿宋" w:hAnsi="仿宋" w:eastAsia="仿宋" w:cstheme="minorEastAsia"/>
          <w:b/>
          <w:bCs/>
          <w:sz w:val="28"/>
          <w:szCs w:val="28"/>
        </w:rPr>
      </w:pPr>
    </w:p>
    <w:p>
      <w:pPr>
        <w:spacing w:line="360" w:lineRule="auto"/>
        <w:rPr>
          <w:rFonts w:ascii="仿宋" w:hAnsi="仿宋" w:eastAsia="仿宋"/>
          <w:sz w:val="28"/>
          <w:szCs w:val="28"/>
        </w:rPr>
      </w:pPr>
      <w:r>
        <w:rPr>
          <w:rFonts w:hint="eastAsia" w:ascii="仿宋" w:hAnsi="仿宋" w:eastAsia="仿宋"/>
          <w:sz w:val="28"/>
          <w:szCs w:val="28"/>
        </w:rPr>
        <w:t>评估组长</w:t>
      </w:r>
    </w:p>
    <w:p>
      <w:pPr>
        <w:spacing w:line="360" w:lineRule="auto"/>
        <w:rPr>
          <w:rFonts w:ascii="仿宋" w:hAnsi="仿宋" w:eastAsia="仿宋"/>
          <w:u w:val="single"/>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ascii="仿宋" w:hAnsi="仿宋" w:eastAsia="仿宋"/>
          <w:u w:val="single"/>
        </w:rPr>
      </w:pPr>
    </w:p>
    <w:p>
      <w:pPr>
        <w:spacing w:line="360" w:lineRule="auto"/>
        <w:rPr>
          <w:rFonts w:ascii="仿宋" w:hAnsi="仿宋" w:eastAsia="仿宋"/>
          <w:sz w:val="28"/>
          <w:szCs w:val="28"/>
        </w:rPr>
      </w:pPr>
      <w:r>
        <w:rPr>
          <w:rFonts w:hint="eastAsia" w:ascii="仿宋" w:hAnsi="仿宋" w:eastAsia="仿宋"/>
          <w:sz w:val="28"/>
          <w:szCs w:val="28"/>
        </w:rPr>
        <w:t>评估小组成员</w:t>
      </w:r>
    </w:p>
    <w:p>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ascii="仿宋" w:hAnsi="仿宋" w:eastAsia="仿宋"/>
          <w:sz w:val="28"/>
          <w:szCs w:val="28"/>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hint="eastAsia" w:ascii="仿宋" w:hAnsi="仿宋" w:eastAsia="仿宋"/>
          <w:sz w:val="28"/>
          <w:szCs w:val="28"/>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p>
    <w:p>
      <w:pPr>
        <w:spacing w:line="360" w:lineRule="auto"/>
        <w:rPr>
          <w:rFonts w:ascii="仿宋" w:hAnsi="仿宋" w:eastAsia="仿宋"/>
          <w:sz w:val="28"/>
          <w:szCs w:val="28"/>
        </w:rPr>
      </w:pPr>
      <w:r>
        <w:rPr>
          <w:rFonts w:hint="eastAsia" w:ascii="仿宋" w:hAnsi="仿宋" w:eastAsia="仿宋"/>
          <w:sz w:val="28"/>
          <w:szCs w:val="28"/>
        </w:rPr>
        <w:t>评估咨询专家（如有）</w:t>
      </w:r>
    </w:p>
    <w:p>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评估</w:t>
      </w:r>
      <w:r>
        <w:rPr>
          <w:rStyle w:val="000021"/>
          <w:rFonts w:hint="eastAsia" w:ascii="仿宋" w:hAnsi="仿宋" w:eastAsia="仿宋"/>
          <w:b w:val="false"/>
          <w:bCs w:val="false"/>
          <w:sz w:val="28"/>
          <w:szCs w:val="28"/>
        </w:rPr>
        <w:t>报告初</w:t>
      </w:r>
      <w:r>
        <w:rPr>
          <w:rFonts w:hint="eastAsia" w:ascii="仿宋" w:hAnsi="仿宋" w:eastAsia="仿宋"/>
          <w:sz w:val="28"/>
          <w:szCs w:val="28"/>
        </w:rPr>
        <w:t>审人（如有）</w:t>
      </w:r>
    </w:p>
    <w:p>
      <w:pPr>
        <w:spacing w:line="360" w:lineRule="auto"/>
        <w:rPr>
          <w:rFonts w:ascii="仿宋" w:hAnsi="仿宋" w:eastAsia="仿宋"/>
          <w:u w:val="single"/>
        </w:rPr>
      </w:pPr>
      <w:r>
        <w:rPr>
          <w:rFonts w:hint="eastAsia" w:ascii="仿宋" w:hAnsi="仿宋" w:eastAsia="仿宋"/>
          <w:u w:val="single"/>
        </w:rPr>
        <w:t xml:space="preserve">姓名：           所在单位：                  </w:t>
      </w:r>
    </w:p>
    <w:p>
      <w:pPr>
        <w:spacing w:line="360" w:lineRule="auto"/>
        <w:rPr>
          <w:rFonts w:ascii="仿宋" w:hAnsi="仿宋" w:eastAsia="仿宋"/>
          <w:sz w:val="24"/>
          <w:u w:val="single"/>
        </w:rPr>
      </w:pPr>
    </w:p>
    <w:p>
      <w:pPr>
        <w:spacing w:line="360" w:lineRule="auto"/>
        <w:rPr>
          <w:rFonts w:ascii="仿宋" w:hAnsi="仿宋" w:eastAsia="仿宋"/>
          <w:sz w:val="28"/>
          <w:szCs w:val="28"/>
        </w:rPr>
      </w:pPr>
      <w:r>
        <w:rPr>
          <w:rFonts w:ascii="Calibri" w:hAnsi="Calibri" w:eastAsia="仿宋" w:cs="Calibri"/>
        </w:rPr>
        <w:t> </w:t>
      </w:r>
      <w:r>
        <w:rPr>
          <w:rFonts w:hint="eastAsia" w:ascii="仿宋" w:hAnsi="仿宋" w:eastAsia="仿宋"/>
          <w:sz w:val="28"/>
          <w:szCs w:val="28"/>
        </w:rPr>
        <w:t>评估</w:t>
      </w:r>
      <w:r>
        <w:rPr>
          <w:rStyle w:val="000021"/>
          <w:rFonts w:hint="eastAsia" w:ascii="仿宋" w:hAnsi="仿宋" w:eastAsia="仿宋"/>
          <w:b w:val="false"/>
          <w:bCs w:val="false"/>
          <w:sz w:val="28"/>
          <w:szCs w:val="28"/>
        </w:rPr>
        <w:t>报告</w:t>
      </w:r>
      <w:r>
        <w:rPr>
          <w:rFonts w:hint="eastAsia" w:ascii="仿宋" w:hAnsi="仿宋" w:eastAsia="仿宋"/>
          <w:sz w:val="28"/>
          <w:szCs w:val="28"/>
        </w:rPr>
        <w:t>审核人</w:t>
      </w:r>
    </w:p>
    <w:p>
      <w:pPr>
        <w:spacing w:line="360" w:lineRule="auto"/>
        <w:rPr>
          <w:rFonts w:ascii="仿宋" w:hAnsi="仿宋" w:eastAsia="仿宋"/>
          <w:sz w:val="24"/>
          <w:u w:val="single"/>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r>
        <w:rPr>
          <w:rFonts w:ascii="Calibri" w:hAnsi="Calibri" w:eastAsia="仿宋" w:cs="Calibri"/>
          <w:u w:val="single"/>
        </w:rPr>
        <w:t>   </w:t>
      </w:r>
      <w:r>
        <w:rPr>
          <w:rFonts w:hint="eastAsia" w:ascii="仿宋" w:hAnsi="仿宋" w:eastAsia="仿宋"/>
          <w:u w:val="single"/>
        </w:rPr>
        <w:t xml:space="preserve"> </w:t>
      </w:r>
    </w:p>
    <w:p>
      <w:pPr>
        <w:rPr>
          <w:rFonts w:ascii="仿宋" w:hAnsi="仿宋" w:eastAsia="仿宋"/>
        </w:rPr>
      </w:pPr>
    </w:p>
    <w:p>
      <w:pPr>
        <w:rPr>
          <w:rFonts w:ascii="仿宋" w:hAnsi="仿宋" w:eastAsia="仿宋"/>
          <w:sz w:val="32"/>
        </w:rPr>
      </w:pPr>
    </w:p>
    <w:p>
      <w:pPr>
        <w:rPr/>
      </w:pPr>
      <w:r>
        <w:rPr>
          <w:rFonts w:ascii="仿宋" w:hAnsi="仿宋" w:eastAsia="仿宋" w:cstheme="minorEastAsia"/>
          <w:sz w:val="24"/>
        </w:rPr>
        <w:br w:type="page"/>
      </w:r>
    </w:p>
    <w:p>
      <w:pPr>
        <w:rPr/>
        <w:sectPr>
          <w:footerReference r:id="rId6" w:type="default"/>
          <w:pgSz w:w="11906" w:h="16838"/>
          <w:pgMar w:top="1440" w:right="1800" w:bottom="1440" w:left="1800" w:header="851" w:footer="992" w:gutter="0"/>
          <w:pgNumType w:start="1"/>
          <w:cols w:space="425" w:num="1"/>
          <w:docGrid w:type="lines" w:linePitch="312" w:charSpace="0"/>
        </w:sectPr>
      </w:pP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2" w:name="_Toc10969"/>
      <w:bookmarkStart w:id="3" w:name="_Toc4429"/>
      <w:bookmarkStart w:id="4" w:name="_Toc1013"/>
      <w:r>
        <w:rPr>
          <w:rFonts w:hint="eastAsia" w:ascii="仿宋" w:hAnsi="仿宋" w:eastAsia="仿宋" w:cs="仿宋"/>
          <w:b/>
          <w:bCs/>
          <w:i w:val="false"/>
          <w:iCs w:val="false"/>
          <w:color w:val="auto"/>
          <w:kern w:val="0"/>
          <w:sz w:val="28"/>
          <w:szCs w:val="28"/>
          <w:u w:val="none"/>
          <w:lang w:val="en-US" w:eastAsia="zh-CN"/>
        </w:rPr>
        <w:t>附表1：建设投资估算表</w:t>
      </w:r>
      <w:bookmarkEnd w:id="2"/>
      <w:bookmarkEnd w:id="3"/>
      <w:bookmarkEnd w:id="4"/>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091"/>
        <w:gridCol w:w="1230"/>
        <w:gridCol w:w="1156"/>
        <w:gridCol w:w="1285"/>
        <w:gridCol w:w="1285"/>
        <w:gridCol w:w="1284"/>
        <w:gridCol w:w="840"/>
        <w:gridCol w:w="1245"/>
        <w:gridCol w:w="1754"/>
      </w:tblGrid>
      <w:tr>
        <w:trPr>
          <w:trHeight w:val="386" w:hRule="atLeast"/>
          <w:tblHeader/>
        </w:trPr>
        <w:tc>
          <w:tcPr>
            <w:tcW w:w="13941" w:type="dxa"/>
            <w:gridSpan w:val="10"/>
            <w:tcBorders>
              <w:top w:val="nil"/>
              <w:left w:val="nil"/>
              <w:bottom w:val="nil"/>
              <w:right w:val="nil"/>
            </w:tcBorders>
            <w:shd w:val="clear" w:color="auto" w:fill="auto"/>
            <w:vAlign w:val="center"/>
          </w:tcPr>
          <w:p>
            <w:pPr>
              <w:keepNext w:val="false"/>
              <w:keepLines w:val="false"/>
              <w:widowControl/>
              <w:suppressLineNumbers w:val="false"/>
              <w:jc w:val="right"/>
              <w:textAlignment w:val="top"/>
              <w:rPr>
                <w:rFonts w:hint="eastAsia" w:ascii="仿宋" w:hAnsi="仿宋" w:eastAsia="仿宋" w:cs="仿宋"/>
                <w:i w:val="false"/>
                <w:iCs w:val="false"/>
                <w:color w:val="000000"/>
                <w:sz w:val="18"/>
                <w:szCs w:val="18"/>
                <w:u w:val="none"/>
              </w:rPr>
            </w:pPr>
            <w:r>
              <w:rPr>
                <w:rFonts w:hint="eastAsia" w:ascii="仿宋" w:hAnsi="仿宋" w:eastAsia="仿宋" w:cs="仿宋"/>
                <w:i w:val="false"/>
                <w:iCs w:val="false"/>
                <w:color w:val="000000"/>
                <w:kern w:val="0"/>
                <w:sz w:val="21"/>
                <w:szCs w:val="21"/>
                <w:u w:val="none"/>
                <w:lang w:val="en-US" w:eastAsia="zh-CN"/>
              </w:rPr>
              <w:t>单位：万元</w:t>
            </w:r>
          </w:p>
        </w:tc>
      </w:tr>
      <w:tr>
        <w:trPr>
          <w:trHeight w:val="476" w:hRule="atLeast"/>
          <w:tblHead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序号</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工程或费用名称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建筑工程费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安装工程费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设备购置费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其他费用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数量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00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rPr>
              <w:t>综合单价（万元）</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一</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工程费用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163.33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362.26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7376.98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7902.57</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90.13%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光伏组件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96.75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160.65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1451.25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1708.65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b/>
                <w:bCs/>
                <w:i w:val="false"/>
                <w:iCs w:val="false"/>
                <w:snapToGrid w:val="false"/>
                <w:color w:val="000000"/>
                <w:kern w:val="0"/>
                <w:sz w:val="18"/>
                <w:szCs w:val="18"/>
                <w:u w:val="none"/>
                <w:lang w:val="en-US" w:eastAsia="zh-CN" w:bidi="ar"/>
              </w:rPr>
              <w:t>KW</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b/>
                <w:bCs/>
                <w:i w:val="false"/>
                <w:iCs w:val="false"/>
                <w:snapToGrid w:val="false"/>
                <w:color w:val="000000"/>
                <w:kern w:val="0"/>
                <w:sz w:val="18"/>
                <w:szCs w:val="18"/>
                <w:u w:val="none"/>
                <w:lang w:val="en-US" w:eastAsia="zh-CN" w:bidi="ar"/>
              </w:rPr>
              <w:t>5956.00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b/>
                <w:bCs/>
                <w:i w:val="false"/>
                <w:iCs w:val="false"/>
                <w:snapToGrid w:val="false"/>
                <w:color w:val="000000"/>
                <w:kern w:val="0"/>
                <w:sz w:val="18"/>
                <w:szCs w:val="18"/>
                <w:u w:val="none"/>
                <w:lang w:val="en-US" w:eastAsia="zh-CN" w:bidi="ar"/>
              </w:rPr>
              <w:t>0.29</w:t>
            </w:r>
          </w:p>
        </w:tc>
      </w:tr>
      <w:tr>
        <w:trPr>
          <w:trHeight w:val="476" w:hRule="atLeast"/>
        </w:trPr>
        <w:tc>
          <w:tcPr>
            <w:tcW w:w="771" w:type="dxa"/>
            <w:tcBorders>
              <w:top w:val="single" w:color="000000" w:sz="4" w:space="0"/>
              <w:left w:val="single" w:color="000000" w:sz="4" w:space="0"/>
              <w:bottom w:val="nil"/>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3091" w:type="dxa"/>
            <w:tcBorders>
              <w:top w:val="single" w:color="000000" w:sz="4" w:space="0"/>
              <w:left w:val="single" w:color="000000" w:sz="4" w:space="0"/>
              <w:bottom w:val="nil"/>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640Wp单晶N型</w:t>
            </w: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156" w:type="dxa"/>
            <w:tcBorders>
              <w:top w:val="single" w:color="000000" w:sz="4" w:space="0"/>
              <w:left w:val="single" w:color="000000" w:sz="4" w:space="0"/>
              <w:bottom w:val="nil"/>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nil"/>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882.27</w:t>
            </w:r>
          </w:p>
        </w:tc>
        <w:tc>
          <w:tcPr>
            <w:tcW w:w="1285" w:type="dxa"/>
            <w:tcBorders>
              <w:top w:val="single" w:color="000000" w:sz="4" w:space="0"/>
              <w:left w:val="single" w:color="000000" w:sz="4" w:space="0"/>
              <w:bottom w:val="nil"/>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882.27</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块</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11168.00</w:t>
            </w:r>
          </w:p>
        </w:tc>
        <w:tc>
          <w:tcPr>
            <w:tcW w:w="1754" w:type="dxa"/>
            <w:tcBorders>
              <w:top w:val="single" w:color="000000" w:sz="4" w:space="0"/>
              <w:left w:val="single" w:color="000000" w:sz="4" w:space="0"/>
              <w:bottom w:val="nil"/>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0.08</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lang w:val="en-US" w:eastAsia="zh-CN"/>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逆变器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57.00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1.42</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交流汇流箱</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9.32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9.32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9.00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1.04</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1.4</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光伏支架及配件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157.03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157.03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km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87.29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1.80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1.5</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光伏直流电缆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km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2.00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5.50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1.6</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MC4连接器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1.32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610.00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0.02</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1.7</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交流电缆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147.62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147.62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km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8.10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18.23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1.8</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干式变压器（箱变)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25.26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25.26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20.26</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1.9</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光伏接入柜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5.13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5.13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5.13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1.10</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并网柜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站用变电柜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4.71</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10kV动态无功补偿装置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39.07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高压电缆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82.51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km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41.30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土建基础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96.75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96.75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80.25</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1.15</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组件、电气安装、辅材等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160.65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KW</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5950.00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0.03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电池储能</w:t>
            </w:r>
            <w:r>
              <w:rPr>
                <w:rFonts w:hint="eastAsia" w:ascii="仿宋" w:hAnsi="仿宋" w:eastAsia="仿宋" w:cs="仿宋"/>
                <w:b/>
                <w:bCs/>
                <w:i w:val="false"/>
                <w:iCs w:val="false"/>
                <w:snapToGrid w:val="false"/>
                <w:color w:val="000000"/>
                <w:kern w:val="0"/>
                <w:sz w:val="18"/>
                <w:szCs w:val="18"/>
                <w:u w:val="none"/>
                <w:lang w:val="en-US" w:eastAsia="zh-CN" w:bidi="ar"/>
              </w:rPr>
              <w:br w:type="textWrapping"/>
            </w:r>
            <w:r>
              <w:rPr>
                <w:rFonts w:hint="eastAsia" w:ascii="仿宋" w:hAnsi="仿宋" w:eastAsia="仿宋" w:cs="仿宋"/>
                <w:b/>
                <w:bCs/>
                <w:i w:val="false"/>
                <w:iCs w:val="false"/>
                <w:snapToGrid w:val="false"/>
                <w:color w:val="000000"/>
                <w:kern w:val="0"/>
                <w:sz w:val="18"/>
                <w:szCs w:val="18"/>
                <w:u w:val="none"/>
                <w:lang w:val="en-US" w:eastAsia="zh-CN" w:bidi="ar"/>
              </w:rPr>
              <w:t>集装箱</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FF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130.00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4969.70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FF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5099.70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KWH</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40000.00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0.13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电池系统 5000KWH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3200.50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3200.50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432.50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储能变流器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集装箱柜体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温控系统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148.00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148.00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消防系统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储能EMS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附件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59.20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储能箱基础及连接电缆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15KWH换电系统(3000KWH)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园区配套工程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66.58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71.61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956.03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1094.22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5551.30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0.23</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升压/降压变压器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68.00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中压输电电缆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22.50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127.50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0.05</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绿化等相关配套工程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41.84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41.84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132.00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0.32</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10kv储能变电站</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24.74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37.11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185.53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247.38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179.00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1.38</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中心配电室变压器2000KVA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FF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color w:val="FF0000"/>
                <w:sz w:val="18"/>
                <w:szCs w:val="18"/>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color w:val="FF0000"/>
                <w:sz w:val="18"/>
                <w:szCs w:val="18"/>
              </w:rPr>
            </w:pPr>
            <w:r>
              <w:rPr>
                <w:rFonts w:hint="eastAsia" w:ascii="仿宋" w:hAnsi="仿宋" w:eastAsia="仿宋" w:cs="仿宋"/>
                <w:i w:val="false"/>
                <w:iCs w:val="false"/>
                <w:snapToGrid w:val="false"/>
                <w:color w:val="000000"/>
                <w:kern w:val="0"/>
                <w:sz w:val="18"/>
                <w:szCs w:val="18"/>
                <w:u w:val="none"/>
                <w:lang w:val="en-US" w:eastAsia="zh-CN" w:bidi="ar"/>
              </w:rPr>
              <w:t>25.00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光伏充电桩（600kw液冷）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110.00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二</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工程建设其他费用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372.52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372.52</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4.25%</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建设管理费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39.51</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建设工程监理费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47.42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47.42</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建设项目前期工作咨询费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39.51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39.51</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工程勘察费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26.17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26.17</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屋顶荷载检测费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15.64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15.64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工程设计费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79.03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79.03</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环境影响咨询服务费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7.90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7.90</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场地准备费及临时设施费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43.46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43.46</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工程保险费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23.30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23.30</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10</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招标代理服务费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26.87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26.87</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造价咨询费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23.71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23.71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三</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预备费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413.75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413.75</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sz w:val="18"/>
                <w:szCs w:val="18"/>
              </w:rPr>
            </w:pPr>
            <w:r>
              <w:rPr>
                <w:rFonts w:hint="eastAsia" w:ascii="仿宋" w:hAnsi="仿宋" w:eastAsia="仿宋" w:cs="仿宋"/>
                <w:b/>
                <w:bCs/>
                <w:i w:val="false"/>
                <w:iCs w:val="false"/>
                <w:snapToGrid w:val="false"/>
                <w:color w:val="000000"/>
                <w:kern w:val="0"/>
                <w:sz w:val="18"/>
                <w:szCs w:val="18"/>
                <w:u w:val="none"/>
                <w:lang w:val="en-US" w:eastAsia="zh-CN" w:bidi="ar"/>
              </w:rPr>
              <w:t>4.72%</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基本预备费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413.75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413.75</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sz w:val="18"/>
                <w:szCs w:val="18"/>
              </w:rPr>
            </w:pPr>
            <w:r>
              <w:rPr>
                <w:rFonts w:hint="eastAsia" w:ascii="仿宋" w:hAnsi="仿宋" w:eastAsia="仿宋" w:cs="仿宋"/>
                <w:i w:val="false"/>
                <w:iCs w:val="false"/>
                <w:snapToGrid w:val="false"/>
                <w:color w:val="000000"/>
                <w:kern w:val="0"/>
                <w:sz w:val="18"/>
                <w:szCs w:val="18"/>
                <w:u w:val="none"/>
                <w:lang w:val="en-US" w:eastAsia="zh-CN" w:bidi="ar"/>
              </w:rPr>
              <w:t>（一+二）*5%</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涨价预备费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snapToGrid w:val="false"/>
                <w:color w:val="000000"/>
                <w:kern w:val="0"/>
                <w:sz w:val="18"/>
                <w:szCs w:val="18"/>
                <w:u w:val="none"/>
                <w:lang w:val="en-US" w:eastAsia="zh-CN" w:bidi="ar"/>
              </w:rPr>
            </w:pP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四</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b/>
                <w:bCs/>
                <w:i w:val="false"/>
                <w:iCs w:val="false"/>
                <w:snapToGrid w:val="false"/>
                <w:color w:val="000000"/>
                <w:kern w:val="0"/>
                <w:sz w:val="18"/>
                <w:szCs w:val="18"/>
                <w:u w:val="none"/>
                <w:lang w:val="en-US" w:eastAsia="zh-CN" w:bidi="ar"/>
              </w:rPr>
              <w:t>建设投资合计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163.33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362.26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7376.98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786.28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8688.84</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sz w:val="18"/>
                <w:szCs w:val="18"/>
              </w:rPr>
            </w:pPr>
            <w:r>
              <w:rPr>
                <w:rFonts w:hint="eastAsia" w:ascii="仿宋" w:hAnsi="仿宋" w:eastAsia="仿宋" w:cs="仿宋"/>
                <w:b/>
                <w:bCs/>
                <w:i w:val="false"/>
                <w:iCs w:val="false"/>
                <w:snapToGrid w:val="false"/>
                <w:color w:val="000000"/>
                <w:kern w:val="0"/>
                <w:sz w:val="18"/>
                <w:szCs w:val="18"/>
                <w:u w:val="none"/>
                <w:lang w:val="en-US" w:eastAsia="zh-CN" w:bidi="ar"/>
              </w:rPr>
              <w:t>99.10%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snapToGrid w:val="false"/>
                <w:color w:val="000000"/>
                <w:kern w:val="0"/>
                <w:sz w:val="18"/>
                <w:szCs w:val="18"/>
                <w:u w:val="none"/>
                <w:lang w:val="en-US" w:eastAsia="zh-CN" w:bidi="ar"/>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比例（%）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1.88%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4.17%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84.90%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9.05%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FF0000"/>
                <w:sz w:val="18"/>
                <w:szCs w:val="18"/>
                <w:u w:val="none"/>
              </w:rPr>
            </w:pPr>
            <w:r>
              <w:rPr>
                <w:rFonts w:hint="eastAsia" w:ascii="仿宋" w:hAnsi="仿宋" w:eastAsia="仿宋" w:cs="仿宋"/>
                <w:i w:val="false"/>
                <w:iCs w:val="false"/>
                <w:snapToGrid w:val="false"/>
                <w:color w:val="000000"/>
                <w:kern w:val="0"/>
                <w:sz w:val="18"/>
                <w:szCs w:val="18"/>
                <w:u w:val="none"/>
                <w:lang w:val="en-US" w:eastAsia="zh-CN" w:bidi="ar"/>
              </w:rPr>
              <w:t>100.00%</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五</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建设期利息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78.75</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0.90%</w:t>
            </w:r>
          </w:p>
        </w:tc>
      </w:tr>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六</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固定资产投资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8767.59</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100.00%</w:t>
            </w:r>
          </w:p>
        </w:tc>
      </w:tr>
      <w:bookmarkStart w:id="5" w:name="_Toc967"/>
      <w:bookmarkStart w:id="6" w:name="_Toc13313"/>
      <w:bookmarkStart w:id="7" w:name="_Toc7389"/>
      <w:tr>
        <w:trPr>
          <w:trHeight w:val="4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七</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项目总投资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FF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8767.59</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snapToGrid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100.00%</w:t>
            </w:r>
          </w:p>
        </w:tc>
      </w:tr>
    </w:tbl>
    <w:p>
      <w:pPr>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附表2：固定资产折旧表</w:t>
      </w:r>
      <w:bookmarkEnd w:id="5"/>
      <w:bookmarkEnd w:id="6"/>
      <w:bookmarkEnd w:id="7"/>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802"/>
        <w:gridCol w:w="1272"/>
        <w:gridCol w:w="946"/>
        <w:gridCol w:w="960"/>
        <w:gridCol w:w="1378"/>
        <w:gridCol w:w="1378"/>
        <w:gridCol w:w="1378"/>
        <w:gridCol w:w="1378"/>
        <w:gridCol w:w="1378"/>
        <w:gridCol w:w="1381"/>
      </w:tblGrid>
      <w:tr>
        <w:trPr>
          <w:trHeight w:val="270" w:hRule="atLeast"/>
        </w:trPr>
        <w:tc>
          <w:tcPr>
            <w:tcW w:w="13993" w:type="dxa"/>
            <w:gridSpan w:val="11"/>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sz w:val="21"/>
                <w:szCs w:val="21"/>
                <w:u w:val="none"/>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rPr>
        <w:tc>
          <w:tcPr>
            <w:tcW w:w="74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180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27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46"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残值率</w:t>
            </w:r>
          </w:p>
        </w:tc>
        <w:tc>
          <w:tcPr>
            <w:tcW w:w="960"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折旧年限</w:t>
            </w:r>
          </w:p>
        </w:tc>
        <w:tc>
          <w:tcPr>
            <w:tcW w:w="82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运营期</w:t>
            </w:r>
          </w:p>
        </w:tc>
      </w:tr>
      <w:tr>
        <w:trPr>
          <w:trHeight w:val="507" w:hRule="atLeast"/>
        </w:trPr>
        <w:tc>
          <w:tcPr>
            <w:tcW w:w="74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80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27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7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w:t>
            </w:r>
          </w:p>
        </w:tc>
        <w:tc>
          <w:tcPr>
            <w:tcW w:w="137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37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37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37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381"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附属物及设备折旧</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7906.85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7719.06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7343.49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6967.91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6592.33</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6216.76</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187.79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7719.06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7343.49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6967.91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6592.33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6216.76</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5841.18</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折旧费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187.79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无形资产摊销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bl>
    <w:p>
      <w:pPr>
        <w:rPr>
          <w:rFonts w:hint="eastAsia" w:ascii="仿宋" w:hAnsi="仿宋" w:eastAsia="仿宋" w:cs="仿宋"/>
          <w:lang w:val="en-US" w:eastAsia="zh-CN"/>
        </w:rPr>
      </w:pPr>
      <w:r>
        <w:rPr>
          <w:rFonts w:hint="eastAsia" w:ascii="仿宋" w:hAnsi="仿宋" w:eastAsia="仿宋" w:cs="仿宋"/>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附表2：固定资产折旧表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802"/>
        <w:gridCol w:w="1272"/>
        <w:gridCol w:w="991"/>
        <w:gridCol w:w="975"/>
        <w:gridCol w:w="1368"/>
        <w:gridCol w:w="1368"/>
        <w:gridCol w:w="1368"/>
        <w:gridCol w:w="1368"/>
        <w:gridCol w:w="1368"/>
        <w:gridCol w:w="1371"/>
      </w:tblGrid>
      <w:tr>
        <w:trPr>
          <w:trHeight w:val="270" w:hRule="atLeast"/>
        </w:trPr>
        <w:tc>
          <w:tcPr>
            <w:tcW w:w="13993" w:type="dxa"/>
            <w:gridSpan w:val="11"/>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sz w:val="21"/>
                <w:szCs w:val="21"/>
                <w:u w:val="none"/>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rPr>
        <w:tc>
          <w:tcPr>
            <w:tcW w:w="74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180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272"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91"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残值率</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折旧年限</w:t>
            </w:r>
          </w:p>
        </w:tc>
        <w:tc>
          <w:tcPr>
            <w:tcW w:w="82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运营期</w:t>
            </w:r>
          </w:p>
        </w:tc>
      </w:tr>
      <w:tr>
        <w:trPr>
          <w:trHeight w:val="462" w:hRule="atLeast"/>
        </w:trPr>
        <w:tc>
          <w:tcPr>
            <w:tcW w:w="74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80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272"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7</w:t>
            </w:r>
          </w:p>
        </w:tc>
        <w:tc>
          <w:tcPr>
            <w:tcW w:w="136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8</w:t>
            </w:r>
          </w:p>
        </w:tc>
        <w:tc>
          <w:tcPr>
            <w:tcW w:w="136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9</w:t>
            </w:r>
          </w:p>
        </w:tc>
        <w:tc>
          <w:tcPr>
            <w:tcW w:w="136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10</w:t>
            </w:r>
          </w:p>
        </w:tc>
        <w:tc>
          <w:tcPr>
            <w:tcW w:w="1368"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11</w:t>
            </w:r>
          </w:p>
        </w:tc>
        <w:tc>
          <w:tcPr>
            <w:tcW w:w="1371" w:type="dxa"/>
            <w:tcBorders>
              <w:top w:val="nil"/>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12</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附属物及设备折旧</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5841.18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5465.61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5090.03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4714.46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4338.88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3963.31</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5465.61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5090.03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4714.46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4338.88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3963.31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3587.73</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折旧费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无形资产摊销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bl>
    <w:p>
      <w:pPr>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8" w:name="_Toc10373"/>
      <w:bookmarkStart w:id="9" w:name="_Toc614"/>
      <w:bookmarkStart w:id="10" w:name="_Toc16695"/>
      <w:r>
        <w:rPr>
          <w:rFonts w:hint="eastAsia" w:ascii="仿宋" w:hAnsi="仿宋" w:eastAsia="仿宋" w:cs="仿宋"/>
          <w:b/>
          <w:bCs/>
          <w:i w:val="false"/>
          <w:iCs w:val="false"/>
          <w:color w:val="auto"/>
          <w:kern w:val="0"/>
          <w:sz w:val="28"/>
          <w:szCs w:val="28"/>
          <w:u w:val="none"/>
          <w:lang w:val="en-US" w:eastAsia="zh-CN"/>
        </w:rPr>
        <w:t>附表3：营业收入及税金表</w:t>
      </w:r>
      <w:bookmarkEnd w:id="8"/>
      <w:bookmarkEnd w:id="9"/>
      <w:bookmarkEnd w:id="10"/>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295"/>
        <w:gridCol w:w="1170"/>
        <w:gridCol w:w="1593"/>
        <w:gridCol w:w="1593"/>
        <w:gridCol w:w="1593"/>
        <w:gridCol w:w="1593"/>
        <w:gridCol w:w="1593"/>
        <w:gridCol w:w="1596"/>
      </w:tblGrid>
      <w:tr>
        <w:trPr>
          <w:trHeight w:val="501" w:hRule="atLeast"/>
          <w:tblHeader/>
        </w:trPr>
        <w:tc>
          <w:tcPr>
            <w:tcW w:w="1399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5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营业收入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13738.01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615.45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1232.78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1234.67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1236.58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1238.49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1238.65</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光伏收入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4351.77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202.61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403.59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401.98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400.37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398.77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397.17</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装机容量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5896.44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5872.85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5849.36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5825.97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5802.66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5779.45</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衰减值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1KW 光伏装机容量平均日发电量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年发电天数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工商业用电平均电价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储能收入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9451.58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404.06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808.13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808.13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808.13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808.13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808.13</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val="false"/>
                <w:bCs w:val="false"/>
                <w:i w:val="false"/>
                <w:iCs w:val="false"/>
                <w:snapToGrid w:val="false"/>
                <w:color w:val="000000"/>
                <w:kern w:val="0"/>
                <w:sz w:val="18"/>
                <w:szCs w:val="18"/>
                <w:u w:val="none"/>
                <w:lang w:val="en-US" w:eastAsia="zh-CN" w:bidi="ar"/>
              </w:rPr>
              <w:t>1.2.1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峰谷价差加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val="false"/>
                <w:bCs w:val="false"/>
                <w:i w:val="false"/>
                <w:iCs w:val="false"/>
                <w:snapToGrid w:val="false"/>
                <w:color w:val="000000"/>
                <w:kern w:val="0"/>
                <w:sz w:val="18"/>
                <w:szCs w:val="18"/>
                <w:u w:val="none"/>
                <w:lang w:val="en-US" w:eastAsia="zh-CN" w:bidi="ar"/>
              </w:rPr>
              <w:t>1.2.2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360天一充一放扣能耗（万kwh/n)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36800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600kw充电桩收入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347.49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8.78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21.06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24.57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28.08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31.59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充电桩数量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充电使用率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收费标准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充电桩每小时充电量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充电小时数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年运营时间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营业税金与附加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176.20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7.58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15.19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15.19</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消费税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城市建设维护税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123.34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10.63</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教育费附加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52.86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4.56</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75.76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151.62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151.72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151.88</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销项税额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1852.05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79.66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159.42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159.52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159.63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159.74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159.69</w:t>
            </w:r>
          </w:p>
        </w:tc>
      </w:tr>
      <w:tr>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进项税额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90.06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7.81</w:t>
            </w:r>
          </w:p>
        </w:tc>
      </w:tr>
    </w:tbl>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附表3：营业收入及税金表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535"/>
        <w:gridCol w:w="1170"/>
        <w:gridCol w:w="1593"/>
        <w:gridCol w:w="1593"/>
        <w:gridCol w:w="1593"/>
        <w:gridCol w:w="1593"/>
        <w:gridCol w:w="1593"/>
        <w:gridCol w:w="1596"/>
      </w:tblGrid>
      <w:tr>
        <w:trPr>
          <w:trHeight w:val="501" w:hRule="atLeast"/>
          <w:tblHeader/>
        </w:trPr>
        <w:tc>
          <w:tcPr>
            <w:tcW w:w="1399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5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8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11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12 </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营业收入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13738.01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1263.41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1261.83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1260.25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1258.68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1257.12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1255.56</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val="false"/>
                <w:bCs w:val="false"/>
                <w:i w:val="false"/>
                <w:iCs w:val="false"/>
                <w:snapToGrid w:val="false"/>
                <w:color w:val="000000"/>
                <w:kern w:val="0"/>
                <w:sz w:val="18"/>
                <w:szCs w:val="18"/>
                <w:u w:val="none"/>
                <w:lang w:val="en-US" w:eastAsia="zh-CN" w:bidi="ar"/>
              </w:rPr>
              <w:t>1.1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光伏收入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4351.77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395.58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394.00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392.43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390.86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389.29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387.74</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装机容量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5756.33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5733.31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5710.37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5687.53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5664.78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5642.12</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衰减值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0.40%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1KW 光伏装机容量平均日发电量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3.35</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年发电天数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工商业用电平均电价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0.57</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储能收入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9451.58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834.48</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val="false"/>
                <w:bCs w:val="false"/>
                <w:i w:val="false"/>
                <w:iCs w:val="false"/>
                <w:snapToGrid w:val="false"/>
                <w:color w:val="000000"/>
                <w:kern w:val="0"/>
                <w:sz w:val="18"/>
                <w:szCs w:val="18"/>
                <w:u w:val="none"/>
                <w:lang w:val="en-US" w:eastAsia="zh-CN" w:bidi="ar"/>
              </w:rPr>
              <w:t>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峰谷价差加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0.61</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b w:val="false"/>
                <w:bCs w:val="false"/>
                <w:i w:val="false"/>
                <w:iCs w:val="false"/>
                <w:snapToGrid w:val="false"/>
                <w:color w:val="000000"/>
                <w:kern w:val="0"/>
                <w:sz w:val="18"/>
                <w:szCs w:val="18"/>
                <w:u w:val="none"/>
                <w:lang w:val="en-US" w:eastAsia="zh-CN" w:bidi="ar"/>
              </w:rPr>
              <w:t>1.2.2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val="false"/>
                <w:bCs w:val="false"/>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360天一充一放扣能耗（万kwh/n)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38000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600kw充电桩收入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347.49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33.35</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充电桩数量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充电使用率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收费标准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0.65</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充电桩每小时充电量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充电小时数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0.50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年运营时间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360.00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营业税金与附加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176.20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15.51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15.48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15.46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15.44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15.42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b/>
                <w:bCs/>
                <w:i w:val="false"/>
                <w:iCs w:val="false"/>
                <w:snapToGrid w:val="false"/>
                <w:color w:val="000000"/>
                <w:kern w:val="0"/>
                <w:sz w:val="18"/>
                <w:szCs w:val="18"/>
                <w:u w:val="none"/>
                <w:lang w:val="en-US" w:eastAsia="zh-CN" w:bidi="ar"/>
              </w:rPr>
              <w:t>15.40</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消费税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false"/>
                <w:iCs w:val="false"/>
                <w:color w:val="000000"/>
                <w:kern w:val="0"/>
                <w:sz w:val="18"/>
                <w:szCs w:val="18"/>
                <w:u w:val="none"/>
                <w:lang w:val="en-US" w:eastAsia="zh-CN" w:bidi="ar"/>
              </w:rPr>
            </w:pP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城市建设维护税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123.34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10.85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10.84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10.83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10.81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10.80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10.78</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教育费附加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52.86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4.62</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154.85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154.44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154.24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154.04</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销项税额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1852.05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162.91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162.70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162.50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162.29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162.09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161.89</w:t>
            </w:r>
          </w:p>
        </w:tc>
      </w:tr>
      <w:tr>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进项税额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90.06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7.84</w:t>
            </w:r>
          </w:p>
        </w:tc>
      </w:tr>
    </w:tbl>
    <w:p>
      <w:p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11" w:name="_Toc6038"/>
      <w:bookmarkStart w:id="12" w:name="_Toc6072"/>
      <w:bookmarkStart w:id="13" w:name="_Toc27140"/>
      <w:r>
        <w:rPr>
          <w:rFonts w:hint="eastAsia" w:ascii="仿宋" w:hAnsi="仿宋" w:eastAsia="仿宋" w:cs="仿宋"/>
          <w:b/>
          <w:bCs/>
          <w:i w:val="false"/>
          <w:iCs w:val="false"/>
          <w:color w:val="auto"/>
          <w:kern w:val="0"/>
          <w:sz w:val="28"/>
          <w:szCs w:val="28"/>
          <w:u w:val="none"/>
          <w:lang w:val="en-US" w:eastAsia="zh-CN"/>
        </w:rPr>
        <w:t>附表4：总成本费用表</w:t>
      </w:r>
      <w:bookmarkEnd w:id="11"/>
      <w:bookmarkEnd w:id="12"/>
      <w:bookmarkEnd w:id="13"/>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461"/>
        <w:gridCol w:w="1169"/>
        <w:gridCol w:w="1588"/>
        <w:gridCol w:w="1588"/>
        <w:gridCol w:w="1588"/>
        <w:gridCol w:w="1588"/>
        <w:gridCol w:w="1588"/>
        <w:gridCol w:w="1591"/>
      </w:tblGrid>
      <w:tr>
        <w:trPr>
          <w:trHeight w:val="420" w:hRule="atLeast"/>
          <w:tblHeader/>
        </w:trPr>
        <w:tc>
          <w:tcPr>
            <w:tcW w:w="1396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外购燃料及动力费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494.02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工资及福利费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745.67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66.15</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保洁维护费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345.53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管理费及其他</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287.07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24.73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24.77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24.77</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经营成本（1+2+3+4+5+6）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1872.28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78.79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160.74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160.78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163.93</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折旧费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187.79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摊销费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利息支出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1982.25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294.75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272.25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248.63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223.88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198.00</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总成本费用合计（6+7+8+9）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8173.65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421.83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827.99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805.52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784.94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760.23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737.50</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其中：固定成本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6588.43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355.35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694.98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672.52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648.93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624.22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598.35</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可变成本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1239.69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102.96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102.96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105.96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109.11</w:t>
            </w:r>
          </w:p>
        </w:tc>
      </w:tr>
    </w:tbl>
    <w:p>
      <w:pPr>
        <w:rPr>
          <w:rFonts w:hint="eastAsia" w:ascii="仿宋" w:hAnsi="仿宋" w:eastAsia="仿宋" w:cs="仿宋"/>
          <w:b/>
          <w:bCs/>
          <w:lang w:val="en-US" w:eastAsia="zh-CN"/>
        </w:rPr>
      </w:pPr>
      <w:bookmarkStart w:id="14" w:name="_Toc32655"/>
      <w:r>
        <w:rPr>
          <w:rFonts w:hint="eastAsia" w:ascii="仿宋" w:hAnsi="仿宋" w:eastAsia="仿宋" w:cs="仿宋"/>
          <w:b/>
          <w:bCs/>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附表4：总成本费用表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461"/>
        <w:gridCol w:w="1214"/>
        <w:gridCol w:w="1581"/>
        <w:gridCol w:w="1581"/>
        <w:gridCol w:w="1581"/>
        <w:gridCol w:w="1581"/>
        <w:gridCol w:w="1581"/>
        <w:gridCol w:w="1581"/>
      </w:tblGrid>
      <w:tr>
        <w:trPr>
          <w:trHeight w:val="420" w:hRule="atLeast"/>
          <w:tblHeader/>
        </w:trPr>
        <w:tc>
          <w:tcPr>
            <w:tcW w:w="1396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项目</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7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8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11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 xml:space="preserve">12 </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外购燃料及动力费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494.02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42.96</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工资及福利费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745.67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69.46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69.46</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保洁维护费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345.53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30.05</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管理费及其他</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287.07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25.27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25.24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25.21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25.11</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经营成本（1+2+3+4+5+6）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1872.28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164.42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167.61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167.57</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折旧费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4319.12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375.58</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摊销费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利息支出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1982.25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142.88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113.63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83.25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51.75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27.00</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总成本费用合计（6+7+8+9）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8173.65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682.84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653.56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623.15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594.93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570.15</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其中：固定成本</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6588.43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571.84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543.69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514.41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484.00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452.47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427.69</w:t>
            </w:r>
          </w:p>
        </w:tc>
      </w:tr>
      <w:tr>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可变成本</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1239.69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112.42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112.42</w:t>
            </w:r>
          </w:p>
        </w:tc>
      </w:tr>
    </w:tbl>
    <w:p>
      <w:pPr>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15" w:name="_Toc3902"/>
      <w:bookmarkStart w:id="16" w:name="_Toc11083"/>
      <w:r>
        <w:rPr>
          <w:rFonts w:hint="eastAsia" w:ascii="仿宋" w:hAnsi="仿宋" w:eastAsia="仿宋" w:cs="仿宋"/>
          <w:b/>
          <w:bCs/>
          <w:i w:val="false"/>
          <w:iCs w:val="false"/>
          <w:color w:val="auto"/>
          <w:kern w:val="0"/>
          <w:sz w:val="28"/>
          <w:szCs w:val="28"/>
          <w:u w:val="none"/>
          <w:lang w:val="en-US" w:eastAsia="zh-CN"/>
        </w:rPr>
        <w:t>附表5：利润及利润分配表</w:t>
      </w:r>
      <w:bookmarkEnd w:id="14"/>
      <w:bookmarkEnd w:id="15"/>
      <w:bookmarkEnd w:id="16"/>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3015"/>
        <w:gridCol w:w="1440"/>
        <w:gridCol w:w="1446"/>
        <w:gridCol w:w="1446"/>
        <w:gridCol w:w="1446"/>
        <w:gridCol w:w="1446"/>
        <w:gridCol w:w="1446"/>
        <w:gridCol w:w="1446"/>
      </w:tblGrid>
      <w:tr>
        <w:trPr>
          <w:trHeight w:val="270" w:hRule="atLeast"/>
          <w:tblHeader/>
        </w:trPr>
        <w:tc>
          <w:tcPr>
            <w:tcW w:w="1396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14353.45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615.45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1232.78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1234.67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1236.58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1238.49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1238.65</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营业税金及附加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75.76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151.62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151.72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总成本费用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8173.65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421.83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827.99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805.52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784.94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760.23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737.50</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补贴收入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利润总额（1-2-3+4）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4241.61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110.28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238.02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262.26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284.64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311.14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334.08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弥补以前年度亏损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应纳税所得额（5-6）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4241.61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110.28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238.02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262.26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284.64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311.14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334.08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1060.40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27.57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59.50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65.57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77.79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83.52</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净利润（5-8）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3181.21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178.51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196.70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213.48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233.36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250.56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期初未分配利润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12616.11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235.10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412.13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604.25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814.28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可供分配的利润（9+10）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15797.32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252.95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431.80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625.60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837.61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1064.83</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提取法定盈余公积金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318.12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19.67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21.35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23.34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25.06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可供投资者分配的利润（11-12）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15479.20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235.10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412.13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604.25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814.28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1039.78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应付优先股股利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提取任意盈余公积金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应付普通股股利（13-14-15）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各投资方利润分配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未分配利润（13-14-15-17）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15479.20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235.10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412.13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604.25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814.28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1039.78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息税前利润（利润总额+利息支出）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6223.86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265.53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534.51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533.26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535.02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532.08</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息税折旧摊销前利润（息税前利润+折旧+摊销）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10542.98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453.32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908.34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910.09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907.65</w:t>
            </w:r>
          </w:p>
        </w:tc>
      </w:tr>
    </w:tbl>
    <w:p>
      <w:pPr>
        <w:rPr>
          <w:rFonts w:hint="eastAsia" w:ascii="仿宋" w:hAnsi="仿宋" w:eastAsia="仿宋" w:cs="仿宋"/>
          <w:lang w:val="en-US" w:eastAsia="zh-CN"/>
        </w:rPr>
      </w:pPr>
      <w:r>
        <w:rPr>
          <w:rFonts w:hint="eastAsia" w:ascii="仿宋" w:hAnsi="仿宋" w:eastAsia="仿宋" w:cs="仿宋"/>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附表5：利润及利润分配表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3015"/>
        <w:gridCol w:w="1440"/>
        <w:gridCol w:w="1446"/>
        <w:gridCol w:w="1446"/>
        <w:gridCol w:w="1446"/>
        <w:gridCol w:w="1446"/>
        <w:gridCol w:w="1446"/>
        <w:gridCol w:w="1446"/>
      </w:tblGrid>
      <w:tr>
        <w:trPr>
          <w:trHeight w:val="270" w:hRule="atLeast"/>
          <w:tblHeader/>
        </w:trPr>
        <w:tc>
          <w:tcPr>
            <w:tcW w:w="1396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12</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14353.45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1263.41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1261.83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1260.25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1258.68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1257.12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1255.56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营业税金及附加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15.40</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155.05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154.24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154.04</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总成本费用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8173.65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711.00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682.84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653.56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594.93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570.15</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补贴收入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利润总额（1-2-3+4）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4241.61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381.85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408.65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436.58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465.64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492.52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515.96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弥补以前年度亏损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应纳税所得额（5-6）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4241.61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381.85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408.65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436.58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465.64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492.52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515.96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1060.40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102.16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116.41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128.99</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净利润（5-8）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3181.21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286.39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306.49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327.43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349.23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369.39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386.97</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期初未分配利润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12616.11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1039.78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1297.53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1573.37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1868.06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2182.36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2514.81</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可供分配的利润（9+10）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15797.32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1326.17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1604.02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1900.80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2217.29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2551.75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2901.79</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提取法定盈余公积金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318.12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32.74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34.92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38.70</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可供投资者分配的利润（11-12）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15479.20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1297.53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1573.37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1868.06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2182.36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2514.81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2863.09</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应付优先股股利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提取任意盈余公积金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应付普通股股利（13-14-15）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各投资方利润分配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未分配利润（13-14-15-17）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15479.20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1297.53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1573.37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1868.06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2182.36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2514.81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2863.09</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息税前利润（利润总额+利息支出）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6223.86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552.85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551.53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550.20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548.89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544.27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542.96</w:t>
            </w:r>
          </w:p>
        </w:tc>
      </w:tr>
      <w:tr>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息税折旧摊销前利润（息税前利润+折旧+摊销）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10542.98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928.43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927.10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925.78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924.46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919.84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918.54</w:t>
            </w:r>
          </w:p>
        </w:tc>
      </w:tr>
    </w:tbl>
    <w:p>
      <w:pPr>
        <w:keepNext w:val="false"/>
        <w:keepLines w:val="false"/>
        <w:pageBreakBefore w:val="false"/>
        <w:kinsoku/>
        <w:wordWrap/>
        <w:overflowPunct/>
        <w:topLinePunct w:val="false"/>
        <w:autoSpaceDE/>
        <w:autoSpaceDN/>
        <w:bidi w:val="false"/>
        <w:adjustRightInd/>
        <w:snapToGrid/>
        <w:spacing w:line="24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17" w:name="_Toc9189"/>
      <w:bookmarkStart w:id="18" w:name="_Toc8976"/>
      <w:bookmarkStart w:id="19" w:name="_Toc19934"/>
      <w:r>
        <w:rPr>
          <w:rFonts w:hint="eastAsia" w:ascii="仿宋" w:hAnsi="仿宋" w:eastAsia="仿宋" w:cs="仿宋"/>
          <w:b/>
          <w:bCs/>
          <w:i w:val="false"/>
          <w:iCs w:val="false"/>
          <w:color w:val="auto"/>
          <w:kern w:val="0"/>
          <w:sz w:val="28"/>
          <w:szCs w:val="28"/>
          <w:u w:val="none"/>
          <w:lang w:val="en-US" w:eastAsia="zh-CN"/>
        </w:rPr>
        <w:t>附表6：项目投资现金流量表</w:t>
      </w:r>
      <w:bookmarkEnd w:id="17"/>
      <w:bookmarkEnd w:id="18"/>
      <w:bookmarkEnd w:id="19"/>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2835"/>
        <w:gridCol w:w="1169"/>
        <w:gridCol w:w="1538"/>
        <w:gridCol w:w="1538"/>
        <w:gridCol w:w="1538"/>
        <w:gridCol w:w="1538"/>
        <w:gridCol w:w="1538"/>
        <w:gridCol w:w="1541"/>
      </w:tblGrid>
      <w:tr>
        <w:trPr>
          <w:trHeight w:val="354" w:hRule="atLeast"/>
          <w:tblHeader/>
        </w:trPr>
        <w:tc>
          <w:tcPr>
            <w:tcW w:w="13993"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firstLine="0" w:firstLineChars="0"/>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2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现金流入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18723.18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1397.44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1232.78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1234.67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1236.58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1238.49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1238.65</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14353.45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615.45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1232.78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1234.67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1236.58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1238.49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1238.65</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留抵退税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782.00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回收固定资产余值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3587.73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回收流动资金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现金流出</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12499.32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8850.97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324.44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324.59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327.74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327.89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330.99</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建设投资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8688.84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8688.84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流动资金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经营成本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1872.28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78.79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157.66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157.70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160.74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160.78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163.93</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营业税金及附加</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176.20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75.76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151.62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151.72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151.93</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151.88</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维持运营投资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所得税前净现金流量（1-2）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6223.86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-7453.53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908.34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910.09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908.84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910.59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907.65</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累计所得税前净现金流量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-7453.53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-6545.19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-5635.10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-4726.27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-3815.68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-2908.02</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所得税前净现金流量现值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2920.30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-7153.10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836.59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804.41</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770.93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741.28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709.11</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累计所得税前净现金流量现值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-7153.10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-6316.51</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-5512.10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-4741.17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-3999.88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-3290.77</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调整所得税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1032.83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59.50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65.57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71.16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77.79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83.52</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所得税后净现金流量（3-5）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5191.03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-7453.53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848.84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844.52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837.68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832.81</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824.13</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累计所得税后净现金流量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-7453.53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-6604.69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-5760.17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-4922.50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-4089.69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-3265.56</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所得税后净现金流量现值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2151.65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-7153.10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781.79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746.46</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710.57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677.96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643.86</w:t>
            </w:r>
          </w:p>
        </w:tc>
      </w:tr>
      <w:tr>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累计所得税后净现金流量现值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-7153.10</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-6371.31</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-5624.85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-4914.28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-4236.32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-3592.46</w:t>
            </w:r>
          </w:p>
        </w:tc>
      </w:tr>
    </w:tbl>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附表6：项目投资现金流量表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710"/>
        <w:gridCol w:w="851"/>
        <w:gridCol w:w="416"/>
        <w:gridCol w:w="236"/>
        <w:gridCol w:w="984"/>
        <w:gridCol w:w="280"/>
        <w:gridCol w:w="704"/>
        <w:gridCol w:w="795"/>
        <w:gridCol w:w="189"/>
        <w:gridCol w:w="984"/>
        <w:gridCol w:w="326"/>
        <w:gridCol w:w="658"/>
        <w:gridCol w:w="841"/>
        <w:gridCol w:w="143"/>
        <w:gridCol w:w="984"/>
        <w:gridCol w:w="371"/>
        <w:gridCol w:w="612"/>
        <w:gridCol w:w="942"/>
      </w:tblGrid>
      <w:tr>
        <w:trPr>
          <w:trHeight w:val="23" w:hRule="atLeast"/>
          <w:tblHeader/>
        </w:trPr>
        <w:tc>
          <w:tcPr>
            <w:tcW w:w="13957" w:type="dxa"/>
            <w:gridSpan w:val="1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firstLine="0" w:firstLineChars="0"/>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blHeader/>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04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blHeader/>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7</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8</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10</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12</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现金流入</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18723.18</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1263.41</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1261.83</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1260.25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1258.68</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1257.12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4843.29</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营业收入</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14353.45</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1263.41</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1261.83</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1260.25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1258.68</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1257.12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1255.56</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留抵退税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回收固定资产余值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3587.73</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3587.73</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回收流动资金</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现金流出</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12499.32</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334.98</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334.72</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334.47</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334.22</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337.27</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337.02</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建设投资</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8688.84</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流动资金</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经营成本</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1872.28</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164.42</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164.39</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164.36</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164.33</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167.61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167.57</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营业税金及附加</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176.20</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15.51</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15.48</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15.46</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15.44</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15.40</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增值税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1761.99</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155.05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154.85</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154.65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154.44</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154.24</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154.04</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2.6</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维持运营投资</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所得税前净现金流量（1-2）</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6223.86</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928.43</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927.10</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925.78</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924.46</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919.84</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4506.27</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累计所得税前净现金流量</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-1979.59</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-1052.49</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-126.71</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797.75</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1717.59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6223.86</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所得税前净现金流量现值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2920.30</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696.10</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667.09</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639.29</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612.65</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609.59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2986.34</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累计所得税前净现金流量现值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-2594.67</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-1927.57</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-1288.28</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-675.63</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-66.05</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2920.30</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调整所得税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1032.83</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95.46</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102.16</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109.14</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116.41</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123.13</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128.99</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所得税后净现金流量（3-5）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5191.03</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832.97</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824.94</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816.63</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808.05</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796.71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4377.28</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累计所得税后净现金流量</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-2432.59</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-1607.65</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-791.02</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17.04</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813.75</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5191.03</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所得税后净现金流量现值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2151.65</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624.53</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591.31</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563.92</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535.50</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527.99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2900.86</w:t>
            </w:r>
          </w:p>
        </w:tc>
      </w:tr>
      <w:tr>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累计所得税后净现金流量现值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-2967.93</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-2376.62</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-1812.70</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-1277.20</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-749.21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2151.65</w:t>
            </w:r>
          </w:p>
        </w:tc>
      </w:tr>
      <w:tr>
        <w:trPr>
          <w:trHeight w:val="420" w:hRule="atLeast"/>
        </w:trPr>
        <w:tc>
          <w:tcPr>
            <w:tcW w:w="3641"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计算指标：</w:t>
            </w:r>
          </w:p>
        </w:tc>
        <w:tc>
          <w:tcPr>
            <w:tcW w:w="851"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652"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3" w:type="dxa"/>
            <w:gridSpan w:val="2"/>
            <w:tcBorders>
              <w:top w:val="nil"/>
              <w:left w:val="nil"/>
              <w:bottom w:val="nil"/>
              <w:right w:val="nil"/>
            </w:tcBorders>
            <w:shd w:val="clear" w:color="auto" w:fill="auto"/>
            <w:noWrap/>
            <w:vAlign w:val="center"/>
          </w:tcPr>
          <w:p>
            <w:pPr>
              <w:keepNext w:val="false"/>
              <w:keepLines w:val="false"/>
              <w:pageBreakBefore w:val="false"/>
              <w:kinsoku/>
              <w:wordWrap/>
              <w:overflowPunct/>
              <w:topLinePunct w:val="false"/>
              <w:autoSpaceDE/>
              <w:autoSpaceDN/>
              <w:bidi w:val="false"/>
              <w:adjustRightInd/>
              <w:snapToGrid/>
              <w:spacing w:line="240" w:lineRule="auto"/>
              <w:jc w:val="center"/>
              <w:rPr>
                <w:rFonts w:hint="eastAsia" w:ascii="仿宋" w:hAnsi="仿宋" w:eastAsia="仿宋" w:cs="仿宋"/>
                <w:i w:val="false"/>
                <w:iCs w:val="false"/>
                <w:color w:val="000000"/>
                <w:sz w:val="18"/>
                <w:szCs w:val="18"/>
                <w:u w:val="none"/>
              </w:rPr>
            </w:pPr>
          </w:p>
        </w:tc>
        <w:tc>
          <w:tcPr>
            <w:tcW w:w="942" w:type="dxa"/>
            <w:tcBorders>
              <w:top w:val="nil"/>
              <w:left w:val="nil"/>
              <w:bottom w:val="nil"/>
              <w:right w:val="nil"/>
            </w:tcBorders>
            <w:shd w:val="clear" w:color="auto" w:fill="auto"/>
            <w:noWrap/>
            <w:vAlign w:val="center"/>
          </w:tcPr>
          <w:p>
            <w:pPr>
              <w:keepNext w:val="false"/>
              <w:keepLines w:val="false"/>
              <w:pageBreakBefore w:val="false"/>
              <w:kinsoku/>
              <w:wordWrap/>
              <w:overflowPunct/>
              <w:topLinePunct w:val="false"/>
              <w:autoSpaceDE/>
              <w:autoSpaceDN/>
              <w:bidi w:val="false"/>
              <w:adjustRightInd/>
              <w:snapToGrid/>
              <w:spacing w:line="240" w:lineRule="auto"/>
              <w:jc w:val="center"/>
              <w:rPr>
                <w:rFonts w:hint="eastAsia" w:ascii="仿宋" w:hAnsi="仿宋" w:eastAsia="仿宋" w:cs="仿宋"/>
                <w:i w:val="false"/>
                <w:iCs w:val="false"/>
                <w:color w:val="000000"/>
                <w:sz w:val="18"/>
                <w:szCs w:val="18"/>
                <w:u w:val="none"/>
              </w:rPr>
            </w:pPr>
          </w:p>
        </w:tc>
      </w:tr>
      <w:tr>
        <w:trPr>
          <w:trHeight w:val="420" w:hRule="atLeast"/>
        </w:trPr>
        <w:tc>
          <w:tcPr>
            <w:tcW w:w="4492" w:type="dxa"/>
            <w:gridSpan w:val="3"/>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项目投资财务内部收益率（%）（所得税前）</w:t>
            </w:r>
          </w:p>
        </w:tc>
        <w:tc>
          <w:tcPr>
            <w:tcW w:w="652"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9.39%</w:t>
            </w: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3936" w:type="dxa"/>
            <w:gridSpan w:val="7"/>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项目投资财务内部收益率（%）（所得税后）</w:t>
            </w: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3"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7.98%</w:t>
            </w:r>
          </w:p>
        </w:tc>
        <w:tc>
          <w:tcPr>
            <w:tcW w:w="942" w:type="dxa"/>
            <w:tcBorders>
              <w:top w:val="nil"/>
              <w:left w:val="nil"/>
              <w:bottom w:val="nil"/>
              <w:right w:val="nil"/>
            </w:tcBorders>
            <w:shd w:val="clear" w:color="auto" w:fill="auto"/>
            <w:noWrap/>
            <w:vAlign w:val="center"/>
          </w:tcPr>
          <w:p>
            <w:pPr>
              <w:keepNext w:val="false"/>
              <w:keepLines w:val="false"/>
              <w:pageBreakBefore w:val="false"/>
              <w:kinsoku/>
              <w:wordWrap/>
              <w:overflowPunct/>
              <w:topLinePunct w:val="false"/>
              <w:autoSpaceDE/>
              <w:autoSpaceDN/>
              <w:bidi w:val="false"/>
              <w:adjustRightInd/>
              <w:snapToGrid/>
              <w:spacing w:line="240" w:lineRule="auto"/>
              <w:jc w:val="center"/>
              <w:rPr>
                <w:rFonts w:hint="eastAsia" w:ascii="仿宋" w:hAnsi="仿宋" w:eastAsia="仿宋" w:cs="仿宋"/>
                <w:i w:val="false"/>
                <w:iCs w:val="false"/>
                <w:color w:val="000000"/>
                <w:sz w:val="18"/>
                <w:szCs w:val="18"/>
                <w:u w:val="none"/>
              </w:rPr>
            </w:pPr>
          </w:p>
        </w:tc>
      </w:tr>
      <w:tr>
        <w:trPr>
          <w:trHeight w:val="420" w:hRule="atLeast"/>
        </w:trPr>
        <w:tc>
          <w:tcPr>
            <w:tcW w:w="4492" w:type="dxa"/>
            <w:gridSpan w:val="3"/>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项目投资财务净现值（所得税前）（ic=4.2%）</w:t>
            </w:r>
          </w:p>
        </w:tc>
        <w:tc>
          <w:tcPr>
            <w:tcW w:w="652"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2920.30</w:t>
            </w: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3936" w:type="dxa"/>
            <w:gridSpan w:val="7"/>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项目投资财务净现值（所得税后）（ic=4.2%）</w:t>
            </w: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3"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2151.65</w:t>
            </w:r>
          </w:p>
        </w:tc>
        <w:tc>
          <w:tcPr>
            <w:tcW w:w="942" w:type="dxa"/>
            <w:tcBorders>
              <w:top w:val="nil"/>
              <w:left w:val="nil"/>
              <w:bottom w:val="nil"/>
              <w:right w:val="nil"/>
            </w:tcBorders>
            <w:shd w:val="clear" w:color="auto" w:fill="auto"/>
            <w:noWrap/>
            <w:vAlign w:val="center"/>
          </w:tcPr>
          <w:p>
            <w:pPr>
              <w:keepNext w:val="false"/>
              <w:keepLines w:val="false"/>
              <w:pageBreakBefore w:val="false"/>
              <w:kinsoku/>
              <w:wordWrap/>
              <w:overflowPunct/>
              <w:topLinePunct w:val="false"/>
              <w:autoSpaceDE/>
              <w:autoSpaceDN/>
              <w:bidi w:val="false"/>
              <w:adjustRightInd/>
              <w:snapToGrid/>
              <w:spacing w:line="240" w:lineRule="auto"/>
              <w:jc w:val="center"/>
              <w:rPr>
                <w:rFonts w:hint="eastAsia" w:ascii="仿宋" w:hAnsi="仿宋" w:eastAsia="仿宋" w:cs="仿宋"/>
                <w:i w:val="false"/>
                <w:iCs w:val="false"/>
                <w:color w:val="000000"/>
                <w:sz w:val="18"/>
                <w:szCs w:val="18"/>
                <w:u w:val="none"/>
              </w:rPr>
            </w:pPr>
          </w:p>
        </w:tc>
      </w:tr>
      <w:tr>
        <w:trPr>
          <w:trHeight w:val="420" w:hRule="atLeast"/>
        </w:trPr>
        <w:tc>
          <w:tcPr>
            <w:tcW w:w="4492" w:type="dxa"/>
            <w:gridSpan w:val="3"/>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项目投资回收期（年）（所得税前）</w:t>
            </w:r>
          </w:p>
        </w:tc>
        <w:tc>
          <w:tcPr>
            <w:tcW w:w="652"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11.02</w:t>
            </w:r>
          </w:p>
        </w:tc>
        <w:tc>
          <w:tcPr>
            <w:tcW w:w="984"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3936" w:type="dxa"/>
            <w:gridSpan w:val="7"/>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项目投资回收期（年）（所得税后）</w:t>
            </w:r>
          </w:p>
        </w:tc>
        <w:tc>
          <w:tcPr>
            <w:tcW w:w="984" w:type="dxa"/>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983" w:type="dxa"/>
            <w:gridSpan w:val="2"/>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11.26</w:t>
            </w:r>
          </w:p>
        </w:tc>
        <w:tc>
          <w:tcPr>
            <w:tcW w:w="942" w:type="dxa"/>
            <w:tcBorders>
              <w:top w:val="nil"/>
              <w:left w:val="nil"/>
              <w:bottom w:val="nil"/>
              <w:right w:val="nil"/>
            </w:tcBorders>
            <w:shd w:val="clear" w:color="auto" w:fill="auto"/>
            <w:noWrap/>
            <w:vAlign w:val="center"/>
          </w:tcPr>
          <w:p>
            <w:pPr>
              <w:keepNext w:val="false"/>
              <w:keepLines w:val="false"/>
              <w:pageBreakBefore w:val="false"/>
              <w:kinsoku/>
              <w:wordWrap/>
              <w:overflowPunct/>
              <w:topLinePunct w:val="false"/>
              <w:autoSpaceDE/>
              <w:autoSpaceDN/>
              <w:bidi w:val="false"/>
              <w:adjustRightInd/>
              <w:snapToGrid/>
              <w:spacing w:line="240" w:lineRule="auto"/>
              <w:jc w:val="center"/>
              <w:rPr>
                <w:rFonts w:hint="eastAsia" w:ascii="仿宋" w:hAnsi="仿宋" w:eastAsia="仿宋" w:cs="仿宋"/>
                <w:i w:val="false"/>
                <w:iCs w:val="false"/>
                <w:color w:val="000000"/>
                <w:sz w:val="18"/>
                <w:szCs w:val="18"/>
                <w:u w:val="none"/>
              </w:rPr>
            </w:pPr>
          </w:p>
        </w:tc>
      </w:tr>
    </w:tbl>
    <w:p>
      <w:p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0"/>
        <w:rPr>
          <w:rFonts w:hint="eastAsia" w:ascii="仿宋" w:hAnsi="仿宋" w:eastAsia="仿宋" w:cs="仿宋"/>
          <w:b/>
          <w:bCs/>
          <w:i w:val="false"/>
          <w:iCs w:val="false"/>
          <w:color w:val="auto"/>
          <w:kern w:val="0"/>
          <w:sz w:val="28"/>
          <w:szCs w:val="28"/>
          <w:u w:val="none"/>
          <w:lang w:val="en-US" w:eastAsia="zh-CN"/>
        </w:rPr>
      </w:pPr>
      <w:bookmarkStart w:id="20" w:name="_Toc28353"/>
      <w:bookmarkStart w:id="21" w:name="_Toc8075"/>
      <w:bookmarkStart w:id="22" w:name="_Toc23809"/>
      <w:r>
        <w:rPr>
          <w:rFonts w:hint="eastAsia" w:ascii="仿宋" w:hAnsi="仿宋" w:eastAsia="仿宋" w:cs="仿宋"/>
          <w:b/>
          <w:bCs/>
          <w:i w:val="false"/>
          <w:iCs w:val="false"/>
          <w:color w:val="auto"/>
          <w:kern w:val="0"/>
          <w:sz w:val="28"/>
          <w:szCs w:val="28"/>
          <w:u w:val="none"/>
          <w:lang w:val="en-US" w:eastAsia="zh-CN"/>
        </w:rPr>
        <w:t>附表7：还本付息表</w:t>
      </w:r>
      <w:bookmarkEnd w:id="20"/>
      <w:bookmarkEnd w:id="21"/>
      <w:bookmarkEnd w:id="22"/>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45"/>
        <w:gridCol w:w="1020"/>
        <w:gridCol w:w="1438"/>
        <w:gridCol w:w="1438"/>
        <w:gridCol w:w="1438"/>
        <w:gridCol w:w="1438"/>
        <w:gridCol w:w="1438"/>
        <w:gridCol w:w="1438"/>
        <w:gridCol w:w="1441"/>
      </w:tblGrid>
      <w:tr>
        <w:trPr>
          <w:trHeight w:val="323" w:hRule="atLeast"/>
        </w:trPr>
        <w:tc>
          <w:tcPr>
            <w:tcW w:w="13946" w:type="dxa"/>
            <w:gridSpan w:val="10"/>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firstLine="0" w:firstLineChars="0"/>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42"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10069" w:type="dxa"/>
            <w:gridSpan w:val="7"/>
            <w:tcBorders>
              <w:top w:val="single" w:color="000000" w:sz="4" w:space="0"/>
              <w:left w:val="single" w:color="000000" w:sz="4" w:space="0"/>
              <w:bottom w:val="single" w:color="000000" w:sz="4" w:space="0"/>
              <w:right w:val="nil"/>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42"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0.5建设期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6</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建设投资借款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期初借款余额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6800.00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5250.00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4700.00</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当期还本付息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9061.00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355.25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794.75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773.88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798.00</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其中：还本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550.00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付息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2061.00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155.25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294.75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248.63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223.88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198.00</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期末借款余额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50800.00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6800.00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6300.00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5800.00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5250.00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4700.00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4100.00</w:t>
            </w:r>
          </w:p>
        </w:tc>
      </w:tr>
      <w:tr>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可用于还本付息的资金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10542.98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453.32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910.59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907.65</w:t>
            </w:r>
          </w:p>
        </w:tc>
      </w:tr>
      <w:tr>
        <w:trPr>
          <w:trHeight w:val="42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利息备付率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4.07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4.58</w:t>
            </w:r>
          </w:p>
        </w:tc>
      </w:tr>
      <w:tr>
        <w:trPr>
          <w:trHeight w:val="4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偿债备付率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1.14</w:t>
            </w:r>
          </w:p>
        </w:tc>
      </w:tr>
    </w:tbl>
    <w:p>
      <w:pPr>
        <w:rPr>
          <w:rFonts w:hint="eastAsia" w:ascii="仿宋" w:hAnsi="仿宋" w:eastAsia="仿宋" w:cs="仿宋"/>
        </w:rPr>
      </w:pPr>
      <w:r>
        <w:rPr>
          <w:rFonts w:hint="eastAsia" w:ascii="仿宋" w:hAnsi="仿宋" w:eastAsia="仿宋" w:cs="仿宋"/>
        </w:rPr>
        <w:br w:type="page"/>
      </w:r>
    </w:p>
    <w:p>
      <w:pPr>
        <w:keepNext w:val="false"/>
        <w:keepLines w:val="false"/>
        <w:pageBreakBefore w:val="false"/>
        <w:widowControl/>
        <w:kinsoku w:val="false"/>
        <w:wordWrap/>
        <w:overflowPunct/>
        <w:topLinePunct w:val="false"/>
        <w:autoSpaceDE w:val="false"/>
        <w:autoSpaceDN w:val="false"/>
        <w:bidi w:val="false"/>
        <w:adjustRightInd w:val="false"/>
        <w:snapToGrid w:val="false"/>
        <w:spacing w:line="360" w:lineRule="auto"/>
        <w:textAlignment w:val="baseline"/>
        <w:outlineLvl w:val="9"/>
        <w:rPr>
          <w:rFonts w:hint="eastAsia" w:ascii="仿宋" w:hAnsi="仿宋" w:eastAsia="仿宋" w:cs="仿宋"/>
          <w:b/>
          <w:bCs/>
          <w:i w:val="false"/>
          <w:iCs w:val="false"/>
          <w:color w:val="auto"/>
          <w:kern w:val="0"/>
          <w:sz w:val="28"/>
          <w:szCs w:val="28"/>
          <w:u w:val="none"/>
          <w:lang w:val="en-US" w:eastAsia="zh-CN"/>
        </w:rPr>
      </w:pPr>
      <w:r>
        <w:rPr>
          <w:rFonts w:hint="eastAsia" w:ascii="仿宋" w:hAnsi="仿宋" w:eastAsia="仿宋" w:cs="仿宋"/>
          <w:b/>
          <w:bCs/>
          <w:i w:val="false"/>
          <w:iCs w:val="false"/>
          <w:color w:val="auto"/>
          <w:kern w:val="0"/>
          <w:sz w:val="28"/>
          <w:szCs w:val="28"/>
          <w:u w:val="none"/>
          <w:lang w:val="en-US" w:eastAsia="zh-CN"/>
        </w:rPr>
        <w:t>附表7：还本付息表</w:t>
      </w:r>
    </w:p>
    <w:tbl>
      <w:tblPr>
        <w:tblStyle w:val="00000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2085"/>
        <w:gridCol w:w="1200"/>
        <w:gridCol w:w="1633"/>
        <w:gridCol w:w="1633"/>
        <w:gridCol w:w="1633"/>
        <w:gridCol w:w="1633"/>
        <w:gridCol w:w="1633"/>
        <w:gridCol w:w="1634"/>
      </w:tblGrid>
      <w:tr>
        <w:trPr>
          <w:trHeight w:val="323" w:hRule="atLeast"/>
        </w:trPr>
        <w:tc>
          <w:tcPr>
            <w:tcW w:w="13946" w:type="dxa"/>
            <w:gridSpan w:val="9"/>
            <w:tcBorders>
              <w:top w:val="nil"/>
              <w:left w:val="nil"/>
              <w:bottom w:val="nil"/>
              <w:right w:val="nil"/>
            </w:tcBorders>
            <w:shd w:val="clear" w:color="auto" w:fill="auto"/>
            <w:noWrap/>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firstLine="0" w:firstLineChars="0"/>
              <w:jc w:val="right"/>
              <w:textAlignment w:val="center"/>
              <w:rPr>
                <w:rFonts w:hint="eastAsia" w:ascii="仿宋" w:hAnsi="仿宋" w:eastAsia="仿宋" w:cs="仿宋"/>
                <w:i w:val="false"/>
                <w:iCs w:val="false"/>
                <w:color w:val="000000"/>
                <w:kern w:val="0"/>
                <w:sz w:val="21"/>
                <w:szCs w:val="21"/>
                <w:u w:val="none"/>
                <w:lang w:val="en-US" w:eastAsia="zh-CN" w:bidi="ar"/>
              </w:rPr>
            </w:pPr>
            <w:r>
              <w:rPr>
                <w:rFonts w:hint="eastAsia" w:ascii="仿宋" w:hAnsi="仿宋" w:eastAsia="仿宋" w:cs="仿宋"/>
                <w:i w:val="false"/>
                <w:iCs w:val="false"/>
                <w:color w:val="000000"/>
                <w:kern w:val="0"/>
                <w:sz w:val="21"/>
                <w:szCs w:val="21"/>
                <w:u w:val="none"/>
                <w:lang w:val="en-US" w:eastAsia="zh-CN" w:bidi="ar"/>
              </w:rPr>
              <w:t>单位：万元</w:t>
            </w:r>
          </w:p>
        </w:tc>
      </w:tr>
      <w:tr>
        <w:trPr>
          <w:trHeight w:val="420"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序号</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项 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合计</w:t>
            </w:r>
          </w:p>
        </w:tc>
        <w:tc>
          <w:tcPr>
            <w:tcW w:w="9799" w:type="dxa"/>
            <w:gridSpan w:val="6"/>
            <w:tcBorders>
              <w:top w:val="single" w:color="000000" w:sz="4" w:space="0"/>
              <w:left w:val="single" w:color="000000" w:sz="4" w:space="0"/>
              <w:bottom w:val="single" w:color="000000" w:sz="4" w:space="0"/>
              <w:right w:val="nil"/>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计算期</w:t>
            </w:r>
          </w:p>
        </w:tc>
      </w:tr>
      <w:tr>
        <w:trPr>
          <w:trHeight w:val="42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7</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9</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pageBreakBefore w:val="false"/>
              <w:widowControl/>
              <w:suppressLineNumbers w:val="false"/>
              <w:kinsoku/>
              <w:wordWrap/>
              <w:overflowPunct/>
              <w:topLinePunct w:val="false"/>
              <w:autoSpaceDE/>
              <w:autoSpaceDN/>
              <w:bidi w:val="false"/>
              <w:adjustRightInd/>
              <w:snapToGrid/>
              <w:spacing w:line="240" w:lineRule="auto"/>
              <w:ind w:left="0" w:leftChars="0" w:firstLine="0" w:firstLineChars="0"/>
              <w:jc w:val="center"/>
              <w:textAlignment w:val="top"/>
              <w:rPr>
                <w:rFonts w:hint="eastAsia" w:ascii="仿宋" w:hAnsi="仿宋" w:eastAsia="仿宋" w:cs="仿宋"/>
                <w:b/>
                <w:bCs/>
                <w:i w:val="false"/>
                <w:iCs w:val="false"/>
                <w:color w:val="000000"/>
                <w:kern w:val="0"/>
                <w:sz w:val="18"/>
                <w:szCs w:val="18"/>
                <w:u w:val="none"/>
                <w:lang w:val="en-US" w:eastAsia="zh-CN" w:bidi="ar"/>
              </w:rPr>
            </w:pPr>
            <w:r>
              <w:rPr>
                <w:rFonts w:hint="eastAsia" w:ascii="仿宋" w:hAnsi="仿宋" w:eastAsia="仿宋" w:cs="仿宋"/>
                <w:b/>
                <w:bCs/>
                <w:i w:val="false"/>
                <w:iCs w:val="false"/>
                <w:color w:val="000000"/>
                <w:kern w:val="0"/>
                <w:sz w:val="18"/>
                <w:szCs w:val="18"/>
                <w:u w:val="none"/>
                <w:lang w:val="en-US" w:eastAsia="zh-CN" w:bidi="ar"/>
              </w:rPr>
              <w:t>12</w:t>
            </w: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建设投资借款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期初借款余额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4100.00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2850.00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800.00</w:t>
            </w: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当期还本付息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9061.00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771.00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792.88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763.63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783.25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751.75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827.00</w:t>
            </w: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其中：还本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650.00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700.00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800.00</w:t>
            </w: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付息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2061.00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171.00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142.88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113.63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83.25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51.75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27.00</w:t>
            </w: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期末借款余额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50800.00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3500.00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2850.00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2200.00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1500.00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800.00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p>
        </w:tc>
      </w:tr>
      <w:tr>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color w:val="000000"/>
                <w:kern w:val="0"/>
                <w:sz w:val="18"/>
                <w:szCs w:val="18"/>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可用于还本付息的资金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10542.98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928.43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927.10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925.78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924.46</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919.84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918.54</w:t>
            </w:r>
          </w:p>
        </w:tc>
      </w:tr>
      <w:tr>
        <w:trPr>
          <w:trHeight w:val="420"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center"/>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利息备付率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5.12</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5.43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6.49</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8.15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17.77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34.02</w:t>
            </w:r>
          </w:p>
        </w:tc>
      </w:tr>
      <w:tr>
        <w:trPr>
          <w:trHeight w:val="42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false"/>
                <w:iCs w:val="false"/>
                <w:color w:val="000000"/>
                <w:kern w:val="0"/>
                <w:sz w:val="18"/>
                <w:szCs w:val="18"/>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偿债备付率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1.16</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1.17</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1.21</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1.22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jc w:val="center"/>
              <w:textAlignment w:val="top"/>
              <w:rPr>
                <w:rFonts w:hint="eastAsia" w:ascii="仿宋" w:hAnsi="仿宋" w:eastAsia="仿宋" w:cs="仿宋"/>
                <w:i w:val="false"/>
                <w:iCs w:val="false"/>
                <w:snapToGrid w:val="false"/>
                <w:color w:val="000000"/>
                <w:kern w:val="0"/>
                <w:sz w:val="18"/>
                <w:szCs w:val="18"/>
                <w:u w:val="none"/>
                <w:lang w:val="en-US" w:eastAsia="zh-CN" w:bidi="ar"/>
              </w:rPr>
            </w:pPr>
            <w:r>
              <w:rPr>
                <w:rFonts w:hint="eastAsia" w:ascii="仿宋" w:hAnsi="仿宋" w:eastAsia="仿宋" w:cs="仿宋"/>
                <w:i w:val="false"/>
                <w:iCs w:val="false"/>
                <w:snapToGrid w:val="false"/>
                <w:color w:val="000000"/>
                <w:kern w:val="0"/>
                <w:sz w:val="18"/>
                <w:szCs w:val="18"/>
                <w:u w:val="none"/>
                <w:lang w:val="en-US" w:eastAsia="zh-CN" w:bidi="ar"/>
              </w:rPr>
              <w:t>1.11</w:t>
            </w:r>
          </w:p>
        </w:tc>
      </w:tr>
    </w:tbl>
    <w:p>
      <w:pPr>
        <w:rPr>
          <w:rFonts w:hint="eastAsia"/>
          <w:lang w:val="en-US" w:eastAsia="zh-CN"/>
        </w:rPr>
      </w:pPr>
    </w:p>
    <w:p>
      <w:pPr>
        <w:rPr>
          <w:rFonts w:ascii="仿宋" w:hAnsi="仿宋" w:eastAsia="仿宋" w:cstheme="minorEastAsia"/>
          <w:sz w:val="24"/>
        </w:rPr>
      </w:pPr>
      <w:bookmarkStart w:id="23" w:name="_GoBack"/>
      <w:bookmarkEnd w:id="23"/>
    </w:p>
    <w:sectPr>
      <w:pgSz w:w="16838" w:h="11906" w:orient="landscape"/>
      <w:pgMar w:top="1610"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4002EFF" w:usb1="C000247B" w:usb2="00000009" w:usb3="00000000" w:csb0="200001FF" w:csb1="00000000"/>
  </w:font>
  <w:font w:name="Times New Roman">
    <w:panose1 w:val="02020603050405020304"/>
    <w:charset w:val="80" w:characterSet="ISO-8859-1"/>
    <w:family w:val="auto"/>
    <w:pitch w:val="default"/>
    <w:sig w:usb0="E0002EFF" w:usb1="C000785B" w:usb2="00000009" w:usb3="00000000" w:csb0="400001FF" w:csb1="FFFF0000"/>
  </w:font>
  <w:font w:name="宋体">
    <w:panose1 w:val="02010600030101010101"/>
    <w:charset w:val="50" w:characterSet="ISO-8859-1"/>
    <w:family w:val="auto"/>
    <w:pitch w:val="default"/>
    <w:sig w:usb0="00000203" w:usb1="288F0000" w:usb2="00000006" w:usb3="00000000" w:csb0="00040001" w:csb1="00000000"/>
  </w:font>
  <w:font w:name="彩虹粗仿宋">
    <w:altName w:val="微软雅黑"/>
    <w:panose1 w:val="00000000000000000000"/>
    <w:charset w:val="86" w:characterSet="ISO-8859-1"/>
    <w:family w:val="script"/>
    <w:pitch w:val="default"/>
    <w:sig w:usb0="00000000" w:usb1="00000000" w:usb2="00000010" w:usb3="00000000" w:csb0="00040000" w:csb1="00000000"/>
  </w:font>
  <w:font w:name="微软雅黑">
    <w:panose1 w:val="020B0503020204020204"/>
    <w:charset w:val="86" w:characterSet="ISO-8859-1"/>
    <w:family w:val="auto"/>
    <w:pitch w:val="default"/>
    <w:sig w:usb0="80000287" w:usb1="2ACF3C50" w:usb2="00000016" w:usb3="00000000" w:csb0="0004001F" w:csb1="00000000"/>
  </w:font>
  <w:font w:name="楷体_GB2312">
    <w:altName w:val="楷体"/>
    <w:panose1 w:val="00000000000000000000"/>
    <w:charset w:val="86" w:characterSet="ISO-8859-1"/>
    <w:family w:val="modern"/>
    <w:pitch w:val="default"/>
    <w:sig w:usb0="00000000" w:usb1="00000000" w:usb2="0000001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Tahoma">
    <w:panose1 w:val="020B0604030504040204"/>
    <w:charset w:val="00" w:characterSet="ISO-8859-1"/>
    <w:family w:val="auto"/>
    <w:pitch w:val="default"/>
    <w:sig w:usb0="E1002EFF" w:usb1="C000605B" w:usb2="00000029" w:usb3="00000000" w:csb0="200101FF" w:csb1="20280000"/>
  </w:font>
  <w:font w:name="Wingdings">
    <w:panose1 w:val="05000000000000000000"/>
    <w:charset w:val="02" w:characterSet="ISO-8859-1"/>
    <w:family w:val="auto"/>
    <w:pitch w:val="default"/>
    <w:sig w:usb0="00000000" w:usb1="00000000" w:usb2="00000000" w:usb3="00000000" w:csb0="80000000" w:csb1="00000000"/>
  </w:font>
  <w:font w:name="仿宋">
    <w:panose1 w:val="02010609060101010101"/>
    <w:charset w:val="86" w:characterSet="ISO-8859-1"/>
    <w:family w:val="modern"/>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Courier New">
    <w:panose1 w:val="02070309020205020404"/>
    <w:charset w:val="01" w:characterSet="ISO-8859-1"/>
    <w:family w:val="modern"/>
    <w:pitch w:val="default"/>
    <w:sig w:usb0="E0002EFF" w:usb1="C0007843" w:usb2="00000009" w:usb3="00000000" w:csb0="400001FF" w:csb1="FFFF0000"/>
  </w:font>
  <w:font w:name="TimesNewRomanPSMT">
    <w:altName w:val="Times New Roman"/>
    <w:panose1 w:val="00000000000000000000"/>
    <w:charset w:val="00" w:characterSet="ISO-8859-1"/>
    <w:family w:val="auto"/>
    <w:pitch w:val="default"/>
    <w:sig w:usb0="00000000" w:usb1="00000000" w:usb2="00000000" w:usb3="00000000" w:csb0="00000000" w:csb1="00000000"/>
  </w:font>
  <w:font w:name="BIAODIAN">
    <w:altName w:val="Times New Roman"/>
    <w:panose1 w:val="00000000000000000000"/>
    <w:charset w:val="00" w:characterSet="ISO-8859-1"/>
    <w:family w:val="roman"/>
    <w:pitch w:val="default"/>
    <w:sig w:usb0="00000000" w:usb1="00000000" w:usb2="00000000" w:usb3="00000000" w:csb0="00000001" w:csb1="00000000"/>
  </w:font>
  <w:font w:name="仿宋_GB2312">
    <w:altName w:val="仿宋"/>
    <w:panose1 w:val="02010609030101010101"/>
    <w:charset w:val="86" w:characterSet="ISO-8859-1"/>
    <w:family w:val="modern"/>
    <w:pitch w:val="default"/>
    <w:sig w:usb0="00000000" w:usb1="00000000" w:usb2="00000000" w:usb3="00000000" w:csb0="00040000" w:csb1="00000000"/>
  </w:font>
  <w:font w:name="彩虹黑体">
    <w:altName w:val="微软雅黑"/>
    <w:panose1 w:val="00000000000000000000"/>
    <w:charset w:val="86" w:characterSet="ISO-8859-1"/>
    <w:family w:val="script"/>
    <w:pitch w:val="default"/>
    <w:sig w:usb0="00000000" w:usb1="00000000" w:usb2="00000000" w:usb3="00000000" w:csb0="00040000" w:csb1="00000000"/>
  </w:font>
  <w:font w:name="楷体">
    <w:panose1 w:val="02010609060101010101"/>
    <w:charset w:val="86" w:characterSet="ISO-8859-1"/>
    <w:family w:val="auto"/>
    <w:pitch w:val="default"/>
    <w:sig w:usb0="800002BF" w:usb1="38CF7CFA" w:usb2="00000016" w:usb3="00000000" w:csb0="00040001" w:csb1="00000000"/>
  </w:font>
</w:fonts>
</file>

<file path=word/footer1.xml><?xml version="1.0" encoding="utf-8"?>
<w:ftr xmlns:w="http://schemas.openxmlformats.org/wordprocessingml/2006/main">
  <w:p>
    <w:pPr>
      <w:pStyle w:val="000015"/>
      <w:rPr/>
    </w:pPr>
  </w:p>
</w:ftr>
</file>

<file path=word/footer2.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15"/>
      <w:rPr/>
    </w:pPr>
    <w:r>
      <w:rPr/>
      <w:drawing>
        <wp:anchor distT="0" distB="0" distL="114300" distR="114300" simplePos="false" relativeHeight="25165926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11" name="文本框 7"/>
          <wp:cNvGraphicFramePr/>
          <a:graphic>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15"/>
                        <w:rPr/>
                      </w:pPr>
                      <w:r>
                        <w:rPr/>
                        <w:fldChar w:fldCharType="begin"/>
                      </w:r>
                      <w:r>
                        <w:rPr/>
                        <w:instrText xml:space="preserve"> PAGE  \* MERGEFORMAT </w:instrText>
                      </w:r>
                      <w:r>
                        <w:rPr/>
                        <w:fldChar w:fldCharType="separate"/>
                      </w:r>
                      <w:r>
                        <w:rPr/>
                        <w:t>1</w:t>
                      </w:r>
                      <w:r>
                        <w:rPr/>
                        <w:fldChar w:fldCharType="end"/>
                      </w:r>
                    </w:p>
                  </w:txbxContent>
                </wps:txbx>
                <wps:bodyPr rot="0" spcFirstLastPara="false" vertOverflow="overflow" horzOverflow="overflow" vert="horz" wrap="none" lIns="0" tIns="0" rIns="0" bIns="0" numCol="1" spcCol="0" rtlCol="false" fromWordArt="false" anchor="t" anchorCtr="false" forceAA="false" compatLnSpc="true">
                  <a:spAutoFit/>
                </wps:bodyPr>
              </wps:wsp>
            </a:graphicData>
          </a:graphic>
        </wp:anchor>
      </w:drawing>
    </w:r>
  </w:p>
</w:ftr>
</file>

<file path=word/footnotes.xml><?xml version="1.0" encoding="utf-8"?>
<w:footnotes xmlns:w="http://schemas.openxmlformats.org/wordprocessingml/2006/main">
  <w:footnote w:type="normal" w:id="0">
    <w:p>
      <w:pPr>
        <w:pStyle w:val="000019"/>
        <w:rPr/>
      </w:pPr>
    </w:p>
  </w:footnote>
  <w:footnote w:type="continuationSeparator" w:id="1">
    <w:p>
      <w:pPr>
        <w:rPr/>
      </w:pPr>
      <w:r>
        <w:rPr/>
        <w:continuationSeparator/>
      </w:r>
    </w:p>
  </w:footnote>
  <w:footnote w:type="separator" w:id="2">
    <w:p>
      <w:pPr>
        <w:rPr/>
      </w:pPr>
      <w:r>
        <w:rPr/>
        <w:separator/>
      </w:r>
    </w:p>
  </w:footnote>
</w:footnotes>
</file>

<file path=word/settings.xml><?xml version="1.0" encoding="utf-8"?>
<w:settings xmlns:w="http://schemas.openxmlformats.org/wordprocessingml/2006/main">
  <w:zoom w:percent="100"/>
  <w:embedSystemFonts/>
  <w:bordersDoNotSurroundHeader w:val="false"/>
  <w:bordersDoNotSurroundFooter w:val="false"/>
  <w:documentProtection w:enforcement="false"/>
  <w:defaultTabStop w:val="420"/>
  <w:drawingGridVerticalSpacing w:val="156"/>
  <w:displayHorizontalDrawingGridEvery w:val="1"/>
  <w:displayVerticalDrawingGridEvery w:val="1"/>
  <w:noPunctuationKerning/>
  <w:characterSpacingControl w:val="compressPunctuation"/>
  <w:footnotePr>
    <w:footnote w:id="1"/>
    <w:footnote w:id="2"/>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enableOpenTypeFeatures" w:uri="http://schemas.microsoft.com/office/word" w:val="1"/>
  </w:compat>
  <w:docVars>
    <w:docVar w:name="commondata" w:val="eyJoZGlkIjoiMDYyYTQwMDdmZjQ3NTg0ZmZjYjc2NzdiMTg5YWQ2MWUifQ=="/>
  </w:docVars>
  <w:rsids>
    <w:rsidRoot w:val="6DF45E0A"/>
    <w:rsid w:val="0006170B"/>
    <w:rsid w:val="000A0F46"/>
    <w:rsid w:val="000A6DFE"/>
    <w:rsid w:val="000B23EE"/>
    <w:rsid w:val="000D1E34"/>
    <w:rsid w:val="000D22B3"/>
    <w:rsid w:val="000E3594"/>
    <w:rsid w:val="000E5010"/>
    <w:rsid w:val="000E7293"/>
    <w:rsid w:val="00107002"/>
    <w:rsid w:val="0011397B"/>
    <w:rsid w:val="00154620"/>
    <w:rsid w:val="0017626B"/>
    <w:rsid w:val="0018172C"/>
    <w:rsid w:val="00182ADB"/>
    <w:rsid w:val="00192DA8"/>
    <w:rsid w:val="0019433B"/>
    <w:rsid w:val="001A7461"/>
    <w:rsid w:val="001C2BC4"/>
    <w:rsid w:val="001C7B60"/>
    <w:rsid w:val="001D2B0B"/>
    <w:rsid w:val="001F0A1D"/>
    <w:rsid w:val="00214C48"/>
    <w:rsid w:val="00217273"/>
    <w:rsid w:val="00250B90"/>
    <w:rsid w:val="00276353"/>
    <w:rsid w:val="002B0B3D"/>
    <w:rsid w:val="002D06B4"/>
    <w:rsid w:val="00325006"/>
    <w:rsid w:val="00331E51"/>
    <w:rsid w:val="00353660"/>
    <w:rsid w:val="0036458B"/>
    <w:rsid w:val="00364E3F"/>
    <w:rsid w:val="00381912"/>
    <w:rsid w:val="0039152C"/>
    <w:rsid w:val="003A121C"/>
    <w:rsid w:val="003B2291"/>
    <w:rsid w:val="00424B24"/>
    <w:rsid w:val="004340B2"/>
    <w:rsid w:val="00480158"/>
    <w:rsid w:val="004A15A7"/>
    <w:rsid w:val="004A528D"/>
    <w:rsid w:val="004B75F7"/>
    <w:rsid w:val="004C4B70"/>
    <w:rsid w:val="004D6378"/>
    <w:rsid w:val="00533D89"/>
    <w:rsid w:val="00540BC5"/>
    <w:rsid w:val="00545E7B"/>
    <w:rsid w:val="00554183"/>
    <w:rsid w:val="00554261"/>
    <w:rsid w:val="005619AC"/>
    <w:rsid w:val="00575AFC"/>
    <w:rsid w:val="00577FA4"/>
    <w:rsid w:val="005F0944"/>
    <w:rsid w:val="005F760C"/>
    <w:rsid w:val="006002FA"/>
    <w:rsid w:val="00610054"/>
    <w:rsid w:val="0066652B"/>
    <w:rsid w:val="006B47BC"/>
    <w:rsid w:val="006C29C4"/>
    <w:rsid w:val="006D3B90"/>
    <w:rsid w:val="00713279"/>
    <w:rsid w:val="007415BE"/>
    <w:rsid w:val="00751653"/>
    <w:rsid w:val="00756611"/>
    <w:rsid w:val="008160BE"/>
    <w:rsid w:val="00845AA2"/>
    <w:rsid w:val="00930F98"/>
    <w:rsid w:val="009665E8"/>
    <w:rsid w:val="009D2132"/>
    <w:rsid w:val="00A2748E"/>
    <w:rsid w:val="00A94D39"/>
    <w:rsid w:val="00B4293F"/>
    <w:rsid w:val="00B42C3B"/>
    <w:rsid w:val="00B64ECF"/>
    <w:rsid w:val="00B73412"/>
    <w:rsid w:val="00B834B7"/>
    <w:rsid w:val="00BF3B29"/>
    <w:rsid w:val="00C731CB"/>
    <w:rsid w:val="00CA586D"/>
    <w:rsid w:val="00CB3211"/>
    <w:rsid w:val="00CD00F3"/>
    <w:rsid w:val="00CE7185"/>
    <w:rsid w:val="00CF0B61"/>
    <w:rsid w:val="00D06F75"/>
    <w:rsid w:val="00D12D00"/>
    <w:rsid w:val="00D35777"/>
    <w:rsid w:val="00D65BB5"/>
    <w:rsid w:val="00D76104"/>
    <w:rsid w:val="00D81355"/>
    <w:rsid w:val="00D83746"/>
    <w:rsid w:val="00D8413D"/>
    <w:rsid w:val="00D84791"/>
    <w:rsid w:val="00DD2A13"/>
    <w:rsid w:val="00E368DB"/>
    <w:rsid w:val="00E448E2"/>
    <w:rsid w:val="00E66DD6"/>
    <w:rsid w:val="00E722C1"/>
    <w:rsid w:val="00E95489"/>
    <w:rsid w:val="00E97739"/>
    <w:rsid w:val="00EC0669"/>
    <w:rsid w:val="00EC133A"/>
    <w:rsid w:val="00ED24A5"/>
    <w:rsid w:val="00EF31E9"/>
    <w:rsid w:val="00F10B3F"/>
    <w:rsid w:val="00F1177A"/>
    <w:rsid w:val="00F54A03"/>
    <w:rsid w:val="00F6695B"/>
    <w:rsid w:val="00F93546"/>
    <w:rsid w:val="00FB4137"/>
    <w:rsid w:val="00FE18FE"/>
    <w:rsid w:val="00FF00CF"/>
    <w:rsid w:val="00FF2A0B"/>
    <w:rsid w:val="011164C1"/>
    <w:rsid w:val="01610873"/>
    <w:rsid w:val="016B6DDA"/>
    <w:rsid w:val="019F658D"/>
    <w:rsid w:val="022946CB"/>
    <w:rsid w:val="028D0499"/>
    <w:rsid w:val="04657101"/>
    <w:rsid w:val="05006BBF"/>
    <w:rsid w:val="050D2A9B"/>
    <w:rsid w:val="05527A69"/>
    <w:rsid w:val="06A85A15"/>
    <w:rsid w:val="07146C2B"/>
    <w:rsid w:val="08764C05"/>
    <w:rsid w:val="087813D6"/>
    <w:rsid w:val="08A5647C"/>
    <w:rsid w:val="09372D22"/>
    <w:rsid w:val="09966B46"/>
    <w:rsid w:val="0A316B49"/>
    <w:rsid w:val="0A57020D"/>
    <w:rsid w:val="0A63294F"/>
    <w:rsid w:val="0AB62FC9"/>
    <w:rsid w:val="0B05584A"/>
    <w:rsid w:val="0B504393"/>
    <w:rsid w:val="0B6F3651"/>
    <w:rsid w:val="0B92405B"/>
    <w:rsid w:val="0BA85F42"/>
    <w:rsid w:val="0C4628B6"/>
    <w:rsid w:val="0C9C0287"/>
    <w:rsid w:val="0E586B2F"/>
    <w:rsid w:val="0EA37FCC"/>
    <w:rsid w:val="0F0764C6"/>
    <w:rsid w:val="0F962F45"/>
    <w:rsid w:val="0FB475BE"/>
    <w:rsid w:val="0FCC6397"/>
    <w:rsid w:val="0FE847BA"/>
    <w:rsid w:val="101D60CF"/>
    <w:rsid w:val="10755FC9"/>
    <w:rsid w:val="11C92FDC"/>
    <w:rsid w:val="12921274"/>
    <w:rsid w:val="12CA00E8"/>
    <w:rsid w:val="130936F2"/>
    <w:rsid w:val="1377201B"/>
    <w:rsid w:val="138430E9"/>
    <w:rsid w:val="14AB30F5"/>
    <w:rsid w:val="14B363B3"/>
    <w:rsid w:val="14DB11C6"/>
    <w:rsid w:val="159A282C"/>
    <w:rsid w:val="15C619B2"/>
    <w:rsid w:val="164A1933"/>
    <w:rsid w:val="16D47282"/>
    <w:rsid w:val="16D528BC"/>
    <w:rsid w:val="16E91BEB"/>
    <w:rsid w:val="172A6D75"/>
    <w:rsid w:val="182061EA"/>
    <w:rsid w:val="18EB5CD9"/>
    <w:rsid w:val="19AA0FA9"/>
    <w:rsid w:val="19AE4373"/>
    <w:rsid w:val="1B317607"/>
    <w:rsid w:val="1BFF498A"/>
    <w:rsid w:val="1C1D3CA0"/>
    <w:rsid w:val="1CA81F76"/>
    <w:rsid w:val="1D4744BD"/>
    <w:rsid w:val="1D605BC2"/>
    <w:rsid w:val="1D614DDB"/>
    <w:rsid w:val="1D667600"/>
    <w:rsid w:val="1D9500CD"/>
    <w:rsid w:val="1DA0760B"/>
    <w:rsid w:val="1E080DE7"/>
    <w:rsid w:val="1E4C5F8A"/>
    <w:rsid w:val="1E880EA7"/>
    <w:rsid w:val="20124FB2"/>
    <w:rsid w:val="20BB69CC"/>
    <w:rsid w:val="210821C0"/>
    <w:rsid w:val="21B257CB"/>
    <w:rsid w:val="21FF5757"/>
    <w:rsid w:val="2245507D"/>
    <w:rsid w:val="22637523"/>
    <w:rsid w:val="228533BC"/>
    <w:rsid w:val="229B12DF"/>
    <w:rsid w:val="22DF73CD"/>
    <w:rsid w:val="234C2589"/>
    <w:rsid w:val="251E4A80"/>
    <w:rsid w:val="25227A45"/>
    <w:rsid w:val="25871E91"/>
    <w:rsid w:val="270616D7"/>
    <w:rsid w:val="27085537"/>
    <w:rsid w:val="273A72C8"/>
    <w:rsid w:val="29647A76"/>
    <w:rsid w:val="2A523D82"/>
    <w:rsid w:val="2A693E17"/>
    <w:rsid w:val="2A763ACC"/>
    <w:rsid w:val="2A7F52B9"/>
    <w:rsid w:val="2A964F4D"/>
    <w:rsid w:val="2C7E7C57"/>
    <w:rsid w:val="2CB155FA"/>
    <w:rsid w:val="2D6A1584"/>
    <w:rsid w:val="2E4C78E1"/>
    <w:rsid w:val="2E9865CB"/>
    <w:rsid w:val="30050E24"/>
    <w:rsid w:val="30BA2ACD"/>
    <w:rsid w:val="30BA5C4C"/>
    <w:rsid w:val="3162048C"/>
    <w:rsid w:val="31B34772"/>
    <w:rsid w:val="31D66599"/>
    <w:rsid w:val="32AC4204"/>
    <w:rsid w:val="33252B11"/>
    <w:rsid w:val="33FC3171"/>
    <w:rsid w:val="34676FD2"/>
    <w:rsid w:val="346B298C"/>
    <w:rsid w:val="34AC3E66"/>
    <w:rsid w:val="357F7873"/>
    <w:rsid w:val="363A04F6"/>
    <w:rsid w:val="36BB1AA7"/>
    <w:rsid w:val="378E21C2"/>
    <w:rsid w:val="37B12C1C"/>
    <w:rsid w:val="38735A08"/>
    <w:rsid w:val="394A5721"/>
    <w:rsid w:val="3965670D"/>
    <w:rsid w:val="39981698"/>
    <w:rsid w:val="3A10344B"/>
    <w:rsid w:val="3A536E61"/>
    <w:rsid w:val="3AA244C9"/>
    <w:rsid w:val="3AC73156"/>
    <w:rsid w:val="3B586FE8"/>
    <w:rsid w:val="3BC231CF"/>
    <w:rsid w:val="3C4816E7"/>
    <w:rsid w:val="3C4E720D"/>
    <w:rsid w:val="3CAB1C17"/>
    <w:rsid w:val="3CF9530F"/>
    <w:rsid w:val="3D5D72DD"/>
    <w:rsid w:val="3DF60E28"/>
    <w:rsid w:val="3EB5648D"/>
    <w:rsid w:val="3ED8003B"/>
    <w:rsid w:val="3F6F78D3"/>
    <w:rsid w:val="4106468B"/>
    <w:rsid w:val="412734C4"/>
    <w:rsid w:val="4202739C"/>
    <w:rsid w:val="42446DF5"/>
    <w:rsid w:val="429379A3"/>
    <w:rsid w:val="43A134B7"/>
    <w:rsid w:val="442D2A0C"/>
    <w:rsid w:val="44A727DE"/>
    <w:rsid w:val="44E45D83"/>
    <w:rsid w:val="450D1720"/>
    <w:rsid w:val="4514025E"/>
    <w:rsid w:val="45390767"/>
    <w:rsid w:val="453E659F"/>
    <w:rsid w:val="45457766"/>
    <w:rsid w:val="45746C77"/>
    <w:rsid w:val="45A0459F"/>
    <w:rsid w:val="45E9627C"/>
    <w:rsid w:val="45ED1E31"/>
    <w:rsid w:val="46A21FD5"/>
    <w:rsid w:val="46B27300"/>
    <w:rsid w:val="46CB53D5"/>
    <w:rsid w:val="46F621DE"/>
    <w:rsid w:val="48724347"/>
    <w:rsid w:val="499222AC"/>
    <w:rsid w:val="49BE748D"/>
    <w:rsid w:val="4A4C4A1C"/>
    <w:rsid w:val="4AEB3076"/>
    <w:rsid w:val="4B103D18"/>
    <w:rsid w:val="4B7145D4"/>
    <w:rsid w:val="4B9648D7"/>
    <w:rsid w:val="4D2F402D"/>
    <w:rsid w:val="4D7247FE"/>
    <w:rsid w:val="4E4916E5"/>
    <w:rsid w:val="4F0D419E"/>
    <w:rsid w:val="4FAB6A6B"/>
    <w:rsid w:val="4FFD05E3"/>
    <w:rsid w:val="50131BB5"/>
    <w:rsid w:val="50927F38"/>
    <w:rsid w:val="51603CAA"/>
    <w:rsid w:val="522404FD"/>
    <w:rsid w:val="52546BE0"/>
    <w:rsid w:val="529652C7"/>
    <w:rsid w:val="52B601AE"/>
    <w:rsid w:val="539B083F"/>
    <w:rsid w:val="53A11C9D"/>
    <w:rsid w:val="54965C21"/>
    <w:rsid w:val="54B94315"/>
    <w:rsid w:val="54DF6509"/>
    <w:rsid w:val="55A60D46"/>
    <w:rsid w:val="55D55825"/>
    <w:rsid w:val="56657288"/>
    <w:rsid w:val="56B07015"/>
    <w:rsid w:val="56E55958"/>
    <w:rsid w:val="578A39AD"/>
    <w:rsid w:val="58353010"/>
    <w:rsid w:val="594159E5"/>
    <w:rsid w:val="59653481"/>
    <w:rsid w:val="59C81813"/>
    <w:rsid w:val="59FA1FC5"/>
    <w:rsid w:val="5A6E7475"/>
    <w:rsid w:val="5AD45B8B"/>
    <w:rsid w:val="5AD65B69"/>
    <w:rsid w:val="5BE70AC5"/>
    <w:rsid w:val="5D20063B"/>
    <w:rsid w:val="5D9A321B"/>
    <w:rsid w:val="5DA440D5"/>
    <w:rsid w:val="5DE153CD"/>
    <w:rsid w:val="5E6621E8"/>
    <w:rsid w:val="60FE4595"/>
    <w:rsid w:val="61B47804"/>
    <w:rsid w:val="63990993"/>
    <w:rsid w:val="63F85CD2"/>
    <w:rsid w:val="64B534AF"/>
    <w:rsid w:val="65270184"/>
    <w:rsid w:val="655800D0"/>
    <w:rsid w:val="65C50FC8"/>
    <w:rsid w:val="65DC6D2B"/>
    <w:rsid w:val="66383CCB"/>
    <w:rsid w:val="66652ED8"/>
    <w:rsid w:val="674C09E2"/>
    <w:rsid w:val="67D83125"/>
    <w:rsid w:val="685811C0"/>
    <w:rsid w:val="6868024D"/>
    <w:rsid w:val="694E001D"/>
    <w:rsid w:val="6A8F66E9"/>
    <w:rsid w:val="6C3B64B1"/>
    <w:rsid w:val="6C3C6FA4"/>
    <w:rsid w:val="6C4C227F"/>
    <w:rsid w:val="6C912C20"/>
    <w:rsid w:val="6C983716"/>
    <w:rsid w:val="6CE54BAD"/>
    <w:rsid w:val="6D286899"/>
    <w:rsid w:val="6D2E0B7C"/>
    <w:rsid w:val="6DEA1D4F"/>
    <w:rsid w:val="6DF45E0A"/>
    <w:rsid w:val="6E206D49"/>
    <w:rsid w:val="6E646D58"/>
    <w:rsid w:val="6E9323E7"/>
    <w:rsid w:val="6EA44317"/>
    <w:rsid w:val="6EAD4A45"/>
    <w:rsid w:val="6EAE3DEF"/>
    <w:rsid w:val="6EE03BEE"/>
    <w:rsid w:val="6FF34D50"/>
    <w:rsid w:val="70012593"/>
    <w:rsid w:val="70F74663"/>
    <w:rsid w:val="71BA6247"/>
    <w:rsid w:val="71F9646F"/>
    <w:rsid w:val="729C5939"/>
    <w:rsid w:val="791D381B"/>
    <w:rsid w:val="792F0F5E"/>
    <w:rsid w:val="79321F63"/>
    <w:rsid w:val="793E051E"/>
    <w:rsid w:val="79554E68"/>
    <w:rsid w:val="79731093"/>
    <w:rsid w:val="799E680F"/>
    <w:rsid w:val="7A611F79"/>
    <w:rsid w:val="7AB9018D"/>
    <w:rsid w:val="7C6E0F8E"/>
    <w:rsid w:val="7CAF5449"/>
    <w:rsid w:val="7DFD6687"/>
    <w:rsid w:val="7E452183"/>
    <w:rsid w:val="7EA65BD8"/>
    <w:rsid w:val="7F0C76E6"/>
    <w:rsid w:val="7F7F4001"/>
    <w:rsid w:val="7FA270F4"/>
    <w:rsid w:val="7FB742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false" w:defUIPriority="99" w:defSemiHidden="true" w:defUnhideWhenUsed="true" w:defQFormat="false" w:count="260">
    <w:lsdException w:name="heading 2" w:uiPriority="0" w:semiHidden="false" w:qFormat="true"/>
    <w:lsdException w:name="HTML Sample" w:uiPriority="0" w:semiHidden="false" w:unhideWhenUsed="false"/>
    <w:lsdException w:name="Light Grid" w:uiPriority="62" w:semiHidden="false" w:unhideWhenUsed="false"/>
    <w:lsdException w:name="List 5" w:uiPriority="0" w:semiHidden="false" w:unhideWhenUsed="false"/>
    <w:lsdException w:name="Table Grid" w:uiPriority="0" w:semiHidden="false" w:unhideWhenUsed="false" w:qFormat="true"/>
    <w:lsdException w:name="Body Text Indent 3" w:uiPriority="0" w:semiHidden="false" w:unhideWhenUsed="false"/>
    <w:lsdException w:name="Table Contemporary" w:uiPriority="0"/>
    <w:lsdException w:name="Medium Grid 1 Accent 3" w:uiPriority="67" w:semiHidden="false" w:unhideWhenUsed="false"/>
    <w:lsdException w:name="index 8" w:uiPriority="0" w:semiHidden="false" w:unhideWhenUsed="false"/>
    <w:lsdException w:name="Colorful Grid Accent 1" w:uiPriority="73" w:semiHidden="false" w:unhideWhenUsed="false"/>
    <w:lsdException w:name="Medium Grid 1" w:uiPriority="67" w:semiHidden="false" w:unhideWhenUsed="false"/>
    <w:lsdException w:name="toa heading" w:uiPriority="0" w:semiHidden="false" w:unhideWhenUsed="false"/>
    <w:lsdException w:name="Table Colorful 2" w:uiPriority="0"/>
    <w:lsdException w:name="Table Columns 5" w:uiPriority="0"/>
    <w:lsdException w:name="HTML Variable" w:uiPriority="0" w:semiHidden="false" w:unhideWhenUsed="false"/>
    <w:lsdException w:name="Plain Text" w:uiPriority="0" w:semiHidden="false" w:unhideWhenUsed="false"/>
    <w:lsdException w:name="annotation reference" w:uiPriority="0" w:semiHidden="false" w:unhideWhenUsed="false" w:qFormat="true"/>
    <w:lsdException w:name="Medium List 1" w:uiPriority="65" w:semiHidden="false" w:unhideWhenUsed="false"/>
    <w:lsdException w:name="Colorful Shading Accent 1" w:uiPriority="71" w:semiHidden="false" w:unhideWhenUsed="false"/>
    <w:lsdException w:name="line number" w:uiPriority="0" w:semiHidden="false" w:unhideWhenUsed="false"/>
    <w:lsdException w:name="List Bullet 5" w:uiPriority="0" w:semiHidden="false" w:unhideWhenUsed="false"/>
    <w:lsdException w:name="Medium Shading 2 Accent 3" w:uiPriority="64" w:semiHidden="false" w:unhideWhenUsed="false"/>
    <w:lsdException w:name="Light Shading Accent 6" w:uiPriority="60" w:semiHidden="false" w:unhideWhenUsed="false"/>
    <w:lsdException w:name="toc 6" w:uiPriority="0" w:semiHidden="false" w:unhideWhenUsed="false"/>
    <w:lsdException w:name="Medium List 1 Accent 3" w:uiPriority="65" w:semiHidden="false" w:unhideWhenUsed="false"/>
    <w:lsdException w:name="Table Subtle 2" w:uiPriority="0"/>
    <w:lsdException w:name="Colorful List Accent 3" w:uiPriority="72" w:semiHidden="false" w:unhideWhenUsed="false"/>
    <w:lsdException w:name="Colorful Shading Accent 6" w:uiPriority="71" w:semiHidden="false" w:unhideWhenUsed="false"/>
    <w:lsdException w:name="FollowedHyperlink" w:uiPriority="0" w:semiHidden="false" w:unhideWhenUsed="false"/>
    <w:lsdException w:name="HTML Definition" w:uiPriority="0" w:semiHidden="false" w:unhideWhenUsed="false"/>
    <w:lsdException w:name="Table List 3" w:uiPriority="0"/>
    <w:lsdException w:name="Colorful List" w:uiPriority="72" w:semiHidden="false" w:unhideWhenUsed="false"/>
    <w:lsdException w:name="Body Text Indent 2" w:uiPriority="0" w:semiHidden="false" w:unhideWhenUsed="false" w:qFormat="true"/>
    <w:lsdException w:name="HTML Cite" w:uiPriority="0" w:semiHidden="false" w:unhideWhenUsed="false"/>
    <w:lsdException w:name="heading 1" w:uiPriority="0" w:semiHidden="false" w:unhideWhenUsed="false" w:qFormat="true"/>
    <w:lsdException w:name="Table Columns 3" w:uiPriority="0"/>
    <w:lsdException w:name="Signature" w:uiPriority="0" w:semiHidden="false" w:unhideWhenUsed="false"/>
    <w:lsdException w:name="heading 8" w:uiPriority="0" w:qFormat="true"/>
    <w:lsdException w:name="Medium Shading 1 Accent 3" w:uiPriority="63" w:semiHidden="false" w:unhideWhenUsed="false"/>
    <w:lsdException w:name="Salutation" w:uiPriority="0" w:semiHidden="false" w:unhideWhenUsed="false"/>
    <w:lsdException w:name="List" w:uiPriority="0" w:semiHidden="false" w:unhideWhenUsed="false"/>
    <w:lsdException w:name="Colorful Shading Accent 4" w:uiPriority="71" w:semiHidden="false" w:unhideWhenUsed="false"/>
    <w:lsdException w:name="Colorful Grid" w:uiPriority="73" w:semiHidden="false" w:unhideWhenUsed="false"/>
    <w:lsdException w:name="HTML Code" w:uiPriority="0" w:semiHidden="false" w:unhideWhenUsed="false"/>
    <w:lsdException w:name="Closing" w:uiPriority="0" w:semiHidden="false" w:unhideWhenUsed="false"/>
    <w:lsdException w:name="Medium Shading 2 Accent 4" w:uiPriority="64" w:semiHidden="false" w:unhideWhenUsed="false"/>
    <w:lsdException w:name="Table Grid 7" w:uiPriority="0"/>
    <w:lsdException w:name="toc 2" w:uiPriority="0" w:semiHidden="false" w:unhideWhenUsed="false"/>
    <w:lsdException w:name="Table Elegant" w:uiPriority="0"/>
    <w:lsdException w:name="Colorful List Accent 4" w:uiPriority="72" w:semiHidden="false" w:unhideWhenUsed="false"/>
    <w:lsdException w:name="Table Simple 1" w:uiPriority="0"/>
    <w:lsdException w:name="Light Shading Accent 5" w:uiPriority="60" w:semiHidden="false" w:unhideWhenUsed="false"/>
    <w:lsdException w:name="Medium List 2 Accent 4" w:uiPriority="66" w:semiHidden="false" w:unhideWhenUsed="false"/>
    <w:lsdException w:name="caption" w:uiPriority="0" w:qFormat="true"/>
    <w:lsdException w:name="Colorful Grid Accent 2" w:uiPriority="73" w:semiHidden="false" w:unhideWhenUsed="false"/>
    <w:lsdException w:name="Table Classic 1" w:uiPriority="0"/>
    <w:lsdException w:name="Table List 6" w:uiPriority="0"/>
    <w:lsdException w:name="index 6" w:uiPriority="0" w:semiHidden="false" w:unhideWhenUsed="false"/>
    <w:lsdException w:name="Table 3D effects 3" w:uiPriority="0"/>
    <w:lsdException w:name="Colorful Grid Accent 4" w:uiPriority="73" w:semiHidden="false" w:unhideWhenUsed="false"/>
    <w:lsdException w:name="Table List 1" w:uiPriority="0"/>
    <w:lsdException w:name="Table Columns 2" w:uiPriority="0"/>
    <w:lsdException w:name="Medium List 1 Accent 6" w:uiPriority="65" w:semiHidden="false" w:unhideWhenUsed="false"/>
    <w:lsdException w:name="Dark List Accent 4" w:uiPriority="70" w:semiHidden="false" w:unhideWhenUsed="false"/>
    <w:lsdException w:name="Medium List 1 Accent 5" w:uiPriority="65" w:semiHidden="false" w:unhideWhenUsed="false"/>
    <w:lsdException w:name="List Bullet 4" w:uiPriority="0" w:semiHidden="false" w:unhideWhenUsed="false"/>
    <w:lsdException w:name="toc 4" w:uiPriority="0" w:semiHidden="false" w:unhideWhenUsed="false"/>
    <w:lsdException w:name="Light List Accent 2" w:uiPriority="61" w:semiHidden="false" w:unhideWhenUsed="false"/>
    <w:lsdException w:name="Default Paragraph Font" w:uiPriority="1" w:qFormat="true"/>
    <w:lsdException w:name="Body Text" w:uiPriority="0" w:semiHidden="false" w:unhideWhenUsed="false" w:qFormat="true"/>
    <w:lsdException w:name="index 9" w:uiPriority="0" w:semiHidden="false" w:unhideWhenUsed="false"/>
    <w:lsdException w:name="Medium Shading 1 Accent 2" w:uiPriority="63" w:semiHidden="false" w:unhideWhenUsed="false"/>
    <w:lsdException w:name="Subtitle" w:uiPriority="0" w:semiHidden="false" w:unhideWhenUsed="false" w:qFormat="true"/>
    <w:lsdException w:name="Medium Grid 3 Accent 2" w:uiPriority="69" w:semiHidden="false" w:unhideWhenUsed="false"/>
    <w:lsdException w:name="index 3" w:uiPriority="0" w:semiHidden="false" w:unhideWhenUsed="false"/>
    <w:lsdException w:name="Light Shading Accent 2" w:uiPriority="60" w:semiHidden="false" w:unhideWhenUsed="false"/>
    <w:lsdException w:name="index 7" w:uiPriority="99" w:semiHidden="false" w:qFormat="true"/>
    <w:lsdException w:name="Normal Indent" w:uiPriority="99" w:semiHidden="false" w:qFormat="true"/>
    <w:lsdException w:name="toc 7" w:uiPriority="0" w:semiHidden="false" w:unhideWhenUsed="false"/>
    <w:lsdException w:name="footer" w:uiPriority="99" w:semiHidden="false" w:unhideWhenUsed="false" w:qFormat="true"/>
    <w:lsdException w:name="Table Web 3" w:uiPriority="0"/>
    <w:lsdException w:name="Colorful Grid Accent 3" w:uiPriority="73" w:semiHidden="false" w:unhideWhenUsed="false"/>
    <w:lsdException w:name="HTML Acronym" w:uiPriority="0" w:semiHidden="false" w:unhideWhenUsed="false"/>
    <w:lsdException w:name="Normal (Web)" w:uiPriority="0" w:semiHidden="false" w:unhideWhenUsed="false" w:qFormat="true"/>
    <w:lsdException w:name="List Number 4" w:uiPriority="0" w:semiHidden="false" w:unhideWhenUsed="false"/>
    <w:lsdException w:name="Table List 2" w:uiPriority="0"/>
    <w:lsdException w:name="heading 6" w:uiPriority="0" w:qFormat="true"/>
    <w:lsdException w:name="Medium Grid 1 Accent 1" w:uiPriority="67" w:semiHidden="false" w:unhideWhenUsed="false"/>
    <w:lsdException w:name="List Continue 4" w:uiPriority="0" w:semiHidden="false" w:unhideWhenUsed="false"/>
    <w:lsdException w:name="Medium Shading 2 Accent 2" w:uiPriority="64" w:semiHidden="false" w:unhideWhenUsed="false"/>
    <w:lsdException w:name="Light List Accent 1" w:uiPriority="61" w:semiHidden="false" w:unhideWhenUsed="false"/>
    <w:lsdException w:name="Light List Accent 4" w:uiPriority="61" w:semiHidden="false" w:unhideWhenUsed="false"/>
    <w:lsdException w:name="Strong" w:uiPriority="0" w:semiHidden="false" w:unhideWhenUsed="false" w:qFormat="true"/>
    <w:lsdException w:name="heading 3" w:uiPriority="0" w:semiHidden="false" w:qFormat="true"/>
    <w:lsdException w:name="Table Simple 2" w:uiPriority="0"/>
    <w:lsdException w:name="HTML Address" w:uiPriority="0" w:semiHidden="false" w:unhideWhenUsed="false"/>
    <w:lsdException w:name="envelope return" w:uiPriority="0" w:semiHidden="false" w:unhideWhenUsed="false"/>
    <w:lsdException w:name="Medium Grid 3 Accent 1" w:uiPriority="69" w:semiHidden="false" w:unhideWhenUsed="false"/>
    <w:lsdException w:name="Colorful Shading Accent 3" w:uiPriority="71" w:semiHidden="false" w:unhideWhenUsed="false"/>
    <w:lsdException w:name="Colorful Shading Accent 5" w:uiPriority="71" w:semiHidden="false" w:unhideWhenUsed="false"/>
    <w:lsdException w:name="Medium List 2 Accent 3" w:uiPriority="66" w:semiHidden="false" w:unhideWhenUsed="false"/>
    <w:lsdException w:name="Table Subtle 1" w:uiPriority="0"/>
    <w:lsdException w:name="Table Classic 4" w:uiPriority="0"/>
    <w:lsdException w:name="Table Grid 2" w:uiPriority="0"/>
    <w:lsdException w:name="Medium Grid 2" w:uiPriority="68" w:semiHidden="false" w:unhideWhenUsed="false"/>
    <w:lsdException w:name="Medium Grid 2 Accent 3" w:uiPriority="68" w:semiHidden="false" w:unhideWhenUsed="false"/>
    <w:lsdException w:name="table of authorities" w:uiPriority="0" w:semiHidden="false" w:unhideWhenUsed="false" w:qFormat="true"/>
    <w:lsdException w:name="Medium Grid 1 Accent 6" w:uiPriority="67" w:semiHidden="false" w:unhideWhenUsed="false"/>
    <w:lsdException w:name="Medium Grid 1 Accent 2" w:uiPriority="67" w:semiHidden="false" w:unhideWhenUsed="false"/>
    <w:lsdException w:name="Normal Table" w:uiPriority="99" w:qFormat="true"/>
    <w:lsdException w:name="annotation subject" w:uiPriority="0" w:semiHidden="false" w:unhideWhenUsed="false" w:qFormat="true"/>
    <w:lsdException w:name="HTML Keyboard" w:uiPriority="0" w:semiHidden="false" w:unhideWhenUsed="false"/>
    <w:lsdException w:name="Balloon Text" w:uiPriority="0" w:semiHidden="false" w:unhideWhenUsed="false" w:qFormat="true"/>
    <w:lsdException w:name="Table Grid 6" w:uiPriority="0"/>
    <w:lsdException w:name="Date" w:uiPriority="0" w:semiHidden="false" w:unhideWhenUsed="false"/>
    <w:lsdException w:name="Hyperlink" w:uiPriority="0" w:semiHidden="false" w:qFormat="true"/>
    <w:lsdException w:name="Dark List Accent 6" w:uiPriority="70" w:semiHidden="false" w:unhideWhenUsed="false"/>
    <w:lsdException w:name="Colorful List Accent 5" w:uiPriority="72" w:semiHidden="false" w:unhideWhenUsed="false"/>
    <w:lsdException w:name="Table Web 1" w:uiPriority="0"/>
    <w:lsdException w:name="Body Text 3" w:uiPriority="0" w:semiHidden="false" w:unhideWhenUsed="false"/>
    <w:lsdException w:name="Medium Grid 2 Accent 5" w:uiPriority="68" w:semiHidden="false" w:unhideWhenUsed="false"/>
    <w:lsdException w:name="Dark List Accent 2" w:uiPriority="70" w:semiHidden="false" w:unhideWhenUsed="false"/>
    <w:lsdException w:name="Medium Grid 3 Accent 4" w:uiPriority="69" w:semiHidden="false" w:unhideWhenUsed="false"/>
    <w:lsdException w:name="Light Grid Accent 4" w:uiPriority="62" w:semiHidden="false" w:unhideWhenUsed="false"/>
    <w:lsdException w:name="Medium List 2 Accent 5" w:uiPriority="66" w:semiHidden="false" w:unhideWhenUsed="false"/>
    <w:lsdException w:name="Colorful Shading" w:uiPriority="71" w:semiHidden="false" w:unhideWhenUsed="false"/>
    <w:lsdException w:name="heading 7" w:uiPriority="0" w:qFormat="true"/>
    <w:lsdException w:name="Light Grid Accent 1" w:uiPriority="62" w:semiHidden="false" w:unhideWhenUsed="false"/>
    <w:lsdException w:name="Table Grid 1" w:uiPriority="0"/>
    <w:lsdException w:name="toc 1" w:uiPriority="39" w:semiHidden="false" w:qFormat="true"/>
    <w:lsdException w:name="Medium List 2 Accent 2" w:uiPriority="66" w:semiHidden="false" w:unhideWhenUsed="false"/>
    <w:lsdException w:name="List Number 2" w:uiPriority="0" w:semiHidden="false" w:unhideWhenUsed="false"/>
    <w:lsdException w:name="Light List Accent 5" w:uiPriority="61" w:semiHidden="false" w:unhideWhenUsed="false"/>
    <w:lsdException w:name="List Continue 3" w:uiPriority="0" w:semiHidden="false" w:unhideWhenUsed="false"/>
    <w:lsdException w:name="page number" w:uiPriority="0" w:semiHidden="false" w:unhideWhenUsed="false"/>
    <w:lsdException w:name="List 3" w:uiPriority="0" w:semiHidden="false" w:unhideWhenUsed="false"/>
    <w:lsdException w:name="Dark List Accent 1" w:uiPriority="70" w:semiHidden="false" w:unhideWhenUsed="false"/>
    <w:lsdException w:name="endnote text" w:uiPriority="0" w:semiHidden="false" w:unhideWhenUsed="false"/>
    <w:lsdException w:name="Medium Grid 1 Accent 4" w:uiPriority="67" w:semiHidden="false" w:unhideWhenUsed="false"/>
    <w:lsdException w:name="Medium Grid 3 Accent 5" w:uiPriority="69" w:semiHidden="false" w:unhideWhenUsed="false"/>
    <w:lsdException w:name="Medium Grid 2 Accent 6" w:uiPriority="68" w:semiHidden="false" w:unhideWhenUsed="false"/>
    <w:lsdException w:name="footnote text" w:uiPriority="99" w:semiHidden="false" w:qFormat="true"/>
    <w:lsdException w:name="Message Header" w:uiPriority="0" w:semiHidden="false" w:unhideWhenUsed="false"/>
    <w:lsdException w:name="Medium Grid 2 Accent 2" w:uiPriority="68" w:semiHidden="false" w:unhideWhenUsed="false"/>
    <w:lsdException w:name="HTML Preformatted" w:uiPriority="0" w:semiHidden="false" w:unhideWhenUsed="false"/>
    <w:lsdException w:name="table of figures" w:uiPriority="0" w:semiHidden="false" w:unhideWhenUsed="false"/>
    <w:lsdException w:name="Table Web 2" w:uiPriority="0"/>
    <w:lsdException w:name="Light Shading Accent 1" w:uiPriority="60" w:semiHidden="false" w:unhideWhenUsed="false"/>
    <w:lsdException w:name="index 1" w:uiPriority="0" w:semiHidden="false" w:unhideWhenUsed="false"/>
    <w:lsdException w:name="heading 5" w:uiPriority="0" w:qFormat="true"/>
    <w:lsdException w:name="Table Colorful 3" w:uiPriority="0"/>
    <w:lsdException w:name="index 5" w:uiPriority="0" w:semiHidden="false" w:unhideWhenUsed="false"/>
    <w:lsdException w:name="Body Text First Indent 2" w:uiPriority="0" w:semiHidden="false" w:unhideWhenUsed="false" w:qFormat="true"/>
    <w:lsdException w:name="Light List Accent 3" w:uiPriority="61" w:semiHidden="false" w:unhideWhenUsed="false"/>
    <w:lsdException w:name="Colorful List Accent 2" w:uiPriority="72" w:semiHidden="false" w:unhideWhenUsed="false"/>
    <w:lsdException w:name="Body Text First Indent" w:uiPriority="0" w:semiHidden="false" w:unhideWhenUsed="false" w:qFormat="true"/>
    <w:lsdException w:name="List Bullet 2" w:uiPriority="0" w:semiHidden="false" w:unhideWhenUsed="false"/>
    <w:lsdException w:name="Table List 4" w:uiPriority="0"/>
    <w:lsdException w:name="Table Simple 3" w:uiPriority="0"/>
    <w:lsdException w:name="Table Columns 4" w:uiPriority="0"/>
    <w:lsdException w:name="List Number 3" w:uiPriority="0" w:semiHidden="false" w:unhideWhenUsed="false"/>
    <w:lsdException w:name="footnote reference" w:uiPriority="99" w:semiHidden="false" w:qFormat="true"/>
    <w:lsdException w:name="Table Colorful 1" w:uiPriority="0"/>
    <w:lsdException w:name="Table Grid 3" w:uiPriority="0"/>
    <w:lsdException w:name="Medium Shading 1 Accent 6" w:uiPriority="63" w:semiHidden="false" w:unhideWhenUsed="false"/>
    <w:lsdException w:name="Table Classic 3" w:uiPriority="0"/>
    <w:lsdException w:name="Medium Shading 2 Accent 5" w:uiPriority="64" w:semiHidden="false" w:unhideWhenUsed="false"/>
    <w:lsdException w:name="List 4" w:uiPriority="0" w:semiHidden="false" w:unhideWhenUsed="false"/>
    <w:lsdException w:name="Medium Shading 2 Accent 6" w:uiPriority="64" w:semiHidden="false" w:unhideWhenUsed="false"/>
    <w:lsdException w:name="toc 3" w:uiPriority="0" w:semiHidden="false" w:unhideWhenUsed="false"/>
    <w:lsdException w:name="toc 8" w:uiPriority="0" w:semiHidden="false" w:unhideWhenUsed="false"/>
    <w:lsdException w:name="Table 3D effects 1" w:uiPriority="0"/>
    <w:lsdException w:name="macro" w:uiPriority="0" w:semiHidden="false" w:unhideWhenUsed="false"/>
    <w:lsdException w:name="E-mail Signature" w:uiPriority="0" w:semiHidden="false" w:unhideWhenUsed="false"/>
    <w:lsdException w:name="Dark List Accent 5" w:uiPriority="70" w:semiHidden="false" w:unhideWhenUsed="false"/>
    <w:lsdException w:name="toc 9" w:uiPriority="0" w:semiHidden="false" w:unhideWhenUsed="false"/>
    <w:lsdException w:name="Dark List" w:uiPriority="70" w:semiHidden="false" w:unhideWhenUsed="false"/>
    <w:lsdException w:name="Light List" w:uiPriority="61" w:semiHidden="false" w:unhideWhenUsed="false"/>
    <w:lsdException w:name="Table List 8" w:uiPriority="0"/>
    <w:lsdException w:name="Table List 5" w:uiPriority="0"/>
    <w:lsdException w:name="HTML Typewriter" w:uiPriority="0" w:semiHidden="false" w:unhideWhenUsed="false"/>
    <w:lsdException w:name="Light Shading" w:uiPriority="60" w:semiHidden="false" w:unhideWhenUsed="false"/>
    <w:lsdException w:name="Medium List 2" w:uiPriority="66" w:semiHidden="false" w:unhideWhenUsed="false"/>
    <w:lsdException w:name="Table Columns 1" w:uiPriority="0"/>
    <w:lsdException w:name="toc 5" w:uiPriority="0" w:semiHidden="false" w:unhideWhenUsed="false"/>
    <w:lsdException w:name="index heading" w:uiPriority="0" w:semiHidden="false" w:unhideWhenUsed="false"/>
    <w:lsdException w:name="List Continue 5" w:uiPriority="0" w:semiHidden="false" w:unhideWhenUsed="false"/>
    <w:lsdException w:name="Table Professional" w:uiPriority="0"/>
    <w:lsdException w:name="Note Heading" w:uiPriority="0" w:semiHidden="false" w:unhideWhenUsed="false"/>
    <w:lsdException w:name="Normal" w:uiPriority="0" w:semiHidden="false" w:unhideWhenUsed="false" w:qFormat="true"/>
    <w:lsdException w:name="Light Shading Accent 4" w:uiPriority="60" w:semiHidden="false" w:unhideWhenUsed="false"/>
    <w:lsdException w:name="Dark List Accent 3" w:uiPriority="70" w:semiHidden="false" w:unhideWhenUsed="false"/>
    <w:lsdException w:name="List Paragraph" w:uiPriority="34" w:semiHidden="false" w:unhideWhenUsed="false" w:qFormat="true"/>
    <w:lsdException w:name="Medium Shading 2" w:uiPriority="64" w:semiHidden="false" w:unhideWhenUsed="false"/>
    <w:lsdException w:name="List Number 5" w:uiPriority="0" w:semiHidden="false" w:unhideWhenUsed="false"/>
    <w:lsdException w:name="index 2" w:uiPriority="0" w:semiHidden="false" w:unhideWhenUsed="false"/>
    <w:lsdException w:name="Table Grid 5" w:uiPriority="0"/>
    <w:lsdException w:name="Table 3D effects 2" w:uiPriority="0"/>
    <w:lsdException w:name="Colorful List Accent 6" w:uiPriority="72" w:semiHidden="false" w:unhideWhenUsed="false"/>
    <w:lsdException w:name="Table Theme" w:uiPriority="0"/>
    <w:lsdException w:name="Colorful Shading Accent 2" w:uiPriority="71" w:semiHidden="false" w:unhideWhenUsed="false"/>
    <w:lsdException w:name="Light Grid Accent 3" w:uiPriority="62" w:semiHidden="false" w:unhideWhenUsed="false"/>
    <w:lsdException w:name="Light Grid Accent 2" w:uiPriority="62" w:semiHidden="false" w:unhideWhenUsed="false"/>
    <w:lsdException w:name="Medium List 1 Accent 2" w:uiPriority="65" w:semiHidden="false" w:unhideWhenUsed="false"/>
    <w:lsdException w:name="Light List Accent 6" w:uiPriority="61" w:semiHidden="false" w:unhideWhenUsed="false"/>
    <w:lsdException w:name="Light Grid Accent 5" w:uiPriority="62" w:semiHidden="false" w:unhideWhenUsed="false"/>
    <w:lsdException w:name="Medium List 1 Accent 1" w:uiPriority="65" w:semiHidden="false" w:unhideWhenUsed="false"/>
    <w:lsdException w:name="Medium Grid 1 Accent 5" w:uiPriority="67" w:semiHidden="false" w:unhideWhenUsed="false"/>
    <w:lsdException w:name="Light Shading Accent 3" w:uiPriority="60" w:semiHidden="false" w:unhideWhenUsed="false"/>
    <w:lsdException w:name="Colorful List Accent 1" w:uiPriority="72" w:semiHidden="false" w:unhideWhenUsed="false"/>
    <w:lsdException w:name="Table Classic 2" w:uiPriority="0"/>
    <w:lsdException w:name="Medium Grid 2 Accent 4" w:uiPriority="68" w:semiHidden="false" w:unhideWhenUsed="false"/>
    <w:lsdException w:name="Document Map" w:uiPriority="0" w:semiHidden="false" w:unhideWhenUsed="false"/>
    <w:lsdException w:name="List 2" w:uiPriority="0" w:semiHidden="false" w:unhideWhenUsed="false"/>
    <w:lsdException w:name="Medium List 2 Accent 1" w:uiPriority="66" w:semiHidden="false" w:unhideWhenUsed="false"/>
    <w:lsdException w:name="Medium Grid 3 Accent 6" w:uiPriority="69" w:semiHidden="false" w:unhideWhenUsed="false"/>
    <w:lsdException w:name="annotation text" w:uiPriority="0" w:semiHidden="false" w:unhideWhenUsed="false" w:qFormat="true"/>
    <w:lsdException w:name="List Continue" w:uiPriority="0" w:semiHidden="false" w:unhideWhenUsed="false"/>
    <w:lsdException w:name="header" w:uiPriority="0" w:semiHidden="false" w:unhideWhenUsed="false" w:qFormat="true"/>
    <w:lsdException w:name="Colorful Grid Accent 6" w:uiPriority="73" w:semiHidden="false" w:unhideWhenUsed="false"/>
    <w:lsdException w:name="List Continue 2" w:uiPriority="0" w:semiHidden="false" w:unhideWhenUsed="false"/>
    <w:lsdException w:name="Light Grid Accent 6" w:uiPriority="62" w:semiHidden="false" w:unhideWhenUsed="false"/>
    <w:lsdException w:name="List Number" w:uiPriority="0" w:semiHidden="false" w:unhideWhenUsed="false"/>
    <w:lsdException w:name="Emphasis" w:uiPriority="0" w:semiHidden="false" w:unhideWhenUsed="false" w:qFormat="true"/>
    <w:lsdException w:name="List Bullet" w:uiPriority="0" w:semiHidden="false" w:unhideWhenUsed="false"/>
    <w:lsdException w:name="Medium Shading 1 Accent 1" w:uiPriority="63" w:semiHidden="false" w:unhideWhenUsed="false"/>
    <w:lsdException w:name="envelope address" w:uiPriority="0" w:semiHidden="false" w:unhideWhenUsed="false"/>
    <w:lsdException w:name="List Bullet 3" w:uiPriority="0" w:semiHidden="false" w:unhideWhenUsed="false"/>
    <w:lsdException w:name="endnote reference" w:uiPriority="0" w:semiHidden="false" w:unhideWhenUsed="false"/>
    <w:lsdException w:name="Medium Shading 2 Accent 1" w:uiPriority="64" w:semiHidden="false" w:unhideWhenUsed="false"/>
    <w:lsdException w:name="Body Text Indent" w:uiPriority="0" w:semiHidden="false" w:unhideWhenUsed="false" w:qFormat="true"/>
    <w:lsdException w:name="heading 4" w:uiPriority="0" w:qFormat="true"/>
    <w:lsdException w:name="Medium Shading 1 Accent 5" w:uiPriority="63" w:semiHidden="false" w:unhideWhenUsed="false"/>
    <w:lsdException w:name="Medium Shading 1" w:uiPriority="63" w:semiHidden="false" w:unhideWhenUsed="false"/>
    <w:lsdException w:name="Title" w:uiPriority="0" w:semiHidden="false" w:unhideWhenUsed="false" w:qFormat="true"/>
    <w:lsdException w:name="Medium Grid 3" w:uiPriority="69" w:semiHidden="false" w:unhideWhenUsed="false"/>
    <w:lsdException w:name="Colorful Grid Accent 5" w:uiPriority="73" w:semiHidden="false" w:unhideWhenUsed="false"/>
    <w:lsdException w:name="Medium List 1 Accent 4" w:uiPriority="65" w:semiHidden="false" w:unhideWhenUsed="false"/>
    <w:lsdException w:name="Medium Grid 3 Accent 3" w:uiPriority="69" w:semiHidden="false" w:unhideWhenUsed="false"/>
    <w:lsdException w:name="Medium Shading 1 Accent 4" w:uiPriority="63" w:semiHidden="false" w:unhideWhenUsed="false"/>
    <w:lsdException w:name="Body Text 2" w:uiPriority="99" w:semiHidden="false" w:qFormat="true"/>
    <w:lsdException w:name="Medium List 2 Accent 6" w:uiPriority="66" w:semiHidden="false" w:unhideWhenUsed="false"/>
    <w:lsdException w:name="Block Text" w:uiPriority="0" w:semiHidden="false" w:unhideWhenUsed="false"/>
    <w:lsdException w:name="index 4" w:uiPriority="0" w:semiHidden="false" w:unhideWhenUsed="false"/>
    <w:lsdException w:name="heading 9" w:uiPriority="0" w:qFormat="true"/>
    <w:lsdException w:name="Table Grid 4" w:uiPriority="0"/>
    <w:lsdException w:name="Medium Grid 2 Accent 1" w:uiPriority="68" w:semiHidden="false" w:unhideWhenUsed="false"/>
    <w:lsdException w:name="Table Grid 8" w:uiPriority="0"/>
    <w:lsdException w:name="Table List 7" w:uiPriority="0"/>
  </w:latentStyles>
  <w:style w:type="paragraph" w:styleId="00001e">
    <w:name w:val="Body Text First Indent 2"/>
    <w:basedOn w:val="00000f"/>
    <w:next w:val="000003"/>
    <w:link w:val="00001f"/>
    <w:autoRedefine/>
    <w:uiPriority w:val="0"/>
    <w:qFormat/>
    <w:pPr>
      <w:adjustRightInd w:val="false"/>
      <w:snapToGrid w:val="false"/>
      <w:spacing w:after="0" w:line="360" w:lineRule="auto"/>
      <w:ind w:left="0" w:leftChars="0" w:firstLine="420" w:firstLineChars="200"/>
    </w:pPr>
    <w:rPr>
      <w:rFonts w:ascii="楷体_GB2312" w:hAnsi="宋体" w:eastAsia="楷体_GB2312" w:cs="Times New Roman"/>
      <w:szCs w:val="22"/>
    </w:rPr>
  </w:style>
  <w:style w:type="character" w:styleId="000031" w:customStyle="true">
    <w:name w:val="fontstyle01"/>
    <w:basedOn w:val="000007"/>
    <w:autoRedefine/>
    <w:uiPriority w:val="0"/>
    <w:qFormat/>
    <w:rPr>
      <w:rFonts w:ascii="宋体" w:hAnsi="宋体" w:eastAsia="宋体" w:cs="宋体"/>
      <w:color w:val="000000"/>
      <w:sz w:val="28"/>
      <w:szCs w:val="28"/>
    </w:rPr>
  </w:style>
  <w:style w:type="character" w:styleId="000032" w:customStyle="true">
    <w:name w:val="font141"/>
    <w:basedOn w:val="000007"/>
    <w:uiPriority w:val="0"/>
    <w:qFormat/>
    <w:rPr>
      <w:rFonts w:hint="eastAsia" w:ascii="宋体" w:hAnsi="宋体" w:eastAsia="宋体" w:cs="宋体"/>
      <w:color w:val="000000"/>
      <w:sz w:val="14"/>
      <w:szCs w:val="14"/>
      <w:u w:val="none"/>
    </w:rPr>
  </w:style>
  <w:style w:type="character" w:styleId="000041" w:customStyle="true">
    <w:name w:val="font31"/>
    <w:basedOn w:val="000007"/>
    <w:autoRedefine/>
    <w:uiPriority w:val="0"/>
    <w:qFormat/>
    <w:rPr>
      <w:rFonts w:hint="eastAsia" w:ascii="宋体" w:hAnsi="宋体" w:eastAsia="宋体" w:cs="宋体"/>
      <w:b/>
      <w:color w:val="000000"/>
      <w:sz w:val="18"/>
      <w:szCs w:val="18"/>
      <w:u w:val="none"/>
    </w:rPr>
  </w:style>
  <w:style w:type="paragraph" w:styleId="000004">
    <w:name w:val="heading 1"/>
    <w:basedOn w:val="000003"/>
    <w:next w:val="000003"/>
    <w:autoRedefine/>
    <w:uiPriority w:val="0"/>
    <w:qFormat/>
    <w:pPr>
      <w:keepNext/>
      <w:keepLines/>
      <w:spacing w:before="340" w:after="330" w:line="576" w:lineRule="auto"/>
      <w:outlineLvl w:val="0"/>
    </w:pPr>
    <w:rPr>
      <w:rFonts w:ascii="Times New Roman" w:hAnsi="Times New Roman" w:eastAsia="宋体" w:cs="Times New Roman"/>
      <w:b/>
      <w:kern w:val="44"/>
      <w:sz w:val="44"/>
      <w:szCs w:val="20"/>
    </w:rPr>
  </w:style>
  <w:style w:type="character" w:styleId="000034" w:customStyle="true">
    <w:name w:val="font121"/>
    <w:basedOn w:val="000007"/>
    <w:autoRedefine/>
    <w:uiPriority w:val="0"/>
    <w:qFormat/>
    <w:rPr>
      <w:rFonts w:hint="eastAsia" w:ascii="宋体" w:hAnsi="宋体" w:eastAsia="宋体" w:cs="宋体"/>
      <w:i/>
      <w:iCs/>
      <w:color w:val="000000"/>
      <w:sz w:val="24"/>
      <w:szCs w:val="24"/>
      <w:u w:val="none"/>
    </w:rPr>
  </w:style>
  <w:style w:type="character" w:styleId="000007" w:default="true">
    <w:name w:val="Default Paragraph Font"/>
    <w:autoRedefine/>
    <w:uiPriority w:val="1"/>
    <w:semiHidden/>
    <w:unhideWhenUsed/>
    <w:qFormat/>
  </w:style>
  <w:style w:type="character" w:styleId="00001f" w:customStyle="true">
    <w:name w:val="正文文本首行缩进 2 字符"/>
    <w:basedOn w:val="000011"/>
    <w:link w:val="00001e"/>
    <w:autoRedefine/>
    <w:uiPriority w:val="0"/>
    <w:qFormat/>
    <w:rPr>
      <w:rFonts w:ascii="楷体_GB2312" w:hAnsi="宋体" w:eastAsia="楷体_GB2312" w:cstheme="minorBidi"/>
      <w:kern w:val="2"/>
      <w:sz w:val="21"/>
      <w:szCs w:val="22"/>
    </w:rPr>
  </w:style>
  <w:style w:type="character" w:styleId="000037" w:customStyle="true">
    <w:name w:val="font61"/>
    <w:basedOn w:val="000007"/>
    <w:autoRedefine/>
    <w:uiPriority w:val="0"/>
    <w:qFormat/>
    <w:rPr>
      <w:rFonts w:hint="default" w:ascii="Times New Roman" w:hAnsi="Times New Roman" w:cs="Times New Roman"/>
      <w:color w:val="000000"/>
      <w:sz w:val="24"/>
      <w:szCs w:val="24"/>
      <w:u w:val="none"/>
    </w:rPr>
  </w:style>
  <w:style w:type="paragraph" w:styleId="000019">
    <w:name w:val="footnote text"/>
    <w:basedOn w:val="000003"/>
    <w:autoRedefine/>
    <w:uiPriority w:val="99"/>
    <w:unhideWhenUsed/>
    <w:qFormat/>
    <w:pPr>
      <w:snapToGrid w:val="false"/>
      <w:jc w:val="left"/>
    </w:pPr>
    <w:rPr>
      <w:rFonts w:ascii="Times New Roman" w:hAnsi="Times New Roman" w:eastAsia="宋体" w:cs="Times New Roman"/>
      <w:sz w:val="18"/>
      <w:szCs w:val="18"/>
    </w:rPr>
  </w:style>
  <w:style w:type="paragraph" w:styleId="00002f" w:customStyle="true">
    <w:name w:val="列表段落1"/>
    <w:basedOn w:val="000003"/>
    <w:autoRedefine/>
    <w:uiPriority w:val="99"/>
    <w:unhideWhenUsed/>
    <w:qFormat/>
    <w:pPr>
      <w:ind w:firstLine="420" w:firstLineChars="200"/>
    </w:pPr>
  </w:style>
  <w:style w:type="character" w:styleId="000021">
    <w:name w:val="Strong"/>
    <w:basedOn w:val="000007"/>
    <w:autoRedefine/>
    <w:uiPriority w:val="0"/>
    <w:qFormat/>
    <w:rPr>
      <w:b/>
      <w:bCs/>
    </w:rPr>
  </w:style>
  <w:style w:type="character" w:styleId="000014" w:customStyle="true">
    <w:name w:val="批注框文本 字符"/>
    <w:basedOn w:val="000007"/>
    <w:link w:val="000013"/>
    <w:autoRedefine/>
    <w:uiPriority w:val="0"/>
    <w:qFormat/>
    <w:rPr>
      <w:kern w:val="2"/>
      <w:sz w:val="18"/>
      <w:szCs w:val="18"/>
    </w:rPr>
  </w:style>
  <w:style w:type="table" w:styleId="000008" w:default="true">
    <w:name w:val="Normal Table"/>
    <w:autoRedefine/>
    <w:uiPriority w:val="99"/>
    <w:semiHidden/>
    <w:unhideWhenUsed/>
    <w:qFormat/>
    <w:tblPr>
      <w:tblCellMar>
        <w:top w:w="0" w:type="dxa"/>
        <w:left w:w="108" w:type="dxa"/>
        <w:bottom w:w="0" w:type="dxa"/>
        <w:right w:w="108" w:type="dxa"/>
      </w:tblCellMar>
    </w:tblPr>
  </w:style>
  <w:style w:type="character" w:styleId="000023">
    <w:name w:val="annotation reference"/>
    <w:basedOn w:val="000007"/>
    <w:autoRedefine/>
    <w:uiPriority w:val="0"/>
    <w:qFormat/>
    <w:rPr>
      <w:sz w:val="21"/>
      <w:szCs w:val="21"/>
    </w:rPr>
  </w:style>
  <w:style w:type="paragraph" w:styleId="000012">
    <w:name w:val="Body Text Indent 2"/>
    <w:basedOn w:val="000003"/>
    <w:autoRedefine/>
    <w:uiPriority w:val="0"/>
    <w:qFormat/>
    <w:pPr>
      <w:spacing w:after="120" w:line="480" w:lineRule="auto"/>
      <w:ind w:left="420" w:leftChars="200"/>
    </w:pPr>
    <w:rPr>
      <w:rFonts w:ascii="Times New Roman" w:hAnsi="Times New Roman"/>
      <w:szCs w:val="24"/>
    </w:rPr>
  </w:style>
  <w:style w:type="character" w:styleId="00003d" w:customStyle="true">
    <w:name w:val="font181"/>
    <w:basedOn w:val="000007"/>
    <w:uiPriority w:val="0"/>
    <w:qFormat/>
    <w:rPr>
      <w:rFonts w:hint="default" w:ascii="Times New Roman" w:hAnsi="Times New Roman" w:cs="Times New Roman"/>
      <w:color w:val="000000"/>
      <w:sz w:val="14"/>
      <w:szCs w:val="14"/>
      <w:u w:val="none"/>
    </w:rPr>
  </w:style>
  <w:style w:type="character" w:styleId="00000c" w:customStyle="true">
    <w:name w:val="批注文字 字符"/>
    <w:basedOn w:val="000007"/>
    <w:link w:val="00000b"/>
    <w:autoRedefine/>
    <w:uiPriority w:val="0"/>
    <w:qFormat/>
    <w:rPr>
      <w:kern w:val="2"/>
      <w:sz w:val="21"/>
      <w:szCs w:val="24"/>
    </w:rPr>
  </w:style>
  <w:style w:type="character" w:styleId="000036" w:customStyle="true">
    <w:name w:val="font122"/>
    <w:basedOn w:val="000007"/>
    <w:uiPriority w:val="0"/>
    <w:qFormat/>
    <w:rPr>
      <w:rFonts w:hint="eastAsia" w:ascii="宋体" w:hAnsi="宋体" w:eastAsia="宋体" w:cs="宋体"/>
      <w:color w:val="000000"/>
      <w:sz w:val="14"/>
      <w:szCs w:val="14"/>
      <w:u w:val="none"/>
    </w:rPr>
  </w:style>
  <w:style w:type="table" w:styleId="00002d" w:customStyle="true">
    <w:name w:val="网格型4"/>
    <w:basedOn w:val="000008"/>
    <w:autoRedefine/>
    <w:uiPriority w:val="3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6">
    <w:name w:val="heading 3"/>
    <w:basedOn w:val="000003"/>
    <w:next w:val="000003"/>
    <w:autoRedefine/>
    <w:uiPriority w:val="0"/>
    <w:unhideWhenUsed/>
    <w:qFormat/>
    <w:pPr>
      <w:keepNext/>
      <w:keepLines/>
      <w:widowControl/>
      <w:pBdr>
        <w:top w:val="single" w:color="FFFFFF" w:sz="4" w:space="27"/>
      </w:pBdr>
      <w:overflowPunct w:val="false"/>
      <w:snapToGrid w:val="false"/>
      <w:spacing w:after="544" w:line="549" w:lineRule="exact"/>
      <w:jc w:val="center"/>
      <w:outlineLvl w:val="2"/>
    </w:pPr>
    <w:rPr>
      <w:rFonts w:ascii="BIAODIAN" w:hAnsi="BIAODIAN" w:eastAsia="彩虹粗仿宋" w:cs="宋体"/>
      <w:kern w:val="0"/>
      <w:sz w:val="32"/>
      <w:szCs w:val="20"/>
    </w:rPr>
  </w:style>
  <w:style w:type="paragraph" w:styleId="000009">
    <w:name w:val="table of authorities"/>
    <w:basedOn w:val="000003"/>
    <w:next w:val="000003"/>
    <w:autoRedefine/>
    <w:uiPriority w:val="0"/>
    <w:qFormat/>
    <w:pPr>
      <w:ind w:left="420" w:leftChars="200"/>
    </w:pPr>
    <w:rPr>
      <w:rFonts w:ascii="Times New Roman" w:hAnsi="Times New Roman" w:cs="Times New Roman"/>
      <w:szCs w:val="20"/>
    </w:rPr>
  </w:style>
  <w:style w:type="character" w:styleId="00003e" w:customStyle="true">
    <w:name w:val="font41"/>
    <w:basedOn w:val="000007"/>
    <w:autoRedefine/>
    <w:uiPriority w:val="0"/>
    <w:qFormat/>
    <w:rPr>
      <w:rFonts w:ascii="宋体" w:hAnsi="宋体" w:eastAsia="宋体" w:cs="宋体"/>
      <w:color w:val="000000"/>
      <w:sz w:val="20"/>
      <w:szCs w:val="20"/>
      <w:u w:val="none"/>
    </w:rPr>
  </w:style>
  <w:style w:type="table" w:styleId="000020">
    <w:name w:val="Table Grid"/>
    <w:basedOn w:val="000008"/>
    <w:uiPriority w:val="0"/>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d">
    <w:name w:val="Body Text"/>
    <w:basedOn w:val="000003"/>
    <w:next w:val="00000e"/>
    <w:autoRedefine/>
    <w:uiPriority w:val="0"/>
    <w:qFormat/>
    <w:pPr>
      <w:spacing w:after="120"/>
    </w:pPr>
  </w:style>
  <w:style w:type="character" w:styleId="00003a" w:customStyle="true">
    <w:name w:val="font01"/>
    <w:basedOn w:val="000007"/>
    <w:autoRedefine/>
    <w:uiPriority w:val="0"/>
    <w:qFormat/>
    <w:rPr>
      <w:rFonts w:hint="eastAsia" w:ascii="仿宋" w:hAnsi="仿宋" w:eastAsia="仿宋" w:cs="仿宋"/>
      <w:color w:val="000000"/>
      <w:sz w:val="21"/>
      <w:szCs w:val="21"/>
      <w:u w:val="none"/>
    </w:rPr>
  </w:style>
  <w:style w:type="character" w:styleId="00001c" w:customStyle="true">
    <w:name w:val="批注主题 字符"/>
    <w:basedOn w:val="00000c"/>
    <w:link w:val="00001b"/>
    <w:autoRedefine/>
    <w:uiPriority w:val="0"/>
    <w:qFormat/>
    <w:rPr>
      <w:b/>
      <w:bCs/>
      <w:kern w:val="2"/>
      <w:sz w:val="21"/>
      <w:szCs w:val="24"/>
    </w:rPr>
  </w:style>
  <w:style w:type="character" w:styleId="000028" w:customStyle="true">
    <w:name w:val="font71"/>
    <w:basedOn w:val="000007"/>
    <w:autoRedefine/>
    <w:uiPriority w:val="0"/>
    <w:qFormat/>
    <w:rPr>
      <w:rFonts w:hint="eastAsia" w:ascii="宋体" w:hAnsi="宋体" w:eastAsia="宋体" w:cs="宋体"/>
      <w:color w:val="000000"/>
      <w:sz w:val="24"/>
      <w:szCs w:val="24"/>
      <w:u w:val="none"/>
    </w:rPr>
  </w:style>
  <w:style w:type="character" w:styleId="000024">
    <w:name w:val="footnote reference"/>
    <w:basedOn w:val="000007"/>
    <w:autoRedefine/>
    <w:uiPriority w:val="99"/>
    <w:unhideWhenUsed/>
    <w:qFormat/>
    <w:rPr>
      <w:vertAlign w:val="superscript"/>
    </w:rPr>
  </w:style>
  <w:style w:type="paragraph" w:styleId="00000f">
    <w:name w:val="Body Text Indent"/>
    <w:basedOn w:val="000003"/>
    <w:next w:val="000010"/>
    <w:link w:val="000011"/>
    <w:uiPriority w:val="0"/>
    <w:qFormat/>
    <w:pPr>
      <w:spacing w:after="120"/>
      <w:ind w:left="420" w:leftChars="200"/>
    </w:pPr>
  </w:style>
  <w:style w:type="paragraph" w:styleId="000003" w:default="true">
    <w:name w:val="Normal"/>
    <w:autoRedefine/>
    <w:uiPriority w:val="0"/>
    <w:qFormat/>
    <w:pPr>
      <w:widowControl w:val="false"/>
      <w:jc w:val="both"/>
    </w:pPr>
    <w:rPr>
      <w:rFonts w:asciiTheme="minorHAnsi" w:hAnsiTheme="minorHAnsi" w:eastAsiaTheme="minorEastAsia" w:cstheme="minorBidi"/>
      <w:kern w:val="2"/>
      <w:sz w:val="21"/>
      <w:szCs w:val="24"/>
      <w:lang w:val="en-US" w:eastAsia="zh-CN" w:bidi="ar-SA"/>
    </w:rPr>
  </w:style>
  <w:style w:type="paragraph" w:styleId="000016">
    <w:name w:val="header"/>
    <w:basedOn w:val="000003"/>
    <w:link w:val="000017"/>
    <w:autoRedefine/>
    <w:uiPriority w:val="0"/>
    <w:qFormat/>
    <w:pPr>
      <w:pBdr>
        <w:bottom w:val="single" w:color="auto" w:sz="6" w:space="1"/>
      </w:pBdr>
      <w:tabs>
        <w:tab w:val="center" w:pos="4153"/>
        <w:tab w:val="right" w:pos="8306"/>
      </w:tabs>
      <w:snapToGrid w:val="false"/>
      <w:jc w:val="center"/>
    </w:pPr>
    <w:rPr>
      <w:sz w:val="18"/>
      <w:szCs w:val="18"/>
    </w:rPr>
  </w:style>
  <w:style w:type="table" w:styleId="000035" w:customStyle="true">
    <w:name w:val="网格型2"/>
    <w:basedOn w:val="000008"/>
    <w:autoRedefine/>
    <w:uiPriority w:val="3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a">
    <w:name w:val="Normal Indent"/>
    <w:basedOn w:val="000003"/>
    <w:autoRedefine/>
    <w:uiPriority w:val="99"/>
    <w:unhideWhenUsed/>
    <w:qFormat/>
    <w:pPr>
      <w:ind w:firstLine="420" w:firstLineChars="200"/>
    </w:pPr>
    <w:rPr>
      <w:szCs w:val="22"/>
    </w:rPr>
  </w:style>
  <w:style w:type="paragraph" w:styleId="000015">
    <w:name w:val="footer"/>
    <w:basedOn w:val="000003"/>
    <w:autoRedefine/>
    <w:uiPriority w:val="99"/>
    <w:qFormat/>
    <w:pPr>
      <w:tabs>
        <w:tab w:val="center" w:pos="4153"/>
        <w:tab w:val="right" w:pos="8306"/>
      </w:tabs>
      <w:snapToGrid w:val="false"/>
      <w:jc w:val="left"/>
    </w:pPr>
    <w:rPr>
      <w:sz w:val="18"/>
      <w:szCs w:val="18"/>
    </w:rPr>
  </w:style>
  <w:style w:type="paragraph" w:styleId="000026" w:customStyle="true">
    <w:name w:val="Body Text 21"/>
    <w:basedOn w:val="000003"/>
    <w:autoRedefine/>
    <w:uiPriority w:val="0"/>
    <w:qFormat/>
    <w:pPr>
      <w:spacing w:after="120" w:line="480" w:lineRule="auto"/>
    </w:pPr>
  </w:style>
  <w:style w:type="character" w:styleId="000017" w:customStyle="true">
    <w:name w:val="页眉 字符"/>
    <w:basedOn w:val="000007"/>
    <w:link w:val="000016"/>
    <w:autoRedefine/>
    <w:uiPriority w:val="0"/>
    <w:qFormat/>
    <w:rPr>
      <w:rFonts w:asciiTheme="minorHAnsi" w:hAnsiTheme="minorHAnsi" w:eastAsiaTheme="minorEastAsia" w:cstheme="minorBidi"/>
      <w:kern w:val="2"/>
      <w:sz w:val="18"/>
      <w:szCs w:val="18"/>
    </w:rPr>
  </w:style>
  <w:style w:type="paragraph" w:styleId="000010">
    <w:name w:val="index 7"/>
    <w:basedOn w:val="000003"/>
    <w:next w:val="000003"/>
    <w:autoRedefine/>
    <w:uiPriority w:val="99"/>
    <w:unhideWhenUsed/>
    <w:qFormat/>
    <w:pPr>
      <w:spacing w:before="100" w:beforeAutospacing="true" w:after="100" w:afterAutospacing="true"/>
      <w:ind w:left="2520"/>
    </w:pPr>
  </w:style>
  <w:style w:type="paragraph" w:styleId="000040" w:customStyle="true">
    <w:name w:val="Body text|1"/>
    <w:basedOn w:val="000003"/>
    <w:autoRedefine/>
    <w:uiPriority w:val="0"/>
    <w:qFormat/>
    <w:pPr>
      <w:widowControl w:val="false"/>
      <w:shd w:val="clear" w:color="auto" w:fill="auto"/>
    </w:pPr>
    <w:rPr>
      <w:rFonts w:ascii="宋体" w:hAnsi="宋体" w:eastAsia="宋体" w:cs="宋体"/>
      <w:sz w:val="20"/>
      <w:szCs w:val="20"/>
      <w:u w:val="none"/>
      <w:shd w:val="clear" w:color="auto" w:fill="auto"/>
      <w:lang w:val="zh-TW" w:eastAsia="zh-TW" w:bidi="zh-TW"/>
    </w:rPr>
  </w:style>
  <w:style w:type="paragraph" w:styleId="00000b">
    <w:name w:val="annotation text"/>
    <w:basedOn w:val="000003"/>
    <w:link w:val="00000c"/>
    <w:autoRedefine/>
    <w:uiPriority w:val="0"/>
    <w:qFormat/>
    <w:pPr>
      <w:jc w:val="left"/>
    </w:pPr>
  </w:style>
  <w:style w:type="character" w:styleId="00003f" w:customStyle="true">
    <w:name w:val="font131"/>
    <w:basedOn w:val="000007"/>
    <w:uiPriority w:val="0"/>
    <w:qFormat/>
    <w:rPr>
      <w:rFonts w:hint="default" w:ascii="Times New Roman" w:hAnsi="Times New Roman" w:cs="Times New Roman"/>
      <w:color w:val="000000"/>
      <w:sz w:val="24"/>
      <w:szCs w:val="24"/>
      <w:u w:val="none"/>
      <w:vertAlign w:val="superscript"/>
    </w:rPr>
  </w:style>
  <w:style w:type="paragraph" w:styleId="000005">
    <w:name w:val="heading 2"/>
    <w:basedOn w:val="000003"/>
    <w:next w:val="000003"/>
    <w:uiPriority w:val="0"/>
    <w:unhideWhenUsed/>
    <w:qFormat/>
    <w:pPr>
      <w:keepNext/>
      <w:keepLines/>
      <w:widowControl/>
      <w:pBdr>
        <w:top w:val="single" w:color="FFFFFF" w:sz="4" w:space="27"/>
      </w:pBdr>
      <w:overflowPunct w:val="false"/>
      <w:snapToGrid w:val="false"/>
      <w:spacing w:after="544" w:line="549" w:lineRule="exact"/>
      <w:jc w:val="center"/>
      <w:outlineLvl w:val="1"/>
    </w:pPr>
    <w:rPr>
      <w:rFonts w:ascii="BIAODIAN" w:hAnsi="BIAODIAN" w:eastAsia="彩虹黑体" w:cs="宋体"/>
      <w:kern w:val="0"/>
      <w:sz w:val="32"/>
      <w:szCs w:val="20"/>
    </w:rPr>
  </w:style>
  <w:style w:type="paragraph" w:styleId="00001a">
    <w:name w:val="Normal (Web)"/>
    <w:basedOn w:val="000003"/>
    <w:autoRedefine/>
    <w:uiPriority w:val="0"/>
    <w:qFormat/>
    <w:pPr>
      <w:widowControl/>
      <w:spacing w:before="100" w:beforeAutospacing="true" w:after="100" w:afterAutospacing="true"/>
      <w:jc w:val="left"/>
    </w:pPr>
    <w:rPr>
      <w:rFonts w:ascii="宋体" w:hAnsi="宋体" w:eastAsia="宋体" w:cs="宋体"/>
      <w:kern w:val="0"/>
      <w:sz w:val="24"/>
    </w:rPr>
  </w:style>
  <w:style w:type="character" w:styleId="000022">
    <w:name w:val="Hyperlink"/>
    <w:basedOn w:val="000007"/>
    <w:autoRedefine/>
    <w:uiPriority w:val="0"/>
    <w:unhideWhenUsed/>
    <w:qFormat/>
    <w:rPr>
      <w:color w:val="0000FF"/>
      <w:u w:val="single"/>
    </w:rPr>
  </w:style>
  <w:style w:type="character" w:styleId="00002a" w:customStyle="true">
    <w:name w:val="font21"/>
    <w:basedOn w:val="000007"/>
    <w:uiPriority w:val="0"/>
    <w:qFormat/>
    <w:rPr>
      <w:rFonts w:ascii="Arial" w:hAnsi="Arial" w:cs="Arial"/>
      <w:color w:val="000000"/>
      <w:sz w:val="16"/>
      <w:szCs w:val="16"/>
      <w:u w:val="none"/>
    </w:rPr>
  </w:style>
  <w:style w:type="paragraph" w:styleId="00000e">
    <w:name w:val="Body Text 2"/>
    <w:basedOn w:val="000003"/>
    <w:next w:val="00000d"/>
    <w:autoRedefine/>
    <w:uiPriority w:val="99"/>
    <w:unhideWhenUsed/>
    <w:qFormat/>
    <w:pPr>
      <w:spacing w:after="120" w:afterLines="0" w:line="480" w:lineRule="auto"/>
    </w:pPr>
  </w:style>
  <w:style w:type="character" w:styleId="000027" w:customStyle="true">
    <w:name w:val="font112"/>
    <w:basedOn w:val="000007"/>
    <w:uiPriority w:val="0"/>
    <w:qFormat/>
    <w:rPr>
      <w:rFonts w:hint="eastAsia" w:ascii="宋体" w:hAnsi="宋体" w:eastAsia="宋体" w:cs="宋体"/>
      <w:color w:val="000000"/>
      <w:sz w:val="14"/>
      <w:szCs w:val="14"/>
      <w:u w:val="none"/>
    </w:rPr>
  </w:style>
  <w:style w:type="table" w:styleId="00002e" w:customStyle="true">
    <w:name w:val="网格型1"/>
    <w:basedOn w:val="000008"/>
    <w:autoRedefine/>
    <w:uiPriority w:val="0"/>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00002b" w:customStyle="true">
    <w:name w:val="font171"/>
    <w:basedOn w:val="000007"/>
    <w:uiPriority w:val="0"/>
    <w:qFormat/>
    <w:rPr>
      <w:rFonts w:hint="default" w:ascii="Times New Roman" w:hAnsi="Times New Roman" w:cs="Times New Roman"/>
      <w:color w:val="000000"/>
      <w:sz w:val="14"/>
      <w:szCs w:val="14"/>
      <w:u w:val="none"/>
    </w:rPr>
  </w:style>
  <w:style w:type="paragraph" w:styleId="000033" w:customStyle="true">
    <w:name w:val="h31 Char"/>
    <w:basedOn w:val="000003"/>
    <w:autoRedefine/>
    <w:uiPriority w:val="0"/>
    <w:qFormat/>
    <w:pPr>
      <w:widowControl/>
      <w:jc w:val="left"/>
    </w:pPr>
    <w:rPr>
      <w:rFonts w:ascii="宋体" w:hAnsi="宋体" w:eastAsia="宋体" w:cs="宋体"/>
      <w:b/>
      <w:bCs/>
      <w:kern w:val="0"/>
      <w:szCs w:val="21"/>
    </w:rPr>
  </w:style>
  <w:style w:type="paragraph" w:styleId="00003b">
    <w:name w:val="List Paragraph"/>
    <w:basedOn w:val="000003"/>
    <w:autoRedefine/>
    <w:uiPriority w:val="34"/>
    <w:qFormat/>
    <w:pPr>
      <w:ind w:firstLine="420" w:firstLineChars="200"/>
    </w:pPr>
    <w:rPr>
      <w:rFonts w:ascii="Times New Roman" w:hAnsi="Times New Roman" w:eastAsia="宋体" w:cs="Times New Roman"/>
      <w:szCs w:val="20"/>
    </w:rPr>
  </w:style>
  <w:style w:type="paragraph" w:styleId="000013">
    <w:name w:val="Balloon Text"/>
    <w:basedOn w:val="000003"/>
    <w:link w:val="000014"/>
    <w:autoRedefine/>
    <w:uiPriority w:val="0"/>
    <w:qFormat/>
    <w:rPr>
      <w:sz w:val="18"/>
      <w:szCs w:val="18"/>
    </w:rPr>
  </w:style>
  <w:style w:type="paragraph" w:styleId="00001d">
    <w:name w:val="Body Text First Indent"/>
    <w:basedOn w:val="00000d"/>
    <w:next w:val="00001e"/>
    <w:uiPriority w:val="0"/>
    <w:qFormat/>
    <w:pPr>
      <w:ind w:firstLine="976" w:firstLineChars="200"/>
    </w:pPr>
  </w:style>
  <w:style w:type="paragraph" w:styleId="00001b">
    <w:name w:val="annotation subject"/>
    <w:basedOn w:val="00000b"/>
    <w:next w:val="00000b"/>
    <w:link w:val="00001c"/>
    <w:autoRedefine/>
    <w:uiPriority w:val="0"/>
    <w:qFormat/>
    <w:rPr>
      <w:b/>
      <w:bCs/>
    </w:rPr>
  </w:style>
  <w:style w:type="paragraph" w:styleId="00002c" w:customStyle="true">
    <w:name w:val="样式 Arial 行距: 1.5 倍行距"/>
    <w:basedOn w:val="000003"/>
    <w:autoRedefine/>
    <w:uiPriority w:val="0"/>
    <w:qFormat/>
    <w:pPr>
      <w:spacing w:line="360" w:lineRule="auto"/>
      <w:ind w:firstLine="200" w:firstLineChars="200"/>
    </w:pPr>
    <w:rPr>
      <w:rFonts w:ascii="Arial" w:hAnsi="Arial" w:eastAsia="宋体" w:cs="宋体"/>
      <w:szCs w:val="20"/>
    </w:rPr>
  </w:style>
  <w:style w:type="paragraph" w:styleId="00003c" w:customStyle="true">
    <w:name w:val="修订1"/>
    <w:autoRedefine/>
    <w:hidden/>
    <w:uiPriority w:val="99"/>
    <w:semiHidden/>
    <w:qFormat/>
    <w:rPr>
      <w:rFonts w:asciiTheme="minorHAnsi" w:hAnsiTheme="minorHAnsi" w:eastAsiaTheme="minorEastAsia" w:cstheme="minorBidi"/>
      <w:kern w:val="2"/>
      <w:sz w:val="21"/>
      <w:szCs w:val="24"/>
      <w:lang w:val="en-US" w:eastAsia="zh-CN" w:bidi="ar-SA"/>
    </w:rPr>
  </w:style>
  <w:style w:type="character" w:styleId="000030" w:customStyle="true">
    <w:name w:val="fontstyle21"/>
    <w:basedOn w:val="000007"/>
    <w:autoRedefine/>
    <w:uiPriority w:val="0"/>
    <w:qFormat/>
    <w:rPr>
      <w:rFonts w:ascii="TimesNewRomanPSMT" w:hAnsi="TimesNewRomanPSMT" w:eastAsia="TimesNewRomanPSMT" w:cs="TimesNewRomanPSMT"/>
      <w:color w:val="000000"/>
      <w:sz w:val="28"/>
      <w:szCs w:val="28"/>
    </w:rPr>
  </w:style>
  <w:style w:type="paragraph" w:styleId="000018">
    <w:name w:val="toc 1"/>
    <w:basedOn w:val="000003"/>
    <w:next w:val="000003"/>
    <w:autoRedefine/>
    <w:uiPriority w:val="39"/>
    <w:unhideWhenUsed/>
    <w:qFormat/>
    <w:pPr>
      <w:widowControl w:val="false"/>
      <w:spacing w:after="100" w:line="259" w:lineRule="auto"/>
      <w:ind w:left="0" w:firstLine="0" w:firstLineChars="200"/>
    </w:pPr>
    <w:rPr>
      <w:rFonts w:eastAsia="仿宋_GB2312" w:cs="Times New Roman" w:asciiTheme="minorHAnsi" w:hAnsiTheme="minorHAnsi"/>
      <w:sz w:val="32"/>
      <w:szCs w:val="32"/>
      <w:lang w:val="en-GB" w:eastAsia="zh-CN" w:bidi="ar-SA"/>
    </w:rPr>
  </w:style>
  <w:style w:type="character" w:styleId="000025" w:customStyle="true">
    <w:name w:val="font51"/>
    <w:basedOn w:val="000007"/>
    <w:autoRedefine/>
    <w:uiPriority w:val="0"/>
    <w:qFormat/>
    <w:rPr>
      <w:rFonts w:hint="eastAsia" w:ascii="仿宋" w:hAnsi="仿宋" w:eastAsia="仿宋" w:cs="仿宋"/>
      <w:b/>
      <w:color w:val="000000"/>
      <w:sz w:val="21"/>
      <w:szCs w:val="21"/>
      <w:u w:val="none"/>
      <w:vertAlign w:val="superscript"/>
    </w:rPr>
  </w:style>
  <w:style w:type="character" w:styleId="000038" w:customStyle="true">
    <w:name w:val="font151"/>
    <w:basedOn w:val="000007"/>
    <w:uiPriority w:val="0"/>
    <w:qFormat/>
    <w:rPr>
      <w:rFonts w:hint="eastAsia" w:ascii="宋体" w:hAnsi="宋体" w:eastAsia="宋体" w:cs="宋体"/>
      <w:color w:val="000000"/>
      <w:sz w:val="14"/>
      <w:szCs w:val="14"/>
      <w:u w:val="none"/>
    </w:rPr>
  </w:style>
  <w:style w:type="character" w:styleId="000039" w:customStyle="true">
    <w:name w:val="font11"/>
    <w:basedOn w:val="000007"/>
    <w:autoRedefine/>
    <w:uiPriority w:val="0"/>
    <w:qFormat/>
    <w:rPr>
      <w:rFonts w:hint="eastAsia" w:ascii="宋体" w:hAnsi="宋体" w:eastAsia="宋体" w:cs="宋体"/>
      <w:color w:val="000000"/>
      <w:sz w:val="24"/>
      <w:szCs w:val="24"/>
      <w:u w:val="none"/>
    </w:rPr>
  </w:style>
  <w:style w:type="character" w:styleId="000029" w:customStyle="true">
    <w:name w:val="font91"/>
    <w:basedOn w:val="000007"/>
    <w:autoRedefine/>
    <w:uiPriority w:val="0"/>
    <w:qFormat/>
    <w:rPr>
      <w:rFonts w:hint="eastAsia" w:ascii="宋体" w:hAnsi="宋体" w:eastAsia="宋体" w:cs="宋体"/>
      <w:color w:val="000000"/>
      <w:sz w:val="24"/>
      <w:szCs w:val="24"/>
      <w:u w:val="none"/>
    </w:rPr>
  </w:style>
  <w:style w:type="character" w:styleId="000011" w:customStyle="true">
    <w:name w:val="正文文本缩进 字符"/>
    <w:basedOn w:val="000007"/>
    <w:link w:val="00000f"/>
    <w:autoRedefine/>
    <w:uiPriority w:val="0"/>
    <w:qFormat/>
    <w:rPr>
      <w:rFonts w:asciiTheme="minorHAnsi" w:hAnsiTheme="minorHAnsi" w:eastAsiaTheme="minorEastAsia" w:cstheme="minorBidi"/>
      <w:kern w:val="2"/>
      <w:sz w:val="21"/>
      <w:szCs w:val="24"/>
    </w:rPr>
  </w:style>
</w:styles>
</file>

<file path=word/_rels/document.xml.rels><?xml version="1.0" encoding="UTF-8" standalone="yes"?><Relationships xmlns="http://schemas.openxmlformats.org/package/2006/relationships"><Relationship Id="rId8" Type="http://schemas.openxmlformats.org/officeDocument/2006/relationships/image" Target="media/image2.jpg" /><Relationship Id="rId7" Type="http://schemas.openxmlformats.org/officeDocument/2006/relationships/image" Target="media/image1.png" /><Relationship Id="rId6" Type="http://schemas.openxmlformats.org/officeDocument/2006/relationships/footer" Target="footer2.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fontTable" Target="fontTable.xml" /><Relationship Id="rId2"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2025-10-28T10:56:43Z</dcterms:created>
  <dcterms:modified xsi:type="dcterms:W3CDTF">2025-10-28T10:56:43Z</dcterms:modified>
</cp:coreProperties>
</file>