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oter1.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endnotes.xml" ContentType="application/vnd.openxmlformats-officedocument.wordprocessingml.endnotes+xml"/>
  <Override PartName="/word/footnotes.xml" ContentType="application/vnd.openxmlformats-officedocument.wordprocessingml.footnotes+xml"/>
</Types>
</file>

<file path=_rels/.rels><?xml version="1.0" encoding="UTF-8" standalone="yes"?><Relationships xmlns="http://schemas.openxmlformats.org/package/2006/relationships"><Relationship Id="rId2" Type="http://schemas.openxmlformats.org/officeDocument/2006/relationships/extended-properties" Target="docProps/app.xml" /><Relationship Id="rId0" Type="http://schemas.openxmlformats.org/officeDocument/2006/relationships/officeDocument" Target="word/document.xml" /><Relationship Id="rId1" Type="http://schemas.openxmlformats.org/package/2006/relationships/metadata/core-properties" Target="docProps/core.xml" /></Relationships>
</file>

<file path=word/document.xml><?xml version="1.0" encoding="utf-8"?>
<w:document xmlns:w15="http://schemas.microsoft.com/office/word/2012/wordml" xmlns:pic="http://schemas.openxmlformats.org/drawingml/2006/picture" xmlns:wp="http://schemas.openxmlformats.org/drawingml/2006/wordprocessingDrawing" xmlns:a="http://schemas.openxmlformats.org/drawingml/2006/main" xmlns:w="http://schemas.openxmlformats.org/wordprocessingml/2006/main" xmlns:r="http://schemas.openxmlformats.org/officeDocument/2006/relationships" xmlns:mc="http://schemas.openxmlformats.org/markup-compatibility/2006" mc:Ignorable="w15">
  <w:body>
    <w:p>
      <w:pPr>
        <w:rPr>
          <w:rFonts w:hint="eastAsia" w:eastAsia="宋体"/>
          <w:lang w:val="en-US" w:eastAsia="zh-CN"/>
        </w:rPr>
      </w:pPr>
      <w:r>
        <w:rPr>
          <w:rFonts w:hint="eastAsia" w:eastAsia="宋体"/>
          <w:lang w:val="en-US" w:eastAsia="zh-CN"/>
        </w:rPr>
        <w:t xml:space="preserve">  </w:t>
      </w:r>
    </w:p>
    <w:p>
      <w:pPr>
        <w:keepNext w:val="false"/>
        <w:keepLines w:val="false"/>
        <w:pageBreakBefore w:val="false"/>
        <w:widowControl/>
        <w:suppressLineNumbers w:val="false"/>
        <w:kinsoku w:val="false"/>
        <w:wordWrap/>
        <w:overflowPunct/>
        <w:topLinePunct w:val="false"/>
        <w:autoSpaceDE w:val="false"/>
        <w:autoSpaceDN w:val="false"/>
        <w:bidi w:val="false"/>
        <w:adjustRightInd/>
        <w:snapToGrid/>
        <w:spacing w:before="1249" w:beforeLines="400" w:after="937" w:afterLines="300" w:line="360" w:lineRule="auto"/>
        <w:jc w:val="center"/>
        <w:textAlignment w:val="baseline"/>
        <w:outlineLvl w:val="9"/>
        <w:rPr>
          <w:rFonts w:hint="eastAsia" w:ascii="宋体" w:hAnsi="宋体" w:eastAsia="宋体" w:cs="宋体"/>
          <w:b/>
          <w:bCs/>
          <w:snapToGrid w:val="false"/>
          <w:color w:val="000000"/>
          <w:kern w:val="0"/>
          <w:sz w:val="52"/>
          <w:szCs w:val="52"/>
          <w:lang w:val="en-US" w:eastAsia="zh-CN"/>
        </w:rPr>
      </w:pPr>
      <w:r>
        <w:rPr>
          <w:rFonts w:hint="eastAsia" w:ascii="宋体" w:hAnsi="宋体" w:eastAsia="宋体" w:cs="宋体"/>
          <w:b/>
          <w:bCs/>
          <w:snapToGrid w:val="false"/>
          <w:color w:val="000000"/>
          <w:kern w:val="0"/>
          <w:sz w:val="52"/>
          <w:szCs w:val="52"/>
          <w:lang w:val="en-US" w:eastAsia="zh-CN"/>
        </w:rPr>
        <w:t>河南大成包装材料有限公司源网荷储一体化项目</w:t>
      </w:r>
    </w:p>
    <w:p>
      <w:pPr>
        <w:keepNext w:val="false"/>
        <w:keepLines w:val="false"/>
        <w:pageBreakBefore w:val="false"/>
        <w:widowControl/>
        <w:suppressLineNumbers w:val="false"/>
        <w:kinsoku w:val="false"/>
        <w:wordWrap/>
        <w:overflowPunct/>
        <w:topLinePunct w:val="false"/>
        <w:autoSpaceDE w:val="false"/>
        <w:autoSpaceDN w:val="false"/>
        <w:bidi w:val="false"/>
        <w:adjustRightInd/>
        <w:snapToGrid/>
        <w:spacing w:before="1249" w:beforeLines="400" w:after="937" w:afterLines="300" w:line="360" w:lineRule="auto"/>
        <w:jc w:val="center"/>
        <w:textAlignment w:val="baseline"/>
        <w:rPr>
          <w:rFonts w:hint="eastAsia" w:ascii="宋体" w:hAnsi="宋体" w:eastAsia="宋体" w:cs="宋体"/>
          <w:sz w:val="52"/>
          <w:szCs w:val="52"/>
        </w:rPr>
      </w:pPr>
      <w:r>
        <w:rPr>
          <w:rFonts w:hint="eastAsia" w:ascii="宋体" w:hAnsi="宋体" w:eastAsia="宋体" w:cs="宋体"/>
          <w:b/>
          <w:bCs/>
          <w:snapToGrid w:val="false"/>
          <w:color w:val="000000"/>
          <w:kern w:val="0"/>
          <w:sz w:val="52"/>
          <w:szCs w:val="52"/>
          <w:lang w:val="en-US" w:eastAsia="zh-CN"/>
        </w:rPr>
        <w:t>可行性研究报告</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1446" w:firstLineChars="400"/>
        <w:jc w:val="left"/>
        <w:textAlignment w:val="baseline"/>
        <w:outlineLvl w:val="9"/>
        <w:rPr>
          <w:rFonts w:hint="eastAsia" w:ascii="宋体" w:hAnsi="宋体" w:eastAsia="宋体" w:cs="宋体"/>
          <w:b/>
          <w:bCs/>
          <w:sz w:val="36"/>
          <w:szCs w:val="36"/>
          <w:lang w:val="en-US" w:eastAsia="zh-CN"/>
        </w:rPr>
      </w:pPr>
      <w:bookmarkStart w:id="1" w:name="_Toc3961"/>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1446" w:firstLineChars="400"/>
        <w:jc w:val="left"/>
        <w:textAlignment w:val="baseline"/>
        <w:outlineLvl w:val="9"/>
        <w:rPr>
          <w:rFonts w:hint="eastAsia" w:ascii="宋体" w:hAnsi="宋体" w:eastAsia="宋体" w:cs="宋体"/>
          <w:b/>
          <w:bCs/>
          <w:sz w:val="36"/>
          <w:szCs w:val="36"/>
          <w:lang w:val="en-US" w:eastAsia="zh-CN"/>
        </w:rPr>
      </w:pP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1446" w:firstLineChars="400"/>
        <w:jc w:val="left"/>
        <w:textAlignment w:val="baseline"/>
        <w:outlineLvl w:val="9"/>
        <w:rPr>
          <w:rFonts w:hint="eastAsia" w:ascii="宋体" w:hAnsi="宋体" w:eastAsia="宋体" w:cs="宋体"/>
          <w:b/>
          <w:bCs/>
          <w:sz w:val="36"/>
          <w:szCs w:val="36"/>
          <w:lang w:val="en-US" w:eastAsia="zh-CN"/>
        </w:rPr>
      </w:pP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1446" w:firstLineChars="400"/>
        <w:jc w:val="left"/>
        <w:textAlignment w:val="baseline"/>
        <w:outlineLvl w:val="9"/>
        <w:rPr>
          <w:rFonts w:hint="eastAsia" w:ascii="宋体" w:hAnsi="宋体" w:eastAsia="宋体" w:cs="宋体"/>
          <w:b/>
          <w:bCs/>
          <w:sz w:val="36"/>
          <w:szCs w:val="36"/>
          <w:lang w:val="en-US" w:eastAsia="zh-CN"/>
        </w:rPr>
      </w:pP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1446" w:firstLineChars="400"/>
        <w:jc w:val="left"/>
        <w:textAlignment w:val="baseline"/>
        <w:outlineLvl w:val="9"/>
        <w:rPr>
          <w:rFonts w:hint="eastAsia" w:ascii="宋体" w:hAnsi="宋体" w:eastAsia="宋体" w:cs="宋体"/>
          <w:b/>
          <w:bCs/>
          <w:sz w:val="36"/>
          <w:szCs w:val="36"/>
          <w:lang w:val="en-US" w:eastAsia="zh-CN"/>
        </w:rPr>
      </w:pP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0" w:firstLineChars="0"/>
        <w:jc w:val="center"/>
        <w:textAlignment w:val="baseline"/>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建设单位：</w:t>
      </w:r>
      <w:bookmarkEnd w:id="1"/>
      <w:r>
        <w:rPr>
          <w:rFonts w:hint="eastAsia" w:ascii="宋体" w:hAnsi="宋体" w:eastAsia="宋体" w:cs="宋体"/>
          <w:b/>
          <w:bCs/>
          <w:sz w:val="32"/>
          <w:szCs w:val="32"/>
          <w:lang w:val="en-US" w:eastAsia="zh-CN"/>
        </w:rPr>
        <w:t>河南中原智慧冷链物流园管理运营有限公司</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0" w:firstLineChars="0"/>
        <w:jc w:val="center"/>
        <w:textAlignment w:val="baseline"/>
        <w:outlineLvl w:val="9"/>
        <w:rPr>
          <w:rFonts w:hint="eastAsia" w:ascii="宋体" w:hAnsi="宋体" w:eastAsia="宋体" w:cs="宋体"/>
          <w:b/>
          <w:bCs/>
          <w:sz w:val="32"/>
          <w:szCs w:val="32"/>
          <w:lang w:val="en-US" w:eastAsia="zh-CN"/>
        </w:rPr>
      </w:pPr>
      <w:bookmarkStart w:id="2" w:name="_Toc32090"/>
      <w:r>
        <w:rPr>
          <w:rFonts w:hint="eastAsia" w:ascii="宋体" w:hAnsi="宋体" w:eastAsia="宋体" w:cs="宋体"/>
          <w:b/>
          <w:bCs/>
          <w:sz w:val="32"/>
          <w:szCs w:val="32"/>
          <w:lang w:val="en-US" w:eastAsia="zh-CN"/>
        </w:rPr>
        <w:t>编制单位：北京新元工程咨询有限公司</w:t>
      </w:r>
      <w:bookmarkEnd w:id="2"/>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0" w:firstLineChars="0"/>
        <w:jc w:val="center"/>
        <w:textAlignment w:val="baseline"/>
        <w:outlineLvl w:val="9"/>
        <w:rPr>
          <w:rFonts w:hint="eastAsia" w:ascii="宋体" w:hAnsi="宋体" w:eastAsia="宋体" w:cs="宋体"/>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宋体" w:hAnsi="宋体" w:eastAsia="宋体" w:cs="宋体"/>
          <w:b/>
          <w:bCs/>
          <w:sz w:val="32"/>
          <w:szCs w:val="32"/>
          <w:lang w:val="en-US" w:eastAsia="zh-CN"/>
        </w:rPr>
        <w:t>编制日期：2025年10月</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0" w:firstLineChars="0"/>
        <w:jc w:val="center"/>
        <w:textAlignment w:val="baseline"/>
        <w:outlineLvl w:val="9"/>
        <w:rPr>
          <w:rFonts w:hint="eastAsia" w:ascii="宋体" w:hAnsi="宋体" w:eastAsia="宋体" w:cs="宋体"/>
          <w:b/>
          <w:bCs/>
          <w:sz w:val="32"/>
          <w:szCs w:val="32"/>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宋体" w:hAnsi="宋体" w:eastAsia="宋体" w:cs="宋体"/>
          <w:b/>
          <w:bCs/>
          <w:sz w:val="32"/>
          <w:szCs w:val="32"/>
          <w:lang w:val="en-US" w:eastAsia="zh-CN"/>
        </w:rPr>
        <w:drawing>
          <wp:inline distT="0" distB="0" distL="114300" distR="114300">
            <wp:extent cx="7040880" cy="4984115"/>
            <wp:effectExtent l="0" t="0" r="7620" b="6985"/>
            <wp:docPr id="2" name="图片 1" descr="1"/>
            <wp:cNvGraphicFramePr>
              <a:graphicFrameLocks noChangeAspect="true"/>
            </wp:cNvGraphicFramePr>
            <a:graphic>
              <a:graphicData uri="http://schemas.openxmlformats.org/drawingml/2006/picture">
                <pic:pic>
                  <pic:nvPicPr>
                    <pic:cNvPr id="3" name="图片 1" descr="1"/>
                    <pic:cNvPicPr>
                      <a:picLocks noChangeAspect="true"/>
                    </pic:cNvPicPr>
                  </pic:nvPicPr>
                  <pic:blipFill>
                    <a:blip r:embed="rId7"/>
                    <a:stretch>
                      <a:fillRect/>
                    </a:stretch>
                  </pic:blipFill>
                  <pic:spPr>
                    <a:xfrm>
                      <a:off x="0" y="0"/>
                      <a:ext cx="7040880" cy="4984115"/>
                    </a:xfrm>
                    <a:prstGeom prst="rect">
                      <a:avLst/>
                    </a:prstGeom>
                  </pic:spPr>
                </pic:pic>
              </a:graphicData>
            </a:graphic>
          </wp:inline>
        </w:drawing>
      </w:r>
      <w:r>
        <w:rPr>
          <w:rFonts w:hint="eastAsia" w:ascii="宋体" w:hAnsi="宋体" w:eastAsia="宋体" w:cs="宋体"/>
          <w:b/>
          <w:bCs/>
          <w:sz w:val="32"/>
          <w:szCs w:val="32"/>
          <w:lang w:val="en-US" w:eastAsia="zh-CN"/>
        </w:rPr>
        <w:drawing>
          <wp:inline distT="0" distB="0" distL="114300" distR="114300">
            <wp:extent cx="6872605" cy="4757420"/>
            <wp:effectExtent l="0" t="0" r="4445" b="5080"/>
            <wp:docPr id="5" name="图片 3" descr="2"/>
            <wp:cNvGraphicFramePr>
              <a:graphicFrameLocks noChangeAspect="true"/>
            </wp:cNvGraphicFramePr>
            <a:graphic>
              <a:graphicData uri="http://schemas.openxmlformats.org/drawingml/2006/picture">
                <pic:pic>
                  <pic:nvPicPr>
                    <pic:cNvPr id="6" name="图片 3" descr="2"/>
                    <pic:cNvPicPr>
                      <a:picLocks noChangeAspect="true"/>
                    </pic:cNvPicPr>
                  </pic:nvPicPr>
                  <pic:blipFill>
                    <a:blip r:embed="rId8"/>
                    <a:stretch>
                      <a:fillRect/>
                    </a:stretch>
                  </pic:blipFill>
                  <pic:spPr>
                    <a:xfrm>
                      <a:off x="0" y="0"/>
                      <a:ext cx="6872605" cy="4757420"/>
                    </a:xfrm>
                    <a:prstGeom prst="rect">
                      <a:avLst/>
                    </a:prstGeom>
                  </pic:spPr>
                </pic:pic>
              </a:graphicData>
            </a:graphic>
          </wp:inline>
        </w:drawing>
      </w:r>
    </w:p>
    <w:sdt>
      <w:sdtPr>
        <w:rPr>
          <w:rFonts w:ascii="宋体" w:hAnsi="宋体" w:eastAsia="宋体" w:cs="Arial"/>
          <w:snapToGrid w:val="false"/>
          <w:color w:val="000000"/>
          <w:kern w:val="0"/>
          <w:sz w:val="21"/>
          <w:szCs w:val="21"/>
          <w:lang w:val="en-US" w:eastAsia="en-US" w:bidi="ar-SA"/>
        </w:rPr>
        <w:id w:val="147457988"/>
        <w15:color w:val="DBDBDB"/>
        <w:docPartObj>
          <w:docPartGallery w:val="Table of Contents"/>
          <w:docPartUnique/>
        </w:docPartObj>
      </w:sdtPr>
      <w:sdtEndPr>
        <w:rPr>
          <w:rFonts w:ascii="宋体" w:hAnsi="宋体" w:eastAsia="宋体" w:cs="Arial"/>
          <w:b/>
          <w:snapToGrid w:val="false"/>
          <w:color w:val="000000"/>
          <w:kern w:val="0"/>
          <w:sz w:val="21"/>
          <w:szCs w:val="21"/>
          <w:lang w:val="en-US" w:eastAsia="en-US" w:bidi="ar-SA"/>
        </w:rPr>
      </w:sdtEndPr>
      <w:sdtContent>
        <w:bookmarkStart w:id="3" w:name="_Toc32442"/>
        <w:bookmarkStart w:id="4" w:name="_Toc32307"/>
        <w:bookmarkStart w:id="5" w:name="_Toc13134"/>
        <w:p>
          <w:pPr>
            <w:keepNext w:val="false"/>
            <w:keepLines w:val="false"/>
            <w:pageBreakBefore w:val="false"/>
            <w:widowControl/>
            <w:wordWrap/>
            <w:overflowPunct/>
            <w:topLinePunct w:val="false"/>
            <w:bidi w:val="false"/>
            <w:spacing w:before="0" w:beforeLines="0" w:after="0" w:afterLines="0" w:line="360" w:lineRule="auto"/>
            <w:ind w:left="0" w:leftChars="0" w:right="0" w:rightChars="0" w:firstLine="0" w:firstLineChars="0"/>
            <w:jc w:val="center"/>
            <w:rPr>
              <w:rFonts w:hint="eastAsia" w:ascii="宋体" w:hAnsi="宋体" w:eastAsia="宋体" w:cs="宋体"/>
              <w:b/>
              <w:bCs/>
              <w:sz w:val="44"/>
              <w:szCs w:val="44"/>
            </w:rPr>
          </w:pPr>
          <w:r>
            <w:rPr>
              <w:rFonts w:hint="eastAsia" w:ascii="宋体" w:hAnsi="宋体" w:eastAsia="宋体" w:cs="宋体"/>
              <w:b/>
              <w:bCs/>
              <w:sz w:val="44"/>
              <w:szCs w:val="44"/>
            </w:rPr>
            <w:t>目录</w:t>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"1-2" \h \u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_Toc10462 </w:instrText>
          </w:r>
          <w:r>
            <w:rPr>
              <w:rFonts w:hint="eastAsia" w:ascii="宋体" w:hAnsi="宋体" w:eastAsia="宋体" w:cs="宋体"/>
              <w:sz w:val="24"/>
              <w:szCs w:val="24"/>
            </w:rPr>
            <w:fldChar w:fldCharType="separate"/>
          </w:r>
          <w:r>
            <w:rPr>
              <w:rFonts w:hint="eastAsia" w:ascii="宋体" w:hAnsi="宋体" w:eastAsia="宋体" w:cs="宋体"/>
              <w:bCs/>
              <w:sz w:val="24"/>
              <w:szCs w:val="24"/>
            </w:rPr>
            <w:t>第一章 总论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_Toc10462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_Toc13929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1.1 项目概况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_Toc13929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_Toc10740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1.2 企业及实际控制人概况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_Toc10740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_Toc8258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1.3 编制依据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_Toc8258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_Toc6711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1.4 研究范围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_Toc6711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_Toc26283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1.5 结论及建议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_Toc26283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_Toc8074 </w:instrText>
          </w:r>
          <w:r>
            <w:rPr>
              <w:rFonts w:hint="eastAsia" w:ascii="宋体" w:hAnsi="宋体" w:eastAsia="宋体" w:cs="宋体"/>
              <w:sz w:val="24"/>
              <w:szCs w:val="24"/>
            </w:rPr>
            <w:fldChar w:fldCharType="separate"/>
          </w:r>
          <w:r>
            <w:rPr>
              <w:rFonts w:hint="eastAsia" w:ascii="宋体" w:hAnsi="宋体" w:eastAsia="宋体" w:cs="宋体"/>
              <w:bCs/>
              <w:sz w:val="24"/>
              <w:szCs w:val="24"/>
            </w:rPr>
            <w:t>第二章 项目建设背景及必要性</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_Toc8074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_Toc29356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2.1 规划政策符合性</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_Toc29356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_Toc14012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2.2 项目主体发展战略需求分析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_Toc14012 \h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_Toc19993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2.3 项目市场需求分析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_Toc19993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_Toc18825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2.4 项目建设内容、规模及产出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_Toc18825 \h </w:instrText>
          </w:r>
          <w:r>
            <w:rPr>
              <w:rFonts w:hint="eastAsia" w:ascii="宋体" w:hAnsi="宋体" w:eastAsia="宋体" w:cs="宋体"/>
              <w:sz w:val="24"/>
              <w:szCs w:val="24"/>
            </w:rPr>
            <w:fldChar w:fldCharType="separate"/>
          </w:r>
          <w:r>
            <w:rPr>
              <w:rFonts w:hint="eastAsia" w:ascii="宋体" w:hAnsi="宋体" w:eastAsia="宋体" w:cs="宋体"/>
              <w:sz w:val="24"/>
              <w:szCs w:val="24"/>
            </w:rPr>
            <w:t>36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_Toc3599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2.5 项目商业模式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_Toc3599 \h </w:instrText>
          </w:r>
          <w:r>
            <w:rPr>
              <w:rFonts w:hint="eastAsia" w:ascii="宋体" w:hAnsi="宋体" w:eastAsia="宋体" w:cs="宋体"/>
              <w:sz w:val="24"/>
              <w:szCs w:val="24"/>
            </w:rPr>
            <w:fldChar w:fldCharType="separate"/>
          </w:r>
          <w:r>
            <w:rPr>
              <w:rFonts w:hint="eastAsia" w:ascii="宋体" w:hAnsi="宋体" w:eastAsia="宋体" w:cs="宋体"/>
              <w:sz w:val="24"/>
              <w:szCs w:val="24"/>
            </w:rPr>
            <w:t>39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_Toc27047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第三章 项目选址与要素保障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_Toc27047 \h </w:instrText>
          </w:r>
          <w:r>
            <w:rPr>
              <w:rFonts w:hint="eastAsia" w:ascii="宋体" w:hAnsi="宋体" w:eastAsia="宋体" w:cs="宋体"/>
              <w:sz w:val="24"/>
              <w:szCs w:val="24"/>
            </w:rPr>
            <w:fldChar w:fldCharType="separate"/>
          </w:r>
          <w:r>
            <w:rPr>
              <w:rFonts w:hint="eastAsia" w:ascii="宋体" w:hAnsi="宋体" w:eastAsia="宋体" w:cs="宋体"/>
              <w:sz w:val="24"/>
              <w:szCs w:val="24"/>
            </w:rPr>
            <w:t>44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_Toc12886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3.1 项目地址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_Toc12886 \h </w:instrText>
          </w:r>
          <w:r>
            <w:rPr>
              <w:rFonts w:hint="eastAsia" w:ascii="宋体" w:hAnsi="宋体" w:eastAsia="宋体" w:cs="宋体"/>
              <w:sz w:val="24"/>
              <w:szCs w:val="24"/>
            </w:rPr>
            <w:fldChar w:fldCharType="separate"/>
          </w:r>
          <w:r>
            <w:rPr>
              <w:rFonts w:hint="eastAsia" w:ascii="宋体" w:hAnsi="宋体" w:eastAsia="宋体" w:cs="宋体"/>
              <w:sz w:val="24"/>
              <w:szCs w:val="24"/>
            </w:rPr>
            <w:t>44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_Toc282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3.2 项目建设条件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_Toc282 \h </w:instrText>
          </w:r>
          <w:r>
            <w:rPr>
              <w:rFonts w:hint="eastAsia" w:ascii="宋体" w:hAnsi="宋体" w:eastAsia="宋体" w:cs="宋体"/>
              <w:sz w:val="24"/>
              <w:szCs w:val="24"/>
            </w:rPr>
            <w:fldChar w:fldCharType="separate"/>
          </w:r>
          <w:r>
            <w:rPr>
              <w:rFonts w:hint="eastAsia" w:ascii="宋体" w:hAnsi="宋体" w:eastAsia="宋体" w:cs="宋体"/>
              <w:sz w:val="24"/>
              <w:szCs w:val="24"/>
            </w:rPr>
            <w:t>44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_Toc10443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3.3 要素保障分析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_Toc10443 \h </w:instrText>
          </w:r>
          <w:r>
            <w:rPr>
              <w:rFonts w:hint="eastAsia" w:ascii="宋体" w:hAnsi="宋体" w:eastAsia="宋体" w:cs="宋体"/>
              <w:sz w:val="24"/>
              <w:szCs w:val="24"/>
            </w:rPr>
            <w:fldChar w:fldCharType="separate"/>
          </w:r>
          <w:r>
            <w:rPr>
              <w:rFonts w:hint="eastAsia" w:ascii="宋体" w:hAnsi="宋体" w:eastAsia="宋体" w:cs="宋体"/>
              <w:sz w:val="24"/>
              <w:szCs w:val="24"/>
            </w:rPr>
            <w:t>48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_Toc2672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第四章 项目建设方案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_Toc2672 \h </w:instrText>
          </w:r>
          <w:r>
            <w:rPr>
              <w:rFonts w:hint="eastAsia" w:ascii="宋体" w:hAnsi="宋体" w:eastAsia="宋体" w:cs="宋体"/>
              <w:sz w:val="24"/>
              <w:szCs w:val="24"/>
            </w:rPr>
            <w:fldChar w:fldCharType="separate"/>
          </w:r>
          <w:r>
            <w:rPr>
              <w:rFonts w:hint="eastAsia" w:ascii="宋体" w:hAnsi="宋体" w:eastAsia="宋体" w:cs="宋体"/>
              <w:sz w:val="24"/>
              <w:szCs w:val="24"/>
            </w:rPr>
            <w:t>50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_Toc23882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4.1 技术方案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_Toc23882 \h </w:instrText>
          </w:r>
          <w:r>
            <w:rPr>
              <w:rFonts w:hint="eastAsia" w:ascii="宋体" w:hAnsi="宋体" w:eastAsia="宋体" w:cs="宋体"/>
              <w:sz w:val="24"/>
              <w:szCs w:val="24"/>
            </w:rPr>
            <w:fldChar w:fldCharType="separate"/>
          </w:r>
          <w:r>
            <w:rPr>
              <w:rFonts w:hint="eastAsia" w:ascii="宋体" w:hAnsi="宋体" w:eastAsia="宋体" w:cs="宋体"/>
              <w:sz w:val="24"/>
              <w:szCs w:val="24"/>
            </w:rPr>
            <w:t>50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_Toc14225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4.2 设备方案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_Toc14225 \h </w:instrText>
          </w:r>
          <w:r>
            <w:rPr>
              <w:rFonts w:hint="eastAsia" w:ascii="宋体" w:hAnsi="宋体" w:eastAsia="宋体" w:cs="宋体"/>
              <w:sz w:val="24"/>
              <w:szCs w:val="24"/>
            </w:rPr>
            <w:fldChar w:fldCharType="separate"/>
          </w:r>
          <w:r>
            <w:rPr>
              <w:rFonts w:hint="eastAsia" w:ascii="宋体" w:hAnsi="宋体" w:eastAsia="宋体" w:cs="宋体"/>
              <w:sz w:val="24"/>
              <w:szCs w:val="24"/>
            </w:rPr>
            <w:t>51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_Toc16810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4.3 储能系统配置方案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_Toc16810 \h </w:instrText>
          </w:r>
          <w:r>
            <w:rPr>
              <w:rFonts w:hint="eastAsia" w:ascii="宋体" w:hAnsi="宋体" w:eastAsia="宋体" w:cs="宋体"/>
              <w:sz w:val="24"/>
              <w:szCs w:val="24"/>
            </w:rPr>
            <w:fldChar w:fldCharType="separate"/>
          </w:r>
          <w:r>
            <w:rPr>
              <w:rFonts w:hint="eastAsia" w:ascii="宋体" w:hAnsi="宋体" w:eastAsia="宋体" w:cs="宋体"/>
              <w:sz w:val="24"/>
              <w:szCs w:val="24"/>
            </w:rPr>
            <w:t>65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_Toc25664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4.4 建设管理方案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_Toc25664 \h </w:instrText>
          </w:r>
          <w:r>
            <w:rPr>
              <w:rFonts w:hint="eastAsia" w:ascii="宋体" w:hAnsi="宋体" w:eastAsia="宋体" w:cs="宋体"/>
              <w:sz w:val="24"/>
              <w:szCs w:val="24"/>
            </w:rPr>
            <w:fldChar w:fldCharType="separate"/>
          </w:r>
          <w:r>
            <w:rPr>
              <w:rFonts w:hint="eastAsia" w:ascii="宋体" w:hAnsi="宋体" w:eastAsia="宋体" w:cs="宋体"/>
              <w:sz w:val="24"/>
              <w:szCs w:val="24"/>
            </w:rPr>
            <w:t>70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_Toc22215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第五章 项目运营方案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_Toc22215 \h </w:instrText>
          </w:r>
          <w:r>
            <w:rPr>
              <w:rFonts w:hint="eastAsia" w:ascii="宋体" w:hAnsi="宋体" w:eastAsia="宋体" w:cs="宋体"/>
              <w:sz w:val="24"/>
              <w:szCs w:val="24"/>
            </w:rPr>
            <w:fldChar w:fldCharType="separate"/>
          </w:r>
          <w:r>
            <w:rPr>
              <w:rFonts w:hint="eastAsia" w:ascii="宋体" w:hAnsi="宋体" w:eastAsia="宋体" w:cs="宋体"/>
              <w:sz w:val="24"/>
              <w:szCs w:val="24"/>
            </w:rPr>
            <w:t>80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_Toc22922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5.1 运营方案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_Toc22922 \h </w:instrText>
          </w:r>
          <w:r>
            <w:rPr>
              <w:rFonts w:hint="eastAsia" w:ascii="宋体" w:hAnsi="宋体" w:eastAsia="宋体" w:cs="宋体"/>
              <w:sz w:val="24"/>
              <w:szCs w:val="24"/>
            </w:rPr>
            <w:fldChar w:fldCharType="separate"/>
          </w:r>
          <w:r>
            <w:rPr>
              <w:rFonts w:hint="eastAsia" w:ascii="宋体" w:hAnsi="宋体" w:eastAsia="宋体" w:cs="宋体"/>
              <w:sz w:val="24"/>
              <w:szCs w:val="24"/>
            </w:rPr>
            <w:t>80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_Toc18094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5.2 安全保障方案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_Toc18094 \h </w:instrText>
          </w:r>
          <w:r>
            <w:rPr>
              <w:rFonts w:hint="eastAsia" w:ascii="宋体" w:hAnsi="宋体" w:eastAsia="宋体" w:cs="宋体"/>
              <w:sz w:val="24"/>
              <w:szCs w:val="24"/>
            </w:rPr>
            <w:fldChar w:fldCharType="separate"/>
          </w:r>
          <w:r>
            <w:rPr>
              <w:rFonts w:hint="eastAsia" w:ascii="宋体" w:hAnsi="宋体" w:eastAsia="宋体" w:cs="宋体"/>
              <w:sz w:val="24"/>
              <w:szCs w:val="24"/>
            </w:rPr>
            <w:t>84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_Toc20906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5.3 运营管理方案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_Toc20906 \h </w:instrText>
          </w:r>
          <w:r>
            <w:rPr>
              <w:rFonts w:hint="eastAsia" w:ascii="宋体" w:hAnsi="宋体" w:eastAsia="宋体" w:cs="宋体"/>
              <w:sz w:val="24"/>
              <w:szCs w:val="24"/>
            </w:rPr>
            <w:fldChar w:fldCharType="separate"/>
          </w:r>
          <w:r>
            <w:rPr>
              <w:rFonts w:hint="eastAsia" w:ascii="宋体" w:hAnsi="宋体" w:eastAsia="宋体" w:cs="宋体"/>
              <w:sz w:val="24"/>
              <w:szCs w:val="24"/>
            </w:rPr>
            <w:t>85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_Toc24940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第六章 项目投融资与财务方案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_Toc24940 \h </w:instrText>
          </w:r>
          <w:r>
            <w:rPr>
              <w:rFonts w:hint="eastAsia" w:ascii="宋体" w:hAnsi="宋体" w:eastAsia="宋体" w:cs="宋体"/>
              <w:sz w:val="24"/>
              <w:szCs w:val="24"/>
            </w:rPr>
            <w:fldChar w:fldCharType="separate"/>
          </w:r>
          <w:r>
            <w:rPr>
              <w:rFonts w:hint="eastAsia" w:ascii="宋体" w:hAnsi="宋体" w:eastAsia="宋体" w:cs="宋体"/>
              <w:sz w:val="24"/>
              <w:szCs w:val="24"/>
            </w:rPr>
            <w:t>92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_Toc26679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6.1 项目投资估算及说明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_Toc26679 \h </w:instrText>
          </w:r>
          <w:r>
            <w:rPr>
              <w:rFonts w:hint="eastAsia" w:ascii="宋体" w:hAnsi="宋体" w:eastAsia="宋体" w:cs="宋体"/>
              <w:sz w:val="24"/>
              <w:szCs w:val="24"/>
            </w:rPr>
            <w:fldChar w:fldCharType="separate"/>
          </w:r>
          <w:r>
            <w:rPr>
              <w:rFonts w:hint="eastAsia" w:ascii="宋体" w:hAnsi="宋体" w:eastAsia="宋体" w:cs="宋体"/>
              <w:sz w:val="24"/>
              <w:szCs w:val="24"/>
            </w:rPr>
            <w:t>92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_Toc6414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6.2 财务盈利能力分析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_Toc6414 \h </w:instrText>
          </w:r>
          <w:r>
            <w:rPr>
              <w:rFonts w:hint="eastAsia" w:ascii="宋体" w:hAnsi="宋体" w:eastAsia="宋体" w:cs="宋体"/>
              <w:sz w:val="24"/>
              <w:szCs w:val="24"/>
            </w:rPr>
            <w:fldChar w:fldCharType="separate"/>
          </w:r>
          <w:r>
            <w:rPr>
              <w:rFonts w:hint="eastAsia" w:ascii="宋体" w:hAnsi="宋体" w:eastAsia="宋体" w:cs="宋体"/>
              <w:sz w:val="24"/>
              <w:szCs w:val="24"/>
            </w:rPr>
            <w:t>99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_Toc16534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6.3 资金投入计划和筹措方案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_Toc16534 \h </w:instrText>
          </w:r>
          <w:r>
            <w:rPr>
              <w:rFonts w:hint="eastAsia" w:ascii="宋体" w:hAnsi="宋体" w:eastAsia="宋体" w:cs="宋体"/>
              <w:sz w:val="24"/>
              <w:szCs w:val="24"/>
            </w:rPr>
            <w:fldChar w:fldCharType="separate"/>
          </w:r>
          <w:r>
            <w:rPr>
              <w:rFonts w:hint="eastAsia" w:ascii="宋体" w:hAnsi="宋体" w:eastAsia="宋体" w:cs="宋体"/>
              <w:sz w:val="24"/>
              <w:szCs w:val="24"/>
            </w:rPr>
            <w:t>110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_Toc16074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6.4 债务清偿能力分析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_Toc16074 \h </w:instrText>
          </w:r>
          <w:r>
            <w:rPr>
              <w:rFonts w:hint="eastAsia" w:ascii="宋体" w:hAnsi="宋体" w:eastAsia="宋体" w:cs="宋体"/>
              <w:sz w:val="24"/>
              <w:szCs w:val="24"/>
            </w:rPr>
            <w:fldChar w:fldCharType="separate"/>
          </w:r>
          <w:r>
            <w:rPr>
              <w:rFonts w:hint="eastAsia" w:ascii="宋体" w:hAnsi="宋体" w:eastAsia="宋体" w:cs="宋体"/>
              <w:sz w:val="24"/>
              <w:szCs w:val="24"/>
            </w:rPr>
            <w:t>111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_Toc15608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6.5 财务可持续性分析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_Toc15608 \h </w:instrText>
          </w:r>
          <w:r>
            <w:rPr>
              <w:rFonts w:hint="eastAsia" w:ascii="宋体" w:hAnsi="宋体" w:eastAsia="宋体" w:cs="宋体"/>
              <w:sz w:val="24"/>
              <w:szCs w:val="24"/>
            </w:rPr>
            <w:fldChar w:fldCharType="separate"/>
          </w:r>
          <w:r>
            <w:rPr>
              <w:rFonts w:hint="eastAsia" w:ascii="宋体" w:hAnsi="宋体" w:eastAsia="宋体" w:cs="宋体"/>
              <w:sz w:val="24"/>
              <w:szCs w:val="24"/>
            </w:rPr>
            <w:t>111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_Toc4731 </w:instrText>
          </w:r>
          <w:r>
            <w:rPr>
              <w:rFonts w:hint="eastAsia" w:ascii="宋体" w:hAnsi="宋体" w:eastAsia="宋体" w:cs="宋体"/>
              <w:sz w:val="24"/>
              <w:szCs w:val="24"/>
            </w:rPr>
            <w:fldChar w:fldCharType="separate"/>
          </w:r>
          <w:r>
            <w:rPr>
              <w:rFonts w:hint="eastAsia" w:ascii="宋体" w:hAnsi="宋体" w:eastAsia="宋体" w:cs="宋体"/>
              <w:bCs/>
              <w:sz w:val="24"/>
              <w:szCs w:val="24"/>
            </w:rPr>
            <w:t>第七章 项目影响效果分析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_Toc4731 \h </w:instrText>
          </w:r>
          <w:r>
            <w:rPr>
              <w:rFonts w:hint="eastAsia" w:ascii="宋体" w:hAnsi="宋体" w:eastAsia="宋体" w:cs="宋体"/>
              <w:sz w:val="24"/>
              <w:szCs w:val="24"/>
            </w:rPr>
            <w:fldChar w:fldCharType="separate"/>
          </w:r>
          <w:r>
            <w:rPr>
              <w:rFonts w:hint="eastAsia" w:ascii="宋体" w:hAnsi="宋体" w:eastAsia="宋体" w:cs="宋体"/>
              <w:sz w:val="24"/>
              <w:szCs w:val="24"/>
            </w:rPr>
            <w:t>112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_Toc12925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7.1 经济影响分析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_Toc12925 \h </w:instrText>
          </w:r>
          <w:r>
            <w:rPr>
              <w:rFonts w:hint="eastAsia" w:ascii="宋体" w:hAnsi="宋体" w:eastAsia="宋体" w:cs="宋体"/>
              <w:sz w:val="24"/>
              <w:szCs w:val="24"/>
            </w:rPr>
            <w:fldChar w:fldCharType="separate"/>
          </w:r>
          <w:r>
            <w:rPr>
              <w:rFonts w:hint="eastAsia" w:ascii="宋体" w:hAnsi="宋体" w:eastAsia="宋体" w:cs="宋体"/>
              <w:sz w:val="24"/>
              <w:szCs w:val="24"/>
            </w:rPr>
            <w:t>112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_Toc32454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7.2 社会影响分析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_Toc32454 \h </w:instrText>
          </w:r>
          <w:r>
            <w:rPr>
              <w:rFonts w:hint="eastAsia" w:ascii="宋体" w:hAnsi="宋体" w:eastAsia="宋体" w:cs="宋体"/>
              <w:sz w:val="24"/>
              <w:szCs w:val="24"/>
            </w:rPr>
            <w:fldChar w:fldCharType="separate"/>
          </w:r>
          <w:r>
            <w:rPr>
              <w:rFonts w:hint="eastAsia" w:ascii="宋体" w:hAnsi="宋体" w:eastAsia="宋体" w:cs="宋体"/>
              <w:sz w:val="24"/>
              <w:szCs w:val="24"/>
            </w:rPr>
            <w:t>118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_Toc11052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7.3 生态环境影响分析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_Toc11052 \h </w:instrText>
          </w:r>
          <w:r>
            <w:rPr>
              <w:rFonts w:hint="eastAsia" w:ascii="宋体" w:hAnsi="宋体" w:eastAsia="宋体" w:cs="宋体"/>
              <w:sz w:val="24"/>
              <w:szCs w:val="24"/>
            </w:rPr>
            <w:fldChar w:fldCharType="separate"/>
          </w:r>
          <w:r>
            <w:rPr>
              <w:rFonts w:hint="eastAsia" w:ascii="宋体" w:hAnsi="宋体" w:eastAsia="宋体" w:cs="宋体"/>
              <w:sz w:val="24"/>
              <w:szCs w:val="24"/>
            </w:rPr>
            <w:t>120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_Toc28583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7.4 资源和能源利用效果分析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_Toc28583 \h </w:instrText>
          </w:r>
          <w:r>
            <w:rPr>
              <w:rFonts w:hint="eastAsia" w:ascii="宋体" w:hAnsi="宋体" w:eastAsia="宋体" w:cs="宋体"/>
              <w:sz w:val="24"/>
              <w:szCs w:val="24"/>
            </w:rPr>
            <w:fldChar w:fldCharType="separate"/>
          </w:r>
          <w:r>
            <w:rPr>
              <w:rFonts w:hint="eastAsia" w:ascii="宋体" w:hAnsi="宋体" w:eastAsia="宋体" w:cs="宋体"/>
              <w:sz w:val="24"/>
              <w:szCs w:val="24"/>
            </w:rPr>
            <w:t>124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_Toc3292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7.5 碳达峰碳中和分析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_Toc3292 \h </w:instrText>
          </w:r>
          <w:r>
            <w:rPr>
              <w:rFonts w:hint="eastAsia" w:ascii="宋体" w:hAnsi="宋体" w:eastAsia="宋体" w:cs="宋体"/>
              <w:sz w:val="24"/>
              <w:szCs w:val="24"/>
            </w:rPr>
            <w:fldChar w:fldCharType="separate"/>
          </w:r>
          <w:r>
            <w:rPr>
              <w:rFonts w:hint="eastAsia" w:ascii="宋体" w:hAnsi="宋体" w:eastAsia="宋体" w:cs="宋体"/>
              <w:sz w:val="24"/>
              <w:szCs w:val="24"/>
            </w:rPr>
            <w:t>128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_Toc24126 </w:instrText>
          </w:r>
          <w:r>
            <w:rPr>
              <w:rFonts w:hint="eastAsia" w:ascii="宋体" w:hAnsi="宋体" w:eastAsia="宋体" w:cs="宋体"/>
              <w:sz w:val="24"/>
              <w:szCs w:val="24"/>
            </w:rPr>
            <w:fldChar w:fldCharType="separate"/>
          </w:r>
          <w:r>
            <w:rPr>
              <w:rFonts w:hint="eastAsia" w:ascii="宋体" w:hAnsi="宋体" w:eastAsia="宋体" w:cs="宋体"/>
              <w:bCs/>
              <w:sz w:val="24"/>
              <w:szCs w:val="24"/>
            </w:rPr>
            <w:t>第八章 项目风险管控方案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_Toc24126 \h </w:instrText>
          </w:r>
          <w:r>
            <w:rPr>
              <w:rFonts w:hint="eastAsia" w:ascii="宋体" w:hAnsi="宋体" w:eastAsia="宋体" w:cs="宋体"/>
              <w:sz w:val="24"/>
              <w:szCs w:val="24"/>
            </w:rPr>
            <w:fldChar w:fldCharType="separate"/>
          </w:r>
          <w:r>
            <w:rPr>
              <w:rFonts w:hint="eastAsia" w:ascii="宋体" w:hAnsi="宋体" w:eastAsia="宋体" w:cs="宋体"/>
              <w:sz w:val="24"/>
              <w:szCs w:val="24"/>
            </w:rPr>
            <w:t>130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_Toc29768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8.1 风险识别与评价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_Toc29768 \h </w:instrText>
          </w:r>
          <w:r>
            <w:rPr>
              <w:rFonts w:hint="eastAsia" w:ascii="宋体" w:hAnsi="宋体" w:eastAsia="宋体" w:cs="宋体"/>
              <w:sz w:val="24"/>
              <w:szCs w:val="24"/>
            </w:rPr>
            <w:fldChar w:fldCharType="separate"/>
          </w:r>
          <w:r>
            <w:rPr>
              <w:rFonts w:hint="eastAsia" w:ascii="宋体" w:hAnsi="宋体" w:eastAsia="宋体" w:cs="宋体"/>
              <w:sz w:val="24"/>
              <w:szCs w:val="24"/>
            </w:rPr>
            <w:t>130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_Toc17416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8.2 风险评估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_Toc17416 \h </w:instrText>
          </w:r>
          <w:r>
            <w:rPr>
              <w:rFonts w:hint="eastAsia" w:ascii="宋体" w:hAnsi="宋体" w:eastAsia="宋体" w:cs="宋体"/>
              <w:sz w:val="24"/>
              <w:szCs w:val="24"/>
            </w:rPr>
            <w:fldChar w:fldCharType="separate"/>
          </w:r>
          <w:r>
            <w:rPr>
              <w:rFonts w:hint="eastAsia" w:ascii="宋体" w:hAnsi="宋体" w:eastAsia="宋体" w:cs="宋体"/>
              <w:sz w:val="24"/>
              <w:szCs w:val="24"/>
            </w:rPr>
            <w:t>131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_Toc19938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8.3 风险管控方案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_Toc19938 \h </w:instrText>
          </w:r>
          <w:r>
            <w:rPr>
              <w:rFonts w:hint="eastAsia" w:ascii="宋体" w:hAnsi="宋体" w:eastAsia="宋体" w:cs="宋体"/>
              <w:sz w:val="24"/>
              <w:szCs w:val="24"/>
            </w:rPr>
            <w:fldChar w:fldCharType="separate"/>
          </w:r>
          <w:r>
            <w:rPr>
              <w:rFonts w:hint="eastAsia" w:ascii="宋体" w:hAnsi="宋体" w:eastAsia="宋体" w:cs="宋体"/>
              <w:sz w:val="24"/>
              <w:szCs w:val="24"/>
            </w:rPr>
            <w:t>132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_Toc30960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8.4 重大风险管控应急预案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_Toc30960 \h </w:instrText>
          </w:r>
          <w:r>
            <w:rPr>
              <w:rFonts w:hint="eastAsia" w:ascii="宋体" w:hAnsi="宋体" w:eastAsia="宋体" w:cs="宋体"/>
              <w:sz w:val="24"/>
              <w:szCs w:val="24"/>
            </w:rPr>
            <w:fldChar w:fldCharType="separate"/>
          </w:r>
          <w:r>
            <w:rPr>
              <w:rFonts w:hint="eastAsia" w:ascii="宋体" w:hAnsi="宋体" w:eastAsia="宋体" w:cs="宋体"/>
              <w:sz w:val="24"/>
              <w:szCs w:val="24"/>
            </w:rPr>
            <w:t>134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_Toc16934 </w:instrText>
          </w:r>
          <w:r>
            <w:rPr>
              <w:rFonts w:hint="eastAsia" w:ascii="宋体" w:hAnsi="宋体" w:eastAsia="宋体" w:cs="宋体"/>
              <w:sz w:val="24"/>
              <w:szCs w:val="24"/>
            </w:rPr>
            <w:fldChar w:fldCharType="separate"/>
          </w:r>
          <w:r>
            <w:rPr>
              <w:rFonts w:hint="eastAsia" w:ascii="宋体" w:hAnsi="宋体" w:eastAsia="宋体" w:cs="宋体"/>
              <w:bCs/>
              <w:sz w:val="24"/>
              <w:szCs w:val="24"/>
            </w:rPr>
            <w:t>第九章 结论和建议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_Toc16934 \h </w:instrText>
          </w:r>
          <w:r>
            <w:rPr>
              <w:rFonts w:hint="eastAsia" w:ascii="宋体" w:hAnsi="宋体" w:eastAsia="宋体" w:cs="宋体"/>
              <w:sz w:val="24"/>
              <w:szCs w:val="24"/>
            </w:rPr>
            <w:fldChar w:fldCharType="separate"/>
          </w:r>
          <w:r>
            <w:rPr>
              <w:rFonts w:hint="eastAsia" w:ascii="宋体" w:hAnsi="宋体" w:eastAsia="宋体" w:cs="宋体"/>
              <w:sz w:val="24"/>
              <w:szCs w:val="24"/>
            </w:rPr>
            <w:t>136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_Toc23258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9.1 结论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_Toc23258 \h </w:instrText>
          </w:r>
          <w:r>
            <w:rPr>
              <w:rFonts w:hint="eastAsia" w:ascii="宋体" w:hAnsi="宋体" w:eastAsia="宋体" w:cs="宋体"/>
              <w:sz w:val="24"/>
              <w:szCs w:val="24"/>
            </w:rPr>
            <w:fldChar w:fldCharType="separate"/>
          </w:r>
          <w:r>
            <w:rPr>
              <w:rFonts w:hint="eastAsia" w:ascii="宋体" w:hAnsi="宋体" w:eastAsia="宋体" w:cs="宋体"/>
              <w:sz w:val="24"/>
              <w:szCs w:val="24"/>
            </w:rPr>
            <w:t>136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_Toc31084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9.2 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_Toc31084 \h </w:instrText>
          </w:r>
          <w:r>
            <w:rPr>
              <w:rFonts w:hint="eastAsia" w:ascii="宋体" w:hAnsi="宋体" w:eastAsia="宋体" w:cs="宋体"/>
              <w:sz w:val="24"/>
              <w:szCs w:val="24"/>
            </w:rPr>
            <w:fldChar w:fldCharType="separate"/>
          </w:r>
          <w:r>
            <w:rPr>
              <w:rFonts w:hint="eastAsia" w:ascii="宋体" w:hAnsi="宋体" w:eastAsia="宋体" w:cs="宋体"/>
              <w:sz w:val="24"/>
              <w:szCs w:val="24"/>
            </w:rPr>
            <w:t>136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_Toc21143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附表1：建设投资估算表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_Toc21143 \h </w:instrText>
          </w:r>
          <w:r>
            <w:rPr>
              <w:rFonts w:hint="eastAsia" w:ascii="宋体" w:hAnsi="宋体" w:eastAsia="宋体" w:cs="宋体"/>
              <w:sz w:val="24"/>
              <w:szCs w:val="24"/>
            </w:rPr>
            <w:fldChar w:fldCharType="separate"/>
          </w:r>
          <w:r>
            <w:rPr>
              <w:rFonts w:hint="eastAsia" w:ascii="宋体" w:hAnsi="宋体" w:eastAsia="宋体" w:cs="宋体"/>
              <w:sz w:val="24"/>
              <w:szCs w:val="24"/>
            </w:rPr>
            <w:t>138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_Toc7071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附表2：固定资产折旧表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_Toc7071 \h </w:instrText>
          </w:r>
          <w:r>
            <w:rPr>
              <w:rFonts w:hint="eastAsia" w:ascii="宋体" w:hAnsi="宋体" w:eastAsia="宋体" w:cs="宋体"/>
              <w:sz w:val="24"/>
              <w:szCs w:val="24"/>
            </w:rPr>
            <w:fldChar w:fldCharType="separate"/>
          </w:r>
          <w:r>
            <w:rPr>
              <w:rFonts w:hint="eastAsia" w:ascii="宋体" w:hAnsi="宋体" w:eastAsia="宋体" w:cs="宋体"/>
              <w:sz w:val="24"/>
              <w:szCs w:val="24"/>
            </w:rPr>
            <w:t>142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_Toc10595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附表3：营业收入及税金表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_Toc10595 \h </w:instrText>
          </w:r>
          <w:r>
            <w:rPr>
              <w:rFonts w:hint="eastAsia" w:ascii="宋体" w:hAnsi="宋体" w:eastAsia="宋体" w:cs="宋体"/>
              <w:sz w:val="24"/>
              <w:szCs w:val="24"/>
            </w:rPr>
            <w:fldChar w:fldCharType="separate"/>
          </w:r>
          <w:r>
            <w:rPr>
              <w:rFonts w:hint="eastAsia" w:ascii="宋体" w:hAnsi="宋体" w:eastAsia="宋体" w:cs="宋体"/>
              <w:sz w:val="24"/>
              <w:szCs w:val="24"/>
            </w:rPr>
            <w:t>144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_Toc21044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附表4：总成本费用表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_Toc21044 \h </w:instrText>
          </w:r>
          <w:r>
            <w:rPr>
              <w:rFonts w:hint="eastAsia" w:ascii="宋体" w:hAnsi="宋体" w:eastAsia="宋体" w:cs="宋体"/>
              <w:sz w:val="24"/>
              <w:szCs w:val="24"/>
            </w:rPr>
            <w:fldChar w:fldCharType="separate"/>
          </w:r>
          <w:r>
            <w:rPr>
              <w:rFonts w:hint="eastAsia" w:ascii="宋体" w:hAnsi="宋体" w:eastAsia="宋体" w:cs="宋体"/>
              <w:sz w:val="24"/>
              <w:szCs w:val="24"/>
            </w:rPr>
            <w:t>148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_Toc31574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附表5：利润及利润分配表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_Toc31574 \h </w:instrText>
          </w:r>
          <w:r>
            <w:rPr>
              <w:rFonts w:hint="eastAsia" w:ascii="宋体" w:hAnsi="宋体" w:eastAsia="宋体" w:cs="宋体"/>
              <w:sz w:val="24"/>
              <w:szCs w:val="24"/>
            </w:rPr>
            <w:fldChar w:fldCharType="separate"/>
          </w:r>
          <w:r>
            <w:rPr>
              <w:rFonts w:hint="eastAsia" w:ascii="宋体" w:hAnsi="宋体" w:eastAsia="宋体" w:cs="宋体"/>
              <w:sz w:val="24"/>
              <w:szCs w:val="24"/>
            </w:rPr>
            <w:t>150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_Toc1883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附表6：项目投资现金流量表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_Toc1883 \h </w:instrText>
          </w:r>
          <w:r>
            <w:rPr>
              <w:rFonts w:hint="eastAsia" w:ascii="宋体" w:hAnsi="宋体" w:eastAsia="宋体" w:cs="宋体"/>
              <w:sz w:val="24"/>
              <w:szCs w:val="24"/>
            </w:rPr>
            <w:fldChar w:fldCharType="separate"/>
          </w:r>
          <w:r>
            <w:rPr>
              <w:rFonts w:hint="eastAsia" w:ascii="宋体" w:hAnsi="宋体" w:eastAsia="宋体" w:cs="宋体"/>
              <w:sz w:val="24"/>
              <w:szCs w:val="24"/>
            </w:rPr>
            <w:t>154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_Toc13946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附表7：还本付息表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_Toc13946 \h </w:instrText>
          </w:r>
          <w:r>
            <w:rPr>
              <w:rFonts w:hint="eastAsia" w:ascii="宋体" w:hAnsi="宋体" w:eastAsia="宋体" w:cs="宋体"/>
              <w:sz w:val="24"/>
              <w:szCs w:val="24"/>
            </w:rPr>
            <w:fldChar w:fldCharType="separate"/>
          </w:r>
          <w:r>
            <w:rPr>
              <w:rFonts w:hint="eastAsia" w:ascii="宋体" w:hAnsi="宋体" w:eastAsia="宋体" w:cs="宋体"/>
              <w:sz w:val="24"/>
              <w:szCs w:val="24"/>
            </w:rPr>
            <w:t>158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_Toc13125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附表8：大成包装2025年7月10日—2025年10月10日用电量统计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_Toc13125 \h </w:instrText>
          </w:r>
          <w:r>
            <w:rPr>
              <w:rFonts w:hint="eastAsia" w:ascii="宋体" w:hAnsi="宋体" w:eastAsia="宋体" w:cs="宋体"/>
              <w:sz w:val="24"/>
              <w:szCs w:val="24"/>
            </w:rPr>
            <w:fldChar w:fldCharType="separate"/>
          </w:r>
          <w:r>
            <w:rPr>
              <w:rFonts w:hint="eastAsia" w:ascii="宋体" w:hAnsi="宋体" w:eastAsia="宋体" w:cs="宋体"/>
              <w:sz w:val="24"/>
              <w:szCs w:val="24"/>
            </w:rPr>
            <w:t>160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keepNext w:val="false"/>
            <w:keepLines w:val="false"/>
            <w:pageBreakBefore w:val="false"/>
            <w:widowControl/>
            <w:wordWrap/>
            <w:overflowPunct/>
            <w:topLinePunct w:val="false"/>
            <w:bidi w:val="false"/>
            <w:spacing w:line="360" w:lineRule="auto"/>
            <w:rPr>
              <w:b/>
            </w:rPr>
          </w:pPr>
          <w:r>
            <w:rPr>
              <w:rFonts w:hint="eastAsia" w:ascii="宋体" w:hAnsi="宋体" w:eastAsia="宋体" w:cs="宋体"/>
              <w:szCs w:val="24"/>
            </w:rPr>
            <w:fldChar w:fldCharType="end"/>
          </w:r>
        </w:p>
      </w:sdtContent>
    </w:sdt>
    <w:p>
      <w:pPr>
        <w:rPr>
          <w:b/>
        </w:rPr>
      </w:pPr>
    </w:p>
    <w:p>
      <w:pPr>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6" w:name="_GoBack"/>
      <w:bookmarkEnd w:id="6"/>
    </w:p>
    <w:p>
      <w:pPr>
        <w:keepNext w:val="false"/>
        <w:keepLines w:val="false"/>
        <w:pageBreakBefore w:val="false"/>
        <w:widowControl w:val="false"/>
        <w:kinsoku/>
        <w:wordWrap/>
        <w:overflowPunct/>
        <w:topLinePunct/>
        <w:autoSpaceDE w:val="false"/>
        <w:autoSpaceDN/>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rPr>
      </w:pPr>
      <w:bookmarkStart w:id="7" w:name="_Toc10462"/>
      <w:r>
        <w:rPr>
          <w:rFonts w:hint="eastAsia" w:ascii="宋体" w:hAnsi="宋体" w:eastAsia="宋体" w:cs="宋体"/>
          <w:b/>
          <w:bCs/>
          <w:sz w:val="36"/>
          <w:szCs w:val="36"/>
        </w:rPr>
        <w:t>第一章 总论</w:t>
      </w:r>
      <w:bookmarkEnd w:id="3"/>
      <w:bookmarkEnd w:id="4"/>
      <w:bookmarkEnd w:id="5"/>
      <w:bookmarkEnd w:id="7"/>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8" w:name="_Toc18612"/>
      <w:bookmarkStart w:id="9" w:name="_Toc15962"/>
      <w:bookmarkStart w:id="10" w:name="_Toc1387"/>
      <w:bookmarkStart w:id="11" w:name="_Toc27673"/>
      <w:bookmarkStart w:id="12" w:name="_Toc13929"/>
      <w:r>
        <w:rPr>
          <w:rFonts w:hint="eastAsia" w:ascii="宋体" w:hAnsi="宋体" w:eastAsia="宋体" w:cs="宋体"/>
          <w:b/>
          <w:bCs/>
          <w:sz w:val="28"/>
          <w:szCs w:val="28"/>
          <w:lang w:val="en-US" w:eastAsia="zh-CN"/>
        </w:rPr>
        <w:t>1.1 项目概况</w:t>
      </w:r>
      <w:bookmarkEnd w:id="8"/>
      <w:bookmarkEnd w:id="9"/>
      <w:bookmarkEnd w:id="10"/>
      <w:bookmarkEnd w:id="11"/>
      <w:bookmarkEnd w:id="12"/>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1.1.1 项目名称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 xml:space="preserve"> 河南大成包装材料有限公司源网荷储一体化项目</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1.1.2 项目建设单位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单位名称：河南中原智慧冷链物流园管理运营有限公司</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1.1.3 建设地点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项目地点位于：新乡市获嘉县</w:t>
      </w:r>
      <w:r>
        <w:rPr>
          <w:rFonts w:ascii="宋体" w:hAnsi="宋体" w:eastAsia="宋体" w:cs="宋体"/>
          <w:i w:val="false"/>
          <w:strike w:val="false"/>
          <w:spacing w:val="0"/>
          <w:sz w:val="28"/>
          <w:u w:val="none"/>
        </w:rPr>
        <w:t>先进制造业开发区梧桐路与安王公路交叉口东南角</w:t>
      </w:r>
      <w:r>
        <w:rPr>
          <w:rFonts w:hint="eastAsia" w:ascii="宋体" w:hAnsi="宋体" w:eastAsia="宋体" w:cs="宋体"/>
          <w:snapToGrid/>
          <w:color w:val="auto"/>
          <w:spacing w:val="0"/>
          <w:w w:val="100"/>
          <w:kern w:val="2"/>
          <w:position w:val="0"/>
          <w:sz w:val="28"/>
          <w:szCs w:val="28"/>
          <w:lang w:val="en-US" w:eastAsia="zh-CN" w:bidi="zh-CN"/>
        </w:rPr>
        <w:t>。</w:t>
      </w:r>
    </w:p>
    <w:p>
      <w:pPr>
        <w:snapToGrid w:val="false"/>
        <w:spacing w:before="157" w:after="157" w:line="360" w:lineRule="auto"/>
        <w:ind w:right="0"/>
        <w:jc w:val="both"/>
        <w:rPr>
          <w:rFonts w:hint="eastAsia" w:eastAsia="宋体"/>
          <w:lang w:eastAsia="zh-CN"/>
        </w:rPr>
      </w:pPr>
      <w:r>
        <w:rPr>
          <w:rFonts w:hint="eastAsia" w:eastAsia="宋体"/>
          <w:lang w:eastAsia="zh-CN"/>
        </w:rPr>
        <w:drawing>
          <wp:inline distT="0" distB="0" distL="114300" distR="114300">
            <wp:extent cx="5264785" cy="2599055"/>
            <wp:effectExtent l="0" t="0" r="8255" b="6985"/>
            <wp:docPr id="8" name="图片 4" descr="项目所在地图"/>
            <wp:cNvGraphicFramePr>
              <a:graphicFrameLocks noChangeAspect="true"/>
            </wp:cNvGraphicFramePr>
            <a:graphic>
              <a:graphicData uri="http://schemas.openxmlformats.org/drawingml/2006/picture">
                <pic:pic>
                  <pic:nvPicPr>
                    <pic:cNvPr id="9" name="图片 4" descr="项目所在地图"/>
                    <pic:cNvPicPr>
                      <a:picLocks noChangeAspect="true"/>
                    </pic:cNvPicPr>
                  </pic:nvPicPr>
                  <pic:blipFill>
                    <a:blip r:embed="rId9"/>
                    <a:stretch>
                      <a:fillRect/>
                    </a:stretch>
                  </pic:blipFill>
                  <pic:spPr>
                    <a:xfrm>
                      <a:off x="0" y="0"/>
                      <a:ext cx="5264785" cy="2599055"/>
                    </a:xfrm>
                    <a:prstGeom prst="rect">
                      <a:avLst/>
                    </a:prstGeom>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1.1.4 建设性质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新建</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1.1.5 项目建设内容和规模</w:t>
      </w:r>
    </w:p>
    <w:p>
      <w:pPr>
        <w:keepNext w:val="false"/>
        <w:keepLines w:val="false"/>
        <w:pageBreakBefore w:val="false"/>
        <w:widowControl w:val="false"/>
        <w:kinsoku/>
        <w:wordWrap/>
        <w:overflowPunct/>
        <w:topLinePunct/>
        <w:autoSpaceDE w:val="false"/>
        <w:autoSpaceDN/>
        <w:bidi w:val="false"/>
        <w:snapToGrid/>
        <w:spacing w:before="157" w:beforeLines="50" w:after="157" w:afterLines="50" w:line="360" w:lineRule="auto"/>
        <w:ind w:left="0" w:right="0" w:firstLine="560" w:firstLineChars="200"/>
        <w:jc w:val="both"/>
        <w:textAlignment w:val="baseline"/>
        <w:rPr>
          <w:rFonts w:hint="default" w:ascii="宋体" w:hAnsi="宋体" w:eastAsia="宋体" w:cs="宋体"/>
          <w:i w:val="false"/>
          <w:strike w:val="false"/>
          <w:spacing w:val="0"/>
          <w:sz w:val="28"/>
          <w:u w:val="none"/>
          <w:lang w:val="en-US" w:eastAsia="zh-CN"/>
        </w:rPr>
      </w:pPr>
      <w:r>
        <w:rPr>
          <w:rFonts w:hint="eastAsia" w:ascii="宋体" w:hAnsi="宋体" w:eastAsia="宋体" w:cs="宋体"/>
          <w:i w:val="false"/>
          <w:strike w:val="false"/>
          <w:spacing w:val="0"/>
          <w:sz w:val="28"/>
          <w:u w:val="none"/>
          <w:lang w:val="en-US" w:eastAsia="zh-CN"/>
        </w:rPr>
        <w:t>1、建设内容及规模</w:t>
      </w:r>
    </w:p>
    <w:p>
      <w:pPr>
        <w:keepNext w:val="false"/>
        <w:keepLines w:val="false"/>
        <w:pageBreakBefore w:val="false"/>
        <w:widowControl w:val="false"/>
        <w:pBdr>
          <w:bottom w:val="none" w:color="auto" w:sz="0" w:space="0"/>
        </w:pBdr>
        <w:kinsoku/>
        <w:wordWrap/>
        <w:overflowPunct/>
        <w:topLinePunct/>
        <w:autoSpaceDE w:val="false"/>
        <w:autoSpaceDN/>
        <w:bidi w:val="false"/>
        <w:snapToGrid/>
        <w:spacing w:before="157" w:beforeLines="50" w:after="157" w:afterLines="50" w:line="360" w:lineRule="auto"/>
        <w:ind w:left="0" w:right="0" w:firstLine="560" w:firstLineChars="200"/>
        <w:jc w:val="both"/>
        <w:textAlignment w:val="baseline"/>
        <w:rPr>
          <w:rFonts w:ascii="宋体" w:hAnsi="宋体" w:eastAsia="宋体" w:cs="宋体"/>
          <w:i w:val="false"/>
          <w:strike w:val="false"/>
          <w:color w:val="000000"/>
          <w:spacing w:val="0"/>
          <w:sz w:val="28"/>
          <w:u w:val="none"/>
        </w:rPr>
      </w:pPr>
      <w:r>
        <w:rPr>
          <w:rFonts w:hint="eastAsia" w:ascii="宋体" w:hAnsi="宋体" w:eastAsia="宋体" w:cs="宋体"/>
          <w:i w:val="false"/>
          <w:strike w:val="false"/>
          <w:color w:val="000000"/>
          <w:spacing w:val="0"/>
          <w:sz w:val="28"/>
          <w:u w:val="none"/>
        </w:rPr>
        <w:t>河南大成包装材料有限公司源网荷储一体化项目分为两期建设，需要在</w:t>
      </w:r>
      <w:r>
        <w:rPr>
          <w:rFonts w:hint="eastAsia" w:ascii="宋体" w:hAnsi="宋体" w:eastAsia="宋体" w:cs="宋体"/>
          <w:i w:val="false"/>
          <w:strike w:val="false"/>
          <w:color w:val="000000"/>
          <w:spacing w:val="0"/>
          <w:sz w:val="28"/>
          <w:u w:val="none"/>
          <w:lang w:val="en-US" w:eastAsia="zh-CN"/>
        </w:rPr>
        <w:t>获嘉</w:t>
      </w:r>
      <w:r>
        <w:rPr>
          <w:rFonts w:hint="eastAsia" w:ascii="宋体" w:hAnsi="宋体" w:eastAsia="宋体" w:cs="宋体"/>
          <w:snapToGrid/>
          <w:color w:val="000000"/>
          <w:spacing w:val="0"/>
          <w:w w:val="100"/>
          <w:kern w:val="2"/>
          <w:position w:val="0"/>
          <w:sz w:val="28"/>
          <w:szCs w:val="28"/>
          <w:lang w:val="en-US" w:eastAsia="zh-CN" w:bidi="zh-CN"/>
        </w:rPr>
        <w:t>县产业集聚区创业孵化</w:t>
      </w:r>
      <w:r>
        <w:rPr>
          <w:rFonts w:ascii="宋体" w:hAnsi="宋体" w:eastAsia="宋体" w:cs="宋体"/>
          <w:i w:val="false"/>
          <w:strike w:val="false"/>
          <w:color w:val="000000"/>
          <w:spacing w:val="0"/>
          <w:sz w:val="28"/>
          <w:u w:val="none"/>
        </w:rPr>
        <w:t>园区内工业厂房屋顶部署</w:t>
      </w:r>
      <w:r>
        <w:rPr>
          <w:rFonts w:hint="eastAsia" w:ascii="宋体" w:hAnsi="宋体" w:eastAsia="宋体" w:cs="宋体"/>
          <w:i w:val="false"/>
          <w:strike w:val="false"/>
          <w:color w:val="000000"/>
          <w:spacing w:val="0"/>
          <w:sz w:val="28"/>
          <w:u w:val="none"/>
          <w:lang w:val="en-US" w:eastAsia="zh-CN"/>
        </w:rPr>
        <w:t>5956kW</w:t>
      </w:r>
      <w:r>
        <w:rPr>
          <w:rFonts w:ascii="宋体" w:hAnsi="宋体" w:eastAsia="宋体" w:cs="宋体"/>
          <w:i w:val="false"/>
          <w:strike w:val="false"/>
          <w:color w:val="000000"/>
          <w:spacing w:val="0"/>
          <w:sz w:val="28"/>
          <w:u w:val="none"/>
        </w:rPr>
        <w:t>的分布式光伏发电系统，并配套安装</w:t>
      </w:r>
      <w:r>
        <w:rPr>
          <w:rFonts w:hint="eastAsia" w:ascii="宋体" w:hAnsi="宋体" w:eastAsia="宋体" w:cs="宋体"/>
          <w:i w:val="false"/>
          <w:strike w:val="false"/>
          <w:color w:val="000000"/>
          <w:spacing w:val="0"/>
          <w:sz w:val="28"/>
          <w:u w:val="none"/>
        </w:rPr>
        <w:t>20</w:t>
      </w:r>
      <w:r>
        <w:rPr>
          <w:rFonts w:ascii="宋体" w:hAnsi="宋体" w:eastAsia="宋体" w:cs="宋体"/>
          <w:i w:val="false"/>
          <w:strike w:val="false"/>
          <w:color w:val="000000"/>
          <w:spacing w:val="0"/>
          <w:sz w:val="28"/>
          <w:u w:val="none"/>
        </w:rPr>
        <w:t>MW/</w:t>
      </w:r>
      <w:r>
        <w:rPr>
          <w:rFonts w:hint="eastAsia" w:ascii="宋体" w:hAnsi="宋体" w:eastAsia="宋体" w:cs="宋体"/>
          <w:i w:val="false"/>
          <w:strike w:val="false"/>
          <w:color w:val="000000"/>
          <w:spacing w:val="0"/>
          <w:sz w:val="28"/>
          <w:u w:val="none"/>
        </w:rPr>
        <w:t>40</w:t>
      </w:r>
      <w:r>
        <w:rPr>
          <w:rFonts w:ascii="宋体" w:hAnsi="宋体" w:eastAsia="宋体" w:cs="宋体"/>
          <w:i w:val="false"/>
          <w:strike w:val="false"/>
          <w:color w:val="000000"/>
          <w:spacing w:val="0"/>
          <w:sz w:val="28"/>
          <w:u w:val="none"/>
        </w:rPr>
        <w:t>MWh用户侧储能设施</w:t>
      </w:r>
      <w:r>
        <w:rPr>
          <w:rFonts w:hint="eastAsia" w:ascii="宋体" w:hAnsi="宋体" w:eastAsia="宋体" w:cs="宋体"/>
          <w:i w:val="false"/>
          <w:strike w:val="false"/>
          <w:color w:val="000000"/>
          <w:spacing w:val="0"/>
          <w:sz w:val="28"/>
          <w:u w:val="none"/>
        </w:rPr>
        <w:t>（包含3MW充换点储能设备）</w:t>
      </w:r>
      <w:r>
        <w:rPr>
          <w:rFonts w:ascii="宋体" w:hAnsi="宋体" w:eastAsia="宋体" w:cs="宋体"/>
          <w:i w:val="false"/>
          <w:strike w:val="false"/>
          <w:color w:val="000000"/>
          <w:spacing w:val="0"/>
          <w:sz w:val="28"/>
          <w:u w:val="none"/>
        </w:rPr>
        <w:t>，安装</w:t>
      </w:r>
      <w:r>
        <w:rPr>
          <w:rFonts w:hint="eastAsia" w:ascii="宋体" w:hAnsi="宋体" w:eastAsia="宋体" w:cs="宋体"/>
          <w:i w:val="false"/>
          <w:strike w:val="false"/>
          <w:color w:val="000000"/>
          <w:spacing w:val="0"/>
          <w:sz w:val="28"/>
          <w:u w:val="none"/>
          <w:lang w:val="en-US" w:eastAsia="zh-CN"/>
        </w:rPr>
        <w:t>5</w:t>
      </w:r>
      <w:r>
        <w:rPr>
          <w:rFonts w:ascii="宋体" w:hAnsi="宋体" w:eastAsia="宋体" w:cs="宋体"/>
          <w:i w:val="false"/>
          <w:strike w:val="false"/>
          <w:color w:val="000000"/>
          <w:spacing w:val="0"/>
          <w:sz w:val="28"/>
          <w:u w:val="none"/>
        </w:rPr>
        <w:t>个600</w:t>
      </w:r>
      <w:r>
        <w:rPr>
          <w:rFonts w:hint="eastAsia" w:ascii="宋体" w:hAnsi="宋体" w:eastAsia="宋体" w:cs="宋体"/>
          <w:i w:val="false"/>
          <w:strike w:val="false"/>
          <w:color w:val="000000"/>
          <w:spacing w:val="0"/>
          <w:sz w:val="28"/>
          <w:u w:val="none"/>
          <w:lang w:eastAsia="zh-CN"/>
        </w:rPr>
        <w:t>kW</w:t>
      </w:r>
      <w:r>
        <w:rPr>
          <w:rFonts w:ascii="宋体" w:hAnsi="宋体" w:eastAsia="宋体" w:cs="宋体"/>
          <w:i w:val="false"/>
          <w:strike w:val="false"/>
          <w:color w:val="000000"/>
          <w:spacing w:val="0"/>
          <w:sz w:val="28"/>
          <w:u w:val="none"/>
        </w:rPr>
        <w:t>液冷光伏充电桩，同步实施园区其他相关配套工程</w:t>
      </w:r>
      <w:r>
        <w:rPr>
          <w:rFonts w:hint="eastAsia" w:ascii="宋体" w:hAnsi="宋体" w:eastAsia="宋体" w:cs="宋体"/>
          <w:i w:val="false"/>
          <w:strike w:val="false"/>
          <w:color w:val="000000"/>
          <w:spacing w:val="0"/>
          <w:sz w:val="28"/>
          <w:u w:val="none"/>
        </w:rPr>
        <w:t>。</w:t>
      </w:r>
    </w:p>
    <w:p>
      <w:pPr>
        <w:keepNext w:val="false"/>
        <w:keepLines w:val="false"/>
        <w:pageBreakBefore w:val="false"/>
        <w:widowControl w:val="false"/>
        <w:kinsoku/>
        <w:wordWrap/>
        <w:overflowPunct/>
        <w:topLinePunct/>
        <w:autoSpaceDE w:val="false"/>
        <w:autoSpaceDN/>
        <w:bidi w:val="false"/>
        <w:snapToGrid/>
        <w:spacing w:before="157" w:beforeLines="50" w:after="157" w:afterLines="50" w:line="360" w:lineRule="auto"/>
        <w:ind w:left="0" w:right="0" w:firstLine="560" w:firstLineChars="200"/>
        <w:jc w:val="both"/>
        <w:textAlignment w:val="baseline"/>
        <w:rPr>
          <w:rFonts w:ascii="宋体" w:hAnsi="宋体" w:eastAsia="宋体" w:cs="宋体"/>
          <w:i w:val="false"/>
          <w:strike w:val="false"/>
          <w:color w:val="000000"/>
          <w:spacing w:val="0"/>
          <w:sz w:val="28"/>
          <w:u w:val="none"/>
        </w:rPr>
      </w:pPr>
      <w:r>
        <w:rPr>
          <w:rFonts w:hint="eastAsia" w:ascii="宋体" w:hAnsi="宋体" w:eastAsia="宋体" w:cs="宋体"/>
          <w:i w:val="false"/>
          <w:strike w:val="false"/>
          <w:color w:val="000000"/>
          <w:spacing w:val="0"/>
          <w:sz w:val="28"/>
          <w:u w:val="none"/>
        </w:rPr>
        <w:t>本项目为（一期）建设内容，需要在</w:t>
      </w:r>
      <w:r>
        <w:rPr>
          <w:rFonts w:hint="eastAsia" w:ascii="宋体" w:hAnsi="宋体" w:eastAsia="宋体" w:cs="宋体"/>
          <w:i w:val="false"/>
          <w:strike w:val="false"/>
          <w:color w:val="000000"/>
          <w:spacing w:val="0"/>
          <w:sz w:val="28"/>
          <w:u w:val="none"/>
          <w:lang w:val="en-US" w:eastAsia="zh-CN"/>
        </w:rPr>
        <w:t>获嘉</w:t>
      </w:r>
      <w:r>
        <w:rPr>
          <w:rFonts w:hint="eastAsia" w:ascii="宋体" w:hAnsi="宋体" w:eastAsia="宋体" w:cs="宋体"/>
          <w:snapToGrid/>
          <w:color w:val="000000"/>
          <w:spacing w:val="0"/>
          <w:w w:val="100"/>
          <w:kern w:val="2"/>
          <w:position w:val="0"/>
          <w:sz w:val="28"/>
          <w:szCs w:val="28"/>
          <w:lang w:val="en-US" w:eastAsia="zh-CN" w:bidi="zh-CN"/>
        </w:rPr>
        <w:t>县产业集聚区创业孵化</w:t>
      </w:r>
      <w:r>
        <w:rPr>
          <w:rFonts w:ascii="宋体" w:hAnsi="宋体" w:eastAsia="宋体" w:cs="宋体"/>
          <w:i w:val="false"/>
          <w:strike w:val="false"/>
          <w:color w:val="000000"/>
          <w:spacing w:val="0"/>
          <w:sz w:val="28"/>
          <w:u w:val="none"/>
        </w:rPr>
        <w:t>园区内工业厂房屋顶部署</w:t>
      </w:r>
      <w:r>
        <w:rPr>
          <w:rFonts w:hint="eastAsia" w:ascii="宋体" w:hAnsi="宋体" w:eastAsia="宋体" w:cs="宋体"/>
          <w:i w:val="false"/>
          <w:strike w:val="false"/>
          <w:color w:val="000000"/>
          <w:spacing w:val="0"/>
          <w:sz w:val="28"/>
          <w:u w:val="none"/>
          <w:lang w:val="en-US" w:eastAsia="zh-CN"/>
        </w:rPr>
        <w:t>5956kW</w:t>
      </w:r>
      <w:r>
        <w:rPr>
          <w:rFonts w:ascii="宋体" w:hAnsi="宋体" w:eastAsia="宋体" w:cs="宋体"/>
          <w:i w:val="false"/>
          <w:strike w:val="false"/>
          <w:color w:val="000000"/>
          <w:spacing w:val="0"/>
          <w:sz w:val="28"/>
          <w:u w:val="none"/>
        </w:rPr>
        <w:t>的分布式光伏发电系统，并配套安装</w:t>
      </w:r>
      <w:r>
        <w:rPr>
          <w:rFonts w:hint="eastAsia" w:ascii="宋体" w:hAnsi="宋体" w:eastAsia="宋体" w:cs="宋体"/>
          <w:i w:val="false"/>
          <w:strike w:val="false"/>
          <w:color w:val="000000"/>
          <w:spacing w:val="0"/>
          <w:sz w:val="28"/>
          <w:u w:val="none"/>
          <w:lang w:val="en-US" w:eastAsia="zh-CN"/>
        </w:rPr>
        <w:t>8.5</w:t>
      </w:r>
      <w:r>
        <w:rPr>
          <w:rFonts w:ascii="宋体" w:hAnsi="宋体" w:eastAsia="宋体" w:cs="宋体"/>
          <w:i w:val="false"/>
          <w:strike w:val="false"/>
          <w:color w:val="000000"/>
          <w:spacing w:val="0"/>
          <w:sz w:val="28"/>
          <w:u w:val="none"/>
        </w:rPr>
        <w:t>MW/</w:t>
      </w:r>
      <w:r>
        <w:rPr>
          <w:rFonts w:hint="eastAsia" w:ascii="宋体" w:hAnsi="宋体" w:eastAsia="宋体" w:cs="宋体"/>
          <w:i w:val="false"/>
          <w:strike w:val="false"/>
          <w:color w:val="000000"/>
          <w:spacing w:val="0"/>
          <w:sz w:val="28"/>
          <w:u w:val="none"/>
          <w:lang w:val="en-US" w:eastAsia="zh-CN"/>
        </w:rPr>
        <w:t>17</w:t>
      </w:r>
      <w:r>
        <w:rPr>
          <w:rFonts w:ascii="宋体" w:hAnsi="宋体" w:eastAsia="宋体" w:cs="宋体"/>
          <w:i w:val="false"/>
          <w:strike w:val="false"/>
          <w:color w:val="000000"/>
          <w:spacing w:val="0"/>
          <w:sz w:val="28"/>
          <w:u w:val="none"/>
        </w:rPr>
        <w:t>MWh用户侧储能设施</w:t>
      </w:r>
      <w:r>
        <w:rPr>
          <w:rFonts w:hint="eastAsia" w:ascii="宋体" w:hAnsi="宋体" w:eastAsia="宋体" w:cs="宋体"/>
          <w:i w:val="false"/>
          <w:strike w:val="false"/>
          <w:color w:val="000000"/>
          <w:spacing w:val="0"/>
          <w:sz w:val="28"/>
          <w:u w:val="none"/>
        </w:rPr>
        <w:t>（包含3MW充换点储能设备）</w:t>
      </w:r>
      <w:r>
        <w:rPr>
          <w:rFonts w:ascii="宋体" w:hAnsi="宋体" w:eastAsia="宋体" w:cs="宋体"/>
          <w:i w:val="false"/>
          <w:strike w:val="false"/>
          <w:color w:val="000000"/>
          <w:spacing w:val="0"/>
          <w:sz w:val="28"/>
          <w:u w:val="none"/>
        </w:rPr>
        <w:t>，安装</w:t>
      </w:r>
      <w:r>
        <w:rPr>
          <w:rFonts w:hint="eastAsia" w:ascii="宋体" w:hAnsi="宋体" w:eastAsia="宋体" w:cs="宋体"/>
          <w:i w:val="false"/>
          <w:strike w:val="false"/>
          <w:color w:val="000000"/>
          <w:spacing w:val="0"/>
          <w:sz w:val="28"/>
          <w:u w:val="none"/>
          <w:lang w:val="en-US" w:eastAsia="zh-CN"/>
        </w:rPr>
        <w:t>5</w:t>
      </w:r>
      <w:r>
        <w:rPr>
          <w:rFonts w:ascii="宋体" w:hAnsi="宋体" w:eastAsia="宋体" w:cs="宋体"/>
          <w:i w:val="false"/>
          <w:strike w:val="false"/>
          <w:color w:val="000000"/>
          <w:spacing w:val="0"/>
          <w:sz w:val="28"/>
          <w:u w:val="none"/>
        </w:rPr>
        <w:t>个600</w:t>
      </w:r>
      <w:r>
        <w:rPr>
          <w:rFonts w:hint="eastAsia" w:ascii="宋体" w:hAnsi="宋体" w:eastAsia="宋体" w:cs="宋体"/>
          <w:i w:val="false"/>
          <w:strike w:val="false"/>
          <w:color w:val="000000"/>
          <w:spacing w:val="0"/>
          <w:sz w:val="28"/>
          <w:u w:val="none"/>
          <w:lang w:eastAsia="zh-CN"/>
        </w:rPr>
        <w:t>kW</w:t>
      </w:r>
      <w:r>
        <w:rPr>
          <w:rFonts w:ascii="宋体" w:hAnsi="宋体" w:eastAsia="宋体" w:cs="宋体"/>
          <w:i w:val="false"/>
          <w:strike w:val="false"/>
          <w:color w:val="000000"/>
          <w:spacing w:val="0"/>
          <w:sz w:val="28"/>
          <w:u w:val="none"/>
        </w:rPr>
        <w:t>液冷光伏充电桩，同步实施园区其他相关配套工程</w:t>
      </w:r>
      <w:r>
        <w:rPr>
          <w:rFonts w:hint="eastAsia" w:ascii="宋体" w:hAnsi="宋体" w:eastAsia="宋体" w:cs="宋体"/>
          <w:i w:val="false"/>
          <w:strike w:val="false"/>
          <w:color w:val="000000"/>
          <w:spacing w:val="0"/>
          <w:sz w:val="28"/>
          <w:u w:val="none"/>
        </w:rPr>
        <w:t>，</w:t>
      </w:r>
      <w:r>
        <w:rPr>
          <w:rFonts w:hint="eastAsia" w:ascii="宋体" w:hAnsi="宋体" w:eastAsia="宋体" w:cs="宋体"/>
          <w:i w:val="false"/>
          <w:strike w:val="false"/>
          <w:color w:val="000000"/>
          <w:spacing w:val="0"/>
          <w:sz w:val="28"/>
          <w:u w:val="none"/>
          <w:lang w:eastAsia="zh-CN"/>
        </w:rPr>
        <w:t>利用</w:t>
      </w:r>
      <w:r>
        <w:rPr>
          <w:rFonts w:ascii="宋体" w:hAnsi="宋体" w:eastAsia="宋体" w:cs="宋体"/>
          <w:i w:val="false"/>
          <w:strike w:val="false"/>
          <w:color w:val="000000"/>
          <w:spacing w:val="0"/>
          <w:sz w:val="28"/>
          <w:u w:val="none"/>
        </w:rPr>
        <w:t>源网荷储</w:t>
      </w:r>
      <w:r>
        <w:rPr>
          <w:rFonts w:hint="eastAsia" w:ascii="宋体" w:hAnsi="宋体" w:eastAsia="宋体" w:cs="宋体"/>
          <w:i w:val="false"/>
          <w:strike w:val="false"/>
          <w:color w:val="000000"/>
          <w:spacing w:val="0"/>
          <w:sz w:val="28"/>
          <w:u w:val="none"/>
        </w:rPr>
        <w:t>模式为</w:t>
      </w:r>
      <w:r>
        <w:rPr>
          <w:rFonts w:ascii="宋体" w:hAnsi="宋体" w:eastAsia="宋体" w:cs="宋体"/>
          <w:i w:val="false"/>
          <w:strike w:val="false"/>
          <w:color w:val="000000"/>
          <w:spacing w:val="0"/>
          <w:sz w:val="28"/>
          <w:u w:val="none"/>
        </w:rPr>
        <w:t>河南大成包装材料有限公司</w:t>
      </w:r>
      <w:r>
        <w:rPr>
          <w:rFonts w:hint="eastAsia" w:ascii="宋体" w:hAnsi="宋体" w:eastAsia="宋体" w:cs="宋体"/>
          <w:i w:val="false"/>
          <w:strike w:val="false"/>
          <w:color w:val="000000"/>
          <w:spacing w:val="0"/>
          <w:sz w:val="28"/>
          <w:u w:val="none"/>
        </w:rPr>
        <w:t>提供绿色电力能源供应</w:t>
      </w:r>
      <w:r>
        <w:rPr>
          <w:rFonts w:hint="eastAsia" w:ascii="宋体" w:hAnsi="宋体" w:eastAsia="宋体" w:cs="宋体"/>
          <w:i w:val="false"/>
          <w:strike w:val="false"/>
          <w:color w:val="000000"/>
          <w:spacing w:val="0"/>
          <w:sz w:val="28"/>
          <w:u w:val="none"/>
          <w:lang w:eastAsia="zh-CN"/>
        </w:rPr>
        <w:t>；</w:t>
      </w:r>
      <w:r>
        <w:rPr>
          <w:rFonts w:hint="eastAsia" w:ascii="宋体" w:hAnsi="宋体" w:eastAsia="宋体" w:cs="宋体"/>
          <w:i w:val="false"/>
          <w:strike w:val="false"/>
          <w:color w:val="000000"/>
          <w:spacing w:val="0"/>
          <w:sz w:val="28"/>
          <w:u w:val="none"/>
          <w:lang w:val="en-US" w:eastAsia="zh-CN"/>
        </w:rPr>
        <w:t>二</w:t>
      </w:r>
      <w:r>
        <w:rPr>
          <w:rFonts w:ascii="宋体" w:hAnsi="宋体" w:eastAsia="宋体" w:cs="宋体"/>
          <w:i w:val="false"/>
          <w:strike w:val="false"/>
          <w:color w:val="000000"/>
          <w:spacing w:val="0"/>
          <w:sz w:val="28"/>
          <w:u w:val="none"/>
        </w:rPr>
        <w:t>期将建</w:t>
      </w:r>
      <w:r>
        <w:rPr>
          <w:rFonts w:hint="eastAsia" w:ascii="宋体" w:hAnsi="宋体" w:eastAsia="宋体" w:cs="宋体"/>
          <w:i w:val="false"/>
          <w:strike w:val="false"/>
          <w:color w:val="000000"/>
          <w:spacing w:val="0"/>
          <w:sz w:val="28"/>
          <w:u w:val="none"/>
        </w:rPr>
        <w:t>2</w:t>
      </w:r>
      <w:r>
        <w:rPr>
          <w:rFonts w:hint="eastAsia" w:ascii="宋体" w:hAnsi="宋体" w:eastAsia="宋体" w:cs="宋体"/>
          <w:i w:val="false"/>
          <w:strike w:val="false"/>
          <w:color w:val="000000"/>
          <w:spacing w:val="0"/>
          <w:sz w:val="28"/>
          <w:u w:val="none"/>
          <w:lang w:val="en-US" w:eastAsia="zh-CN"/>
        </w:rPr>
        <w:t>3</w:t>
      </w:r>
      <w:r>
        <w:rPr>
          <w:rFonts w:ascii="宋体" w:hAnsi="宋体" w:eastAsia="宋体" w:cs="宋体"/>
          <w:i w:val="false"/>
          <w:strike w:val="false"/>
          <w:color w:val="000000"/>
          <w:spacing w:val="0"/>
          <w:sz w:val="28"/>
          <w:u w:val="none"/>
        </w:rPr>
        <w:t>MWh储能设施，与一期衔接提升能源调节与保障能力，助</w:t>
      </w:r>
      <w:r>
        <w:rPr>
          <w:rFonts w:hint="eastAsia" w:ascii="宋体" w:hAnsi="宋体" w:eastAsia="宋体" w:cs="宋体"/>
          <w:i w:val="false"/>
          <w:strike w:val="false"/>
          <w:color w:val="000000"/>
          <w:spacing w:val="0"/>
          <w:sz w:val="28"/>
          <w:u w:val="none"/>
          <w:lang w:val="en-US" w:eastAsia="zh-CN"/>
        </w:rPr>
        <w:t>力</w:t>
      </w:r>
      <w:r>
        <w:rPr>
          <w:rFonts w:ascii="宋体" w:hAnsi="宋体" w:eastAsia="宋体" w:cs="宋体"/>
          <w:i w:val="false"/>
          <w:strike w:val="false"/>
          <w:color w:val="000000"/>
          <w:spacing w:val="0"/>
          <w:sz w:val="28"/>
          <w:u w:val="none"/>
        </w:rPr>
        <w:t>园区能源优化</w:t>
      </w:r>
      <w:r>
        <w:rPr>
          <w:rFonts w:hint="eastAsia" w:ascii="宋体" w:hAnsi="宋体" w:eastAsia="宋体" w:cs="宋体"/>
          <w:i w:val="false"/>
          <w:strike w:val="false"/>
          <w:color w:val="000000"/>
          <w:spacing w:val="0"/>
          <w:sz w:val="28"/>
          <w:u w:val="none"/>
        </w:rPr>
        <w:t>。</w:t>
      </w:r>
    </w:p>
    <w:p>
      <w:pPr>
        <w:keepNext w:val="false"/>
        <w:keepLines w:val="false"/>
        <w:pageBreakBefore w:val="false"/>
        <w:widowControl w:val="false"/>
        <w:kinsoku/>
        <w:wordWrap/>
        <w:overflowPunct/>
        <w:topLinePunct/>
        <w:autoSpaceDE w:val="false"/>
        <w:autoSpaceDN/>
        <w:bidi w:val="false"/>
        <w:snapToGrid/>
        <w:spacing w:before="157" w:beforeLines="50" w:after="157" w:afterLines="50" w:line="360" w:lineRule="auto"/>
        <w:ind w:left="0" w:right="0" w:firstLine="560" w:firstLineChars="200"/>
        <w:jc w:val="both"/>
        <w:textAlignment w:val="baseline"/>
        <w:rPr>
          <w:rFonts w:hint="default" w:ascii="宋体" w:hAnsi="宋体" w:eastAsia="宋体" w:cs="宋体"/>
          <w:i w:val="false"/>
          <w:strike w:val="false"/>
          <w:color w:val="000000"/>
          <w:spacing w:val="0"/>
          <w:sz w:val="28"/>
          <w:u w:val="none"/>
          <w:lang w:val="en-US" w:eastAsia="zh-CN"/>
        </w:rPr>
      </w:pPr>
      <w:r>
        <w:rPr>
          <w:rFonts w:hint="eastAsia" w:ascii="宋体" w:hAnsi="宋体" w:eastAsia="宋体" w:cs="宋体"/>
          <w:i w:val="false"/>
          <w:strike w:val="false"/>
          <w:color w:val="000000"/>
          <w:spacing w:val="0"/>
          <w:sz w:val="28"/>
          <w:u w:val="none"/>
          <w:lang w:val="en-US" w:eastAsia="zh-CN"/>
        </w:rPr>
        <w:t>2、光伏储能设备可占用屋顶及闲置空地面积</w:t>
      </w:r>
    </w:p>
    <w:p>
      <w:pPr>
        <w:keepNext w:val="false"/>
        <w:keepLines w:val="false"/>
        <w:pageBreakBefore w:val="false"/>
        <w:widowControl w:val="false"/>
        <w:kinsoku/>
        <w:wordWrap/>
        <w:overflowPunct/>
        <w:topLinePunct/>
        <w:autoSpaceDE w:val="false"/>
        <w:autoSpaceDN/>
        <w:bidi w:val="false"/>
        <w:snapToGrid/>
        <w:spacing w:before="157" w:beforeLines="50" w:after="157" w:afterLines="50" w:line="360" w:lineRule="auto"/>
        <w:ind w:left="0" w:right="0" w:firstLine="560" w:firstLineChars="200"/>
        <w:jc w:val="both"/>
        <w:textAlignment w:val="baseline"/>
        <w:rPr>
          <w:rFonts w:ascii="宋体" w:hAnsi="宋体" w:eastAsia="宋体" w:cs="宋体"/>
          <w:i w:val="false"/>
          <w:strike w:val="false"/>
          <w:color w:val="000000"/>
          <w:spacing w:val="0"/>
          <w:sz w:val="28"/>
          <w:u w:val="none"/>
        </w:rPr>
      </w:pPr>
      <w:r>
        <w:rPr>
          <w:rFonts w:ascii="宋体" w:hAnsi="宋体" w:eastAsia="宋体" w:cs="宋体"/>
          <w:i w:val="false"/>
          <w:strike w:val="false"/>
          <w:color w:val="000000"/>
          <w:spacing w:val="0"/>
          <w:sz w:val="28"/>
          <w:u w:val="none"/>
        </w:rPr>
        <w:t>项目规划利用获嘉县产业集聚区中小企业创业孵化园项目屋顶</w:t>
      </w:r>
      <w:r>
        <w:rPr>
          <w:rFonts w:hint="eastAsia" w:ascii="宋体" w:hAnsi="宋体" w:eastAsia="宋体" w:cs="宋体"/>
          <w:i w:val="false"/>
          <w:strike w:val="false"/>
          <w:color w:val="000000"/>
          <w:spacing w:val="0"/>
          <w:sz w:val="28"/>
          <w:u w:val="none"/>
        </w:rPr>
        <w:t>及闲置空地建设安装分布式光伏发电设备，可用屋顶</w:t>
      </w:r>
      <w:r>
        <w:rPr>
          <w:rFonts w:ascii="宋体" w:hAnsi="宋体" w:eastAsia="宋体" w:cs="宋体"/>
          <w:i w:val="false"/>
          <w:strike w:val="false"/>
          <w:color w:val="000000"/>
          <w:spacing w:val="0"/>
          <w:sz w:val="28"/>
          <w:u w:val="none"/>
        </w:rPr>
        <w:t>面积</w:t>
      </w:r>
      <w:r>
        <w:rPr>
          <w:rFonts w:hint="eastAsia" w:ascii="宋体" w:hAnsi="宋体" w:eastAsia="宋体" w:cs="宋体"/>
          <w:i w:val="false"/>
          <w:strike w:val="false"/>
          <w:color w:val="000000"/>
          <w:spacing w:val="0"/>
          <w:sz w:val="28"/>
          <w:u w:val="none"/>
        </w:rPr>
        <w:t>约</w:t>
      </w:r>
      <w:r>
        <w:rPr>
          <w:rFonts w:ascii="宋体" w:hAnsi="宋体" w:eastAsia="宋体" w:cs="宋体"/>
          <w:i w:val="false"/>
          <w:strike w:val="false"/>
          <w:color w:val="000000"/>
          <w:spacing w:val="0"/>
          <w:sz w:val="28"/>
          <w:u w:val="none"/>
        </w:rPr>
        <w:t>为31530.09㎡，园区内可使用</w:t>
      </w:r>
      <w:r>
        <w:rPr>
          <w:rFonts w:hint="eastAsia" w:ascii="宋体" w:hAnsi="宋体" w:eastAsia="宋体" w:cs="宋体"/>
          <w:i w:val="false"/>
          <w:strike w:val="false"/>
          <w:color w:val="000000"/>
          <w:spacing w:val="0"/>
          <w:sz w:val="28"/>
          <w:u w:val="none"/>
        </w:rPr>
        <w:t>闲置空地</w:t>
      </w:r>
      <w:r>
        <w:rPr>
          <w:rFonts w:ascii="宋体" w:hAnsi="宋体" w:eastAsia="宋体" w:cs="宋体"/>
          <w:i w:val="false"/>
          <w:strike w:val="false"/>
          <w:color w:val="000000"/>
          <w:spacing w:val="0"/>
          <w:sz w:val="28"/>
          <w:u w:val="none"/>
        </w:rPr>
        <w:t>面积</w:t>
      </w:r>
      <w:r>
        <w:rPr>
          <w:rFonts w:hint="eastAsia" w:ascii="宋体" w:hAnsi="宋体" w:eastAsia="宋体" w:cs="宋体"/>
          <w:i w:val="false"/>
          <w:strike w:val="false"/>
          <w:color w:val="000000"/>
          <w:spacing w:val="0"/>
          <w:sz w:val="28"/>
          <w:u w:val="none"/>
        </w:rPr>
        <w:t>约</w:t>
      </w:r>
      <w:r>
        <w:rPr>
          <w:rFonts w:ascii="宋体" w:hAnsi="宋体" w:eastAsia="宋体" w:cs="宋体"/>
          <w:i w:val="false"/>
          <w:strike w:val="false"/>
          <w:color w:val="000000"/>
          <w:spacing w:val="0"/>
          <w:sz w:val="28"/>
          <w:u w:val="none"/>
        </w:rPr>
        <w:t>为12267.68㎡，合计可使用面积为42807.95㎡。</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0" w:beforeLines="50" w:after="0" w:afterLines="50" w:line="360" w:lineRule="auto"/>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建设参数表</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2541"/>
        <w:gridCol w:w="1419"/>
        <w:gridCol w:w="1504"/>
        <w:gridCol w:w="1956"/>
      </w:tblGrid>
      <w:tr>
        <w:trPr>
          <w:trHeight w:val="476" w:hRule="atLeast"/>
          <w:tblHeader/>
        </w:trPr>
        <w:tc>
          <w:tcPr>
            <w:tcW w:w="10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b/>
                <w:sz w:val="21"/>
                <w:szCs w:val="21"/>
              </w:rPr>
            </w:pPr>
            <w:r>
              <w:rPr>
                <w:rFonts w:ascii="宋体" w:hAnsi="宋体" w:eastAsia="宋体" w:cs="宋体"/>
                <w:b/>
                <w:i w:val="false"/>
                <w:strike w:val="false"/>
                <w:color w:val="000000"/>
                <w:spacing w:val="0"/>
                <w:sz w:val="21"/>
                <w:szCs w:val="21"/>
                <w:u w:val="none"/>
                <w:vertAlign w:val="baseline"/>
              </w:rPr>
              <w:t>序号</w:t>
            </w:r>
          </w:p>
        </w:tc>
        <w:tc>
          <w:tcPr>
            <w:tcW w:w="254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b/>
                <w:sz w:val="21"/>
                <w:szCs w:val="21"/>
              </w:rPr>
            </w:pPr>
            <w:r>
              <w:rPr>
                <w:rFonts w:ascii="宋体" w:hAnsi="宋体" w:eastAsia="宋体" w:cs="宋体"/>
                <w:b/>
                <w:i w:val="false"/>
                <w:strike w:val="false"/>
                <w:color w:val="000000"/>
                <w:spacing w:val="0"/>
                <w:sz w:val="21"/>
                <w:szCs w:val="21"/>
                <w:u w:val="none"/>
                <w:vertAlign w:val="baseline"/>
              </w:rPr>
              <w:t>名称</w:t>
            </w:r>
          </w:p>
        </w:tc>
        <w:tc>
          <w:tcPr>
            <w:tcW w:w="141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b/>
                <w:sz w:val="21"/>
                <w:szCs w:val="21"/>
              </w:rPr>
            </w:pPr>
            <w:r>
              <w:rPr>
                <w:rFonts w:ascii="宋体" w:hAnsi="宋体" w:eastAsia="宋体" w:cs="宋体"/>
                <w:b/>
                <w:sz w:val="21"/>
                <w:szCs w:val="21"/>
              </w:rPr>
              <w:t>单位</w:t>
            </w:r>
          </w:p>
        </w:tc>
        <w:tc>
          <w:tcPr>
            <w:tcW w:w="150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b/>
                <w:sz w:val="21"/>
                <w:szCs w:val="21"/>
              </w:rPr>
            </w:pPr>
            <w:r>
              <w:rPr>
                <w:rFonts w:ascii="宋体" w:hAnsi="宋体" w:eastAsia="宋体" w:cs="宋体"/>
                <w:b/>
                <w:sz w:val="21"/>
                <w:szCs w:val="21"/>
              </w:rPr>
              <w:t>数量</w:t>
            </w:r>
          </w:p>
        </w:tc>
        <w:tc>
          <w:tcPr>
            <w:tcW w:w="19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b/>
                <w:sz w:val="21"/>
                <w:szCs w:val="21"/>
              </w:rPr>
            </w:pPr>
            <w:r>
              <w:rPr>
                <w:rFonts w:ascii="宋体" w:hAnsi="宋体" w:eastAsia="宋体" w:cs="宋体"/>
                <w:b/>
                <w:sz w:val="21"/>
                <w:szCs w:val="21"/>
              </w:rPr>
              <w:t>备注</w:t>
            </w:r>
          </w:p>
        </w:tc>
      </w:tr>
      <w:tr>
        <w:trPr>
          <w:trHeight w:val="476" w:hRule="atLeast"/>
        </w:trPr>
        <w:tc>
          <w:tcPr>
            <w:tcW w:w="10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sz w:val="21"/>
                <w:szCs w:val="21"/>
              </w:rPr>
            </w:pPr>
            <w:r>
              <w:rPr>
                <w:rFonts w:ascii="宋体" w:hAnsi="宋体" w:eastAsia="宋体" w:cs="宋体"/>
                <w:i w:val="false"/>
                <w:strike w:val="false"/>
                <w:color w:val="000000"/>
                <w:spacing w:val="0"/>
                <w:sz w:val="21"/>
                <w:szCs w:val="21"/>
                <w:u w:val="none"/>
                <w:vertAlign w:val="baseline"/>
              </w:rPr>
              <w:t>1</w:t>
            </w:r>
          </w:p>
        </w:tc>
        <w:tc>
          <w:tcPr>
            <w:tcW w:w="254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sz w:val="21"/>
                <w:szCs w:val="21"/>
              </w:rPr>
            </w:pPr>
            <w:r>
              <w:rPr>
                <w:rFonts w:ascii="宋体" w:hAnsi="宋体" w:eastAsia="宋体" w:cs="宋体"/>
                <w:sz w:val="21"/>
                <w:szCs w:val="21"/>
              </w:rPr>
              <w:t>光伏发电设备</w:t>
            </w:r>
          </w:p>
        </w:tc>
        <w:tc>
          <w:tcPr>
            <w:tcW w:w="141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sz w:val="21"/>
                <w:szCs w:val="21"/>
              </w:rPr>
            </w:pPr>
            <w:r>
              <w:rPr>
                <w:rFonts w:hint="eastAsia" w:ascii="宋体" w:hAnsi="宋体" w:eastAsia="宋体" w:cs="宋体"/>
                <w:i w:val="false"/>
                <w:strike w:val="false"/>
                <w:color w:val="000000"/>
                <w:spacing w:val="0"/>
                <w:sz w:val="21"/>
                <w:szCs w:val="21"/>
                <w:u w:val="none"/>
                <w:vertAlign w:val="baseline"/>
                <w:lang w:eastAsia="zh-CN"/>
              </w:rPr>
              <w:t>kW</w:t>
            </w:r>
          </w:p>
        </w:tc>
        <w:tc>
          <w:tcPr>
            <w:tcW w:w="150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sz w:val="21"/>
                <w:szCs w:val="21"/>
              </w:rPr>
            </w:pPr>
            <w:r>
              <w:rPr>
                <w:rFonts w:ascii="宋体" w:hAnsi="宋体" w:eastAsia="宋体" w:cs="宋体"/>
                <w:i w:val="false"/>
                <w:strike w:val="false"/>
                <w:color w:val="000000"/>
                <w:spacing w:val="0"/>
                <w:sz w:val="21"/>
                <w:szCs w:val="21"/>
                <w:u w:val="none"/>
                <w:vertAlign w:val="baseline"/>
              </w:rPr>
              <w:t>595</w:t>
            </w:r>
            <w:r>
              <w:rPr>
                <w:rFonts w:hint="eastAsia" w:ascii="宋体" w:hAnsi="宋体" w:eastAsia="宋体" w:cs="宋体"/>
                <w:i w:val="false"/>
                <w:strike w:val="false"/>
                <w:color w:val="000000"/>
                <w:spacing w:val="0"/>
                <w:sz w:val="21"/>
                <w:szCs w:val="21"/>
                <w:u w:val="none"/>
                <w:vertAlign w:val="baseline"/>
                <w:lang w:val="en-US" w:eastAsia="zh-CN"/>
              </w:rPr>
              <w:t>6</w:t>
            </w:r>
          </w:p>
        </w:tc>
        <w:tc>
          <w:tcPr>
            <w:tcW w:w="19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sz w:val="21"/>
                <w:szCs w:val="21"/>
              </w:rPr>
            </w:pPr>
          </w:p>
        </w:tc>
      </w:tr>
      <w:tr>
        <w:trPr>
          <w:trHeight w:val="476" w:hRule="atLeast"/>
        </w:trPr>
        <w:tc>
          <w:tcPr>
            <w:tcW w:w="10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i w:val="false"/>
                <w:strike w:val="false"/>
                <w:color w:val="000000"/>
                <w:spacing w:val="0"/>
                <w:sz w:val="21"/>
                <w:szCs w:val="21"/>
                <w:u w:val="none"/>
                <w:vertAlign w:val="baseline"/>
              </w:rPr>
              <w:t>2</w:t>
            </w:r>
          </w:p>
        </w:tc>
        <w:tc>
          <w:tcPr>
            <w:tcW w:w="254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color w:val="000000"/>
                <w:sz w:val="21"/>
                <w:szCs w:val="21"/>
              </w:rPr>
              <w:t>储能设备</w:t>
            </w:r>
          </w:p>
        </w:tc>
        <w:tc>
          <w:tcPr>
            <w:tcW w:w="141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i w:val="false"/>
                <w:strike w:val="false"/>
                <w:color w:val="000000"/>
                <w:spacing w:val="0"/>
                <w:sz w:val="21"/>
                <w:szCs w:val="21"/>
                <w:u w:val="none"/>
                <w:vertAlign w:val="baseline"/>
              </w:rPr>
              <w:t>MW/MWh</w:t>
            </w:r>
          </w:p>
        </w:tc>
        <w:tc>
          <w:tcPr>
            <w:tcW w:w="150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hint="eastAsia" w:ascii="宋体" w:hAnsi="宋体" w:eastAsia="宋体" w:cs="宋体"/>
                <w:i w:val="false"/>
                <w:strike w:val="false"/>
                <w:color w:val="000000"/>
                <w:spacing w:val="0"/>
                <w:sz w:val="21"/>
                <w:szCs w:val="21"/>
                <w:u w:val="none"/>
                <w:vertAlign w:val="baseline"/>
                <w:lang w:val="en-US" w:eastAsia="zh-CN"/>
              </w:rPr>
              <w:t>15</w:t>
            </w:r>
            <w:r>
              <w:rPr>
                <w:rFonts w:ascii="宋体" w:hAnsi="宋体" w:eastAsia="宋体" w:cs="宋体"/>
                <w:i w:val="false"/>
                <w:strike w:val="false"/>
                <w:color w:val="000000"/>
                <w:spacing w:val="0"/>
                <w:sz w:val="21"/>
                <w:szCs w:val="21"/>
                <w:u w:val="none"/>
                <w:vertAlign w:val="baseline"/>
              </w:rPr>
              <w:t>/</w:t>
            </w:r>
            <w:r>
              <w:rPr>
                <w:rFonts w:hint="eastAsia" w:ascii="宋体" w:hAnsi="宋体" w:eastAsia="宋体" w:cs="宋体"/>
                <w:i w:val="false"/>
                <w:strike w:val="false"/>
                <w:color w:val="000000"/>
                <w:spacing w:val="0"/>
                <w:sz w:val="21"/>
                <w:szCs w:val="21"/>
                <w:u w:val="none"/>
                <w:vertAlign w:val="baseline"/>
                <w:lang w:val="en-US" w:eastAsia="zh-CN"/>
              </w:rPr>
              <w:t>3</w:t>
            </w:r>
            <w:r>
              <w:rPr>
                <w:rFonts w:ascii="宋体" w:hAnsi="宋体" w:eastAsia="宋体" w:cs="宋体"/>
                <w:i w:val="false"/>
                <w:strike w:val="false"/>
                <w:color w:val="000000"/>
                <w:spacing w:val="0"/>
                <w:sz w:val="21"/>
                <w:szCs w:val="21"/>
                <w:u w:val="none"/>
                <w:vertAlign w:val="baseline"/>
              </w:rPr>
              <w:t>0</w:t>
            </w:r>
          </w:p>
        </w:tc>
        <w:tc>
          <w:tcPr>
            <w:tcW w:w="19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color w:val="000000"/>
                <w:sz w:val="21"/>
                <w:szCs w:val="21"/>
              </w:rPr>
              <w:t>包含3MW储能换电模块</w:t>
            </w:r>
          </w:p>
        </w:tc>
      </w:tr>
      <w:tr>
        <w:trPr>
          <w:trHeight w:val="476" w:hRule="atLeast"/>
        </w:trPr>
        <w:tc>
          <w:tcPr>
            <w:tcW w:w="10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i w:val="false"/>
                <w:strike w:val="false"/>
                <w:color w:val="000000"/>
                <w:spacing w:val="0"/>
                <w:sz w:val="21"/>
                <w:szCs w:val="21"/>
                <w:u w:val="none"/>
                <w:vertAlign w:val="baseline"/>
              </w:rPr>
              <w:t>3</w:t>
            </w:r>
          </w:p>
        </w:tc>
        <w:tc>
          <w:tcPr>
            <w:tcW w:w="254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color w:val="000000"/>
                <w:sz w:val="21"/>
                <w:szCs w:val="21"/>
              </w:rPr>
              <w:t>占用工业厂房屋顶面积</w:t>
            </w:r>
          </w:p>
        </w:tc>
        <w:tc>
          <w:tcPr>
            <w:tcW w:w="141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i w:val="false"/>
                <w:strike w:val="false"/>
                <w:color w:val="000000"/>
                <w:spacing w:val="0"/>
                <w:sz w:val="21"/>
                <w:szCs w:val="21"/>
                <w:u w:val="none"/>
                <w:vertAlign w:val="baseline"/>
              </w:rPr>
              <w:t>㎡</w:t>
            </w:r>
          </w:p>
        </w:tc>
        <w:tc>
          <w:tcPr>
            <w:tcW w:w="150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i w:val="false"/>
                <w:strike w:val="false"/>
                <w:color w:val="000000"/>
                <w:spacing w:val="0"/>
                <w:sz w:val="21"/>
                <w:szCs w:val="21"/>
                <w:u w:val="none"/>
              </w:rPr>
              <w:t>31530.09</w:t>
            </w:r>
          </w:p>
        </w:tc>
        <w:tc>
          <w:tcPr>
            <w:tcW w:w="19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color w:val="000000"/>
                <w:sz w:val="21"/>
                <w:szCs w:val="21"/>
              </w:rPr>
              <w:t>每MW占用屋顶面积约7000</w:t>
            </w:r>
            <w:r>
              <w:rPr>
                <w:rFonts w:ascii="宋体" w:hAnsi="宋体" w:eastAsia="宋体" w:cs="宋体"/>
                <w:i w:val="false"/>
                <w:strike w:val="false"/>
                <w:color w:val="000000"/>
                <w:spacing w:val="0"/>
                <w:sz w:val="21"/>
                <w:szCs w:val="21"/>
                <w:u w:val="none"/>
                <w:vertAlign w:val="baseline"/>
              </w:rPr>
              <w:t>㎡</w:t>
            </w:r>
          </w:p>
        </w:tc>
      </w:tr>
      <w:tr>
        <w:trPr>
          <w:trHeight w:val="476" w:hRule="atLeast"/>
        </w:trPr>
        <w:tc>
          <w:tcPr>
            <w:tcW w:w="10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i w:val="false"/>
                <w:strike w:val="false"/>
                <w:color w:val="000000"/>
                <w:spacing w:val="0"/>
                <w:sz w:val="21"/>
                <w:szCs w:val="21"/>
                <w:u w:val="none"/>
                <w:vertAlign w:val="baseline"/>
              </w:rPr>
              <w:t>4</w:t>
            </w:r>
          </w:p>
        </w:tc>
        <w:tc>
          <w:tcPr>
            <w:tcW w:w="254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color w:val="000000"/>
                <w:sz w:val="21"/>
                <w:szCs w:val="21"/>
              </w:rPr>
              <w:t>可使用</w:t>
            </w:r>
            <w:r>
              <w:rPr>
                <w:rFonts w:hint="eastAsia" w:ascii="宋体" w:hAnsi="宋体" w:eastAsia="宋体" w:cs="宋体"/>
                <w:color w:val="000000"/>
                <w:sz w:val="21"/>
                <w:szCs w:val="21"/>
                <w:lang w:val="en-US" w:eastAsia="zh-CN"/>
              </w:rPr>
              <w:t>道路</w:t>
            </w:r>
            <w:r>
              <w:rPr>
                <w:rFonts w:ascii="宋体" w:hAnsi="宋体" w:eastAsia="宋体" w:cs="宋体"/>
                <w:color w:val="000000"/>
                <w:sz w:val="21"/>
                <w:szCs w:val="21"/>
              </w:rPr>
              <w:t>区域占用面积</w:t>
            </w:r>
          </w:p>
        </w:tc>
        <w:tc>
          <w:tcPr>
            <w:tcW w:w="141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i w:val="false"/>
                <w:strike w:val="false"/>
                <w:color w:val="000000"/>
                <w:spacing w:val="0"/>
                <w:sz w:val="21"/>
                <w:szCs w:val="21"/>
                <w:u w:val="none"/>
                <w:vertAlign w:val="baseline"/>
              </w:rPr>
              <w:t>㎡</w:t>
            </w:r>
          </w:p>
        </w:tc>
        <w:tc>
          <w:tcPr>
            <w:tcW w:w="150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i w:val="false"/>
                <w:strike w:val="false"/>
                <w:color w:val="000000"/>
                <w:spacing w:val="0"/>
                <w:sz w:val="21"/>
                <w:szCs w:val="21"/>
                <w:u w:val="none"/>
              </w:rPr>
              <w:t>12267.68</w:t>
            </w:r>
          </w:p>
        </w:tc>
        <w:tc>
          <w:tcPr>
            <w:tcW w:w="19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color w:val="000000"/>
                <w:sz w:val="21"/>
                <w:szCs w:val="21"/>
              </w:rPr>
              <w:t>每MW占用空闲区域面积约7000</w:t>
            </w:r>
            <w:r>
              <w:rPr>
                <w:rFonts w:ascii="宋体" w:hAnsi="宋体" w:eastAsia="宋体" w:cs="宋体"/>
                <w:i w:val="false"/>
                <w:strike w:val="false"/>
                <w:color w:val="000000"/>
                <w:spacing w:val="0"/>
                <w:sz w:val="21"/>
                <w:szCs w:val="21"/>
                <w:u w:val="none"/>
                <w:vertAlign w:val="baseline"/>
              </w:rPr>
              <w:t>㎡</w:t>
            </w:r>
          </w:p>
        </w:tc>
      </w:tr>
    </w:tbl>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1.1.6 建设工期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本项目建设期为0.5年（含建设期准备工作），计划2025年3月开工，预计2026年10月竣工。其中，建设期后0.5年开始运营。</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1.1.7 投资规模和资金来源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FF0000"/>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项目总投资8767.59万元，其中项目工程费用7902.57万元，占总投资的90.13%；工程建设其它费用372.52万元，占总投资的4.25%；预备费413.75万元，占总投资的4.72%；建设期利息78.75万元，占总投资的0.90%。</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项目（一期）总投资5304.18万元，其中项目工程费用4770.32万元，占总投资的89.94%；工程建设其它费用236.28万元，占总投资的4.45%；预备费250.33万元，占总投资的4.72%；建设期利息47.25万元，占总投资的0.89%。项目投资构成如下表所示:</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0" w:beforeLines="50" w:after="0" w:afterLines="50" w:line="360" w:lineRule="auto"/>
        <w:jc w:val="center"/>
        <w:textAlignment w:val="baseline"/>
        <w:rPr>
          <w:rFonts w:hint="eastAsia" w:ascii="宋体" w:hAnsi="宋体" w:eastAsia="宋体" w:cs="宋体"/>
          <w:b/>
          <w:bCs/>
          <w:color w:val="000000"/>
          <w:sz w:val="28"/>
          <w:szCs w:val="28"/>
        </w:rPr>
      </w:pPr>
      <w:r>
        <w:rPr>
          <w:rFonts w:hint="eastAsia" w:ascii="宋体" w:hAnsi="宋体" w:eastAsia="宋体" w:cs="宋体"/>
          <w:b/>
          <w:bCs/>
          <w:color w:val="000000"/>
          <w:sz w:val="28"/>
          <w:szCs w:val="28"/>
        </w:rPr>
        <w:t>项目总投资构成一览表</w:t>
      </w:r>
    </w:p>
    <w:tbl>
      <w:tblPr>
        <w:tblStyle w:val="000016"/>
        <w:tblW w:w="0" w:type="auto"/>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885"/>
        <w:gridCol w:w="2985"/>
        <w:gridCol w:w="2644"/>
        <w:gridCol w:w="2005"/>
      </w:tblGrid>
      <w:tr>
        <w:trPr>
          <w:trHeight w:val="618" w:hRule="atLeast"/>
          <w:tblHeader/>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工程或费用名称</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投资额</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比例（%）</w:t>
            </w:r>
          </w:p>
        </w:tc>
      </w:tr>
      <w:tr>
        <w:trPr>
          <w:trHeight w:val="504"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一</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工程费用</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7902.57</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90.13</w:t>
            </w:r>
            <w:r>
              <w:rPr>
                <w:rFonts w:hint="eastAsia" w:ascii="宋体" w:hAnsi="宋体" w:eastAsia="宋体" w:cs="宋体"/>
                <w:color w:val="auto"/>
                <w:sz w:val="21"/>
                <w:szCs w:val="21"/>
              </w:rPr>
              <w:t>%</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1</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光伏设备工程</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1708.65</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19.48%</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2</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储能设备工程</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5099.70</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58.16%</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园区配套工程</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1094.22</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12.48%</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二</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工程建设其他费用</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372.52</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4.25</w:t>
            </w:r>
            <w:r>
              <w:rPr>
                <w:rFonts w:hint="eastAsia" w:ascii="宋体" w:hAnsi="宋体" w:eastAsia="宋体" w:cs="宋体"/>
                <w:color w:val="auto"/>
                <w:sz w:val="21"/>
                <w:szCs w:val="21"/>
              </w:rPr>
              <w:t>%</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三</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预备费</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413.75</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4.72</w:t>
            </w:r>
            <w:r>
              <w:rPr>
                <w:rFonts w:hint="eastAsia" w:ascii="宋体" w:hAnsi="宋体" w:eastAsia="宋体" w:cs="宋体"/>
                <w:color w:val="auto"/>
                <w:sz w:val="21"/>
                <w:szCs w:val="21"/>
              </w:rPr>
              <w:t>%</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四</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建设期利息</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78.75</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0.90</w:t>
            </w:r>
            <w:r>
              <w:rPr>
                <w:rFonts w:hint="eastAsia" w:ascii="宋体" w:hAnsi="宋体" w:eastAsia="宋体" w:cs="宋体"/>
                <w:color w:val="auto"/>
                <w:sz w:val="21"/>
                <w:szCs w:val="21"/>
              </w:rPr>
              <w:t>%</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五</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固定资产投资</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8767.59</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100.00%</w:t>
            </w:r>
          </w:p>
        </w:tc>
      </w:tr>
      <w:tr>
        <w:trPr>
          <w:trHeight w:val="476"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六</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项目总投资</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8767.59</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100.00%</w:t>
            </w:r>
          </w:p>
        </w:tc>
      </w:tr>
    </w:tbl>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color w:val="000000"/>
          <w:sz w:val="28"/>
          <w:szCs w:val="28"/>
        </w:rPr>
      </w:pPr>
      <w:r>
        <w:rPr>
          <w:rFonts w:hint="eastAsia" w:ascii="宋体" w:hAnsi="宋体" w:eastAsia="宋体" w:cs="宋体"/>
          <w:b/>
          <w:bCs/>
          <w:color w:val="000000"/>
          <w:sz w:val="28"/>
          <w:szCs w:val="28"/>
        </w:rPr>
        <w:t>项目（一期）投资构成一览表</w:t>
      </w:r>
    </w:p>
    <w:tbl>
      <w:tblPr>
        <w:tblStyle w:val="000016"/>
        <w:tblW w:w="0" w:type="auto"/>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885"/>
        <w:gridCol w:w="2985"/>
        <w:gridCol w:w="2644"/>
        <w:gridCol w:w="2005"/>
      </w:tblGrid>
      <w:tr>
        <w:trPr>
          <w:trHeight w:val="618" w:hRule="atLeast"/>
          <w:tblHeader/>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序号</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工程或费用名称</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投资额</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比例（%）</w:t>
            </w:r>
          </w:p>
        </w:tc>
      </w:tr>
      <w:tr>
        <w:trPr>
          <w:trHeight w:val="504"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一</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工程费用</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4770.32</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89.94%</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1</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光伏设备工程</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1708.65</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32.21%</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2</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储能设备工程</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2175.40</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41.01%</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园区配套工程</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886.27</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16.71%</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二</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工程建设其他费用</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236.28</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4.45%</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三</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预备费</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250.33</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4.72%</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四</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建设期利息</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47.25</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0.89%</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五</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固定资产投资</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5304.18</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100.00%</w:t>
            </w:r>
          </w:p>
        </w:tc>
      </w:tr>
      <w:tr>
        <w:trPr>
          <w:trHeight w:val="476"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六</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项目总投资</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5304.18</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100.00%</w:t>
            </w:r>
          </w:p>
        </w:tc>
      </w:tr>
    </w:tbl>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项目总投资由资本金和项目融资或其他债务性资金两部分构成，一是资本金1767.59万元，占总投资的20.16%，二是项目融资、企业自筹资金或者其他债务性资金7000.00万元，占总投资的79.84%。</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其中，项目（一期）资本金1104.18万元，占总投资的20.82%，项目融资、企业自筹资金或者其他债务性资金4200.00万元，占总投资的79.18%。</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w:t>
      </w:r>
      <w:r>
        <w:rPr>
          <w:rFonts w:hint="eastAsia" w:ascii="宋体" w:hAnsi="宋体" w:eastAsia="宋体" w:cs="宋体"/>
          <w:b/>
          <w:bCs/>
          <w:sz w:val="28"/>
          <w:szCs w:val="28"/>
          <w:lang w:val="en-US" w:eastAsia="zh-CN"/>
        </w:rPr>
        <w:t>8</w:t>
      </w:r>
      <w:r>
        <w:rPr>
          <w:rFonts w:hint="eastAsia" w:ascii="宋体" w:hAnsi="宋体" w:eastAsia="宋体" w:cs="宋体"/>
          <w:b/>
          <w:bCs/>
          <w:sz w:val="28"/>
          <w:szCs w:val="28"/>
        </w:rPr>
        <w:t xml:space="preserve"> 项目定性</w:t>
      </w:r>
    </w:p>
    <w:p>
      <w:pPr>
        <w:keepNext w:val="false"/>
        <w:keepLines w:val="false"/>
        <w:pageBreakBefore w:val="false"/>
        <w:widowControl w:val="false"/>
        <w:kinsoku/>
        <w:wordWrap/>
        <w:overflowPunct/>
        <w:topLinePunct/>
        <w:autoSpaceDE w:val="false"/>
        <w:autoSpaceDN/>
        <w:bidi w:val="false"/>
        <w:snapToGrid/>
        <w:spacing w:before="157" w:beforeLines="50" w:after="157" w:afterLines="50" w:line="360" w:lineRule="auto"/>
        <w:ind w:firstLineChars="200"/>
        <w:textAlignment w:val="baseline"/>
        <w:rPr>
          <w:rFonts w:ascii="宋体" w:hAnsi="宋体" w:eastAsia="宋体" w:cs="宋体"/>
          <w:i w:val="false"/>
          <w:strike w:val="false"/>
          <w:color w:val="000000"/>
          <w:spacing w:val="0"/>
          <w:sz w:val="28"/>
          <w:u w:val="none"/>
        </w:rPr>
      </w:pPr>
      <w:r>
        <w:rPr>
          <w:rFonts w:ascii="宋体" w:hAnsi="宋体" w:eastAsia="宋体" w:cs="宋体"/>
          <w:i w:val="false"/>
          <w:strike w:val="false"/>
          <w:color w:val="000000"/>
          <w:spacing w:val="0"/>
          <w:sz w:val="28"/>
          <w:u w:val="none"/>
        </w:rPr>
        <w:t>本项目精准定位为新能源源网荷储一体化项目，为河南大成包装材料有限公司定制绿色电力能源服务方案。</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大成包装材料有限公司成立于2016年，前身为成立于2005年的新乡市大成线材有限公司。地处中原大地的获嘉县域，公司依托多年来在研发、供应链、销售、服务等方面的技术沉淀与资源积累，通过不断的技术与产品创新，自创办初期20余人发展至今已达全员500余人。经过16年的行业生产经验，自行研制出多条环保、高效、节能的镀锌/镀铜产线，月产销产品12000吨，服务着国内几十家大型企业和上百家中小企业，产品畅销国内各地，产品已通过第三方SGS、RoHS检测认证。广受客户好评。公司用电量稳定，为生产筑牢根基。未来5—10年，面对行业更高要求，凭借多方面优势，公司将持续创新，拓展市场，有望在行业中不断进阶，发展潜力巨大。</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充分利用项目所在地的自然条件，部署高效光伏发电系统，并与先进的储能设备协同工作，深度挖掘自然清洁能源潜力。结合智能微电网技术，实现了电力资源的精确分配与高效传输，最大限度地减少了线路损耗，确保了能源供应的稳定性和可靠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紧密围绕企业的实际需求，依托源网荷储一体化系统的协同优势，有效缓解了电价波动风险，为企业提供了低成本、高质量的电力供应，显著降低了其生产成本，有力提升了市场竞争力。项目还高度重视能源的储存与灵活调度，通过储能系统在用电低谷期储存电能，并在高峰期释放，实现了电力资源的时空优化配置，大幅提升了区域能源利用效率。</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该项目是获嘉县全域微电网（虚拟电厂）的一期工程，该项目在满足大成包装用电的基础上，通过绿电专线、用户侧储能、充电桩、非机动车换电（兼储能）、商务用车换电（兼储能）等业态，为其他园区光伏开发、微电网（虚拟电厂）等后期业态准备条件。</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w:t>
      </w:r>
      <w:r>
        <w:rPr>
          <w:rFonts w:hint="eastAsia" w:ascii="宋体" w:hAnsi="宋体" w:eastAsia="宋体" w:cs="宋体"/>
          <w:b/>
          <w:bCs/>
          <w:sz w:val="28"/>
          <w:szCs w:val="28"/>
          <w:lang w:val="en-US" w:eastAsia="zh-CN"/>
        </w:rPr>
        <w:t>9</w:t>
      </w:r>
      <w:r>
        <w:rPr>
          <w:rFonts w:hint="eastAsia" w:ascii="宋体" w:hAnsi="宋体" w:eastAsia="宋体" w:cs="宋体"/>
          <w:b/>
          <w:bCs/>
          <w:sz w:val="28"/>
          <w:szCs w:val="28"/>
        </w:rPr>
        <w:t xml:space="preserve"> 项目运营模式</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i w:val="false"/>
          <w:strike w:val="false"/>
          <w:color w:val="000000"/>
          <w:spacing w:val="0"/>
          <w:sz w:val="28"/>
          <w:u w:val="none"/>
        </w:rPr>
        <w:t>本项目</w:t>
      </w:r>
      <w:r>
        <w:rPr>
          <w:rFonts w:ascii="宋体" w:hAnsi="宋体" w:eastAsia="宋体" w:cs="宋体"/>
          <w:i w:val="false"/>
          <w:strike w:val="false"/>
          <w:color w:val="000000"/>
          <w:spacing w:val="0"/>
          <w:sz w:val="28"/>
          <w:u w:val="none"/>
        </w:rPr>
        <w:t>由</w:t>
      </w:r>
      <w:r>
        <w:rPr>
          <w:rFonts w:hint="eastAsia" w:ascii="宋体" w:hAnsi="宋体" w:eastAsia="宋体" w:cs="宋体"/>
          <w:i w:val="false"/>
          <w:strike w:val="false"/>
          <w:color w:val="000000"/>
          <w:spacing w:val="0"/>
          <w:sz w:val="28"/>
          <w:u w:val="none"/>
        </w:rPr>
        <w:t>河南中原智慧冷链物流园管理运营有限公司</w:t>
      </w:r>
      <w:r>
        <w:rPr>
          <w:rFonts w:ascii="宋体" w:hAnsi="宋体" w:eastAsia="宋体" w:cs="宋体"/>
          <w:i w:val="false"/>
          <w:strike w:val="false"/>
          <w:color w:val="000000"/>
          <w:spacing w:val="0"/>
          <w:sz w:val="28"/>
          <w:u w:val="none"/>
        </w:rPr>
        <w:t>全面</w:t>
      </w:r>
      <w:r>
        <w:rPr>
          <w:rFonts w:hint="eastAsia" w:ascii="宋体" w:hAnsi="宋体" w:eastAsia="宋体" w:cs="宋体"/>
          <w:i w:val="false"/>
          <w:strike w:val="false"/>
          <w:color w:val="000000"/>
          <w:spacing w:val="0"/>
          <w:sz w:val="28"/>
          <w:u w:val="none"/>
          <w:lang w:eastAsia="zh-CN"/>
        </w:rPr>
        <w:t>负责</w:t>
      </w:r>
      <w:r>
        <w:rPr>
          <w:rFonts w:ascii="宋体" w:hAnsi="宋体" w:eastAsia="宋体" w:cs="宋体"/>
          <w:i w:val="false"/>
          <w:strike w:val="false"/>
          <w:color w:val="000000"/>
          <w:spacing w:val="0"/>
          <w:sz w:val="28"/>
          <w:u w:val="none"/>
        </w:rPr>
        <w:t>资金筹措、建设实施及日常运营。该项目创新性地整合光伏发电、储能调峰与用电需求，实现按需直供新能源绿色电力，打破了传统“隔墙售电”限制。此运营模式不仅为园内及外部企业提供安全、稳定、环保且成本效益高的电力解决方案，助力企业成本控制与转型升级</w:t>
      </w:r>
      <w:r>
        <w:rPr>
          <w:rFonts w:hint="eastAsia" w:ascii="宋体" w:hAnsi="宋体" w:eastAsia="宋体" w:cs="宋体"/>
          <w:i w:val="false"/>
          <w:strike w:val="false"/>
          <w:color w:val="000000"/>
          <w:spacing w:val="0"/>
          <w:sz w:val="28"/>
          <w:u w:val="none"/>
        </w:rPr>
        <w:t>，</w:t>
      </w:r>
      <w:r>
        <w:rPr>
          <w:rFonts w:ascii="宋体" w:hAnsi="宋体" w:eastAsia="宋体" w:cs="宋体"/>
          <w:i w:val="false"/>
          <w:strike w:val="false"/>
          <w:color w:val="000000"/>
          <w:spacing w:val="0"/>
          <w:sz w:val="28"/>
          <w:u w:val="none"/>
        </w:rPr>
        <w:t>还积极促进了我国“双碳”目标的实现，展现了显著的环保与经济效益</w:t>
      </w:r>
      <w:r>
        <w:rPr>
          <w:rFonts w:hint="eastAsia" w:ascii="宋体" w:hAnsi="宋体" w:eastAsia="宋体" w:cs="宋体"/>
          <w:snapToGrid/>
          <w:color w:val="000000"/>
          <w:spacing w:val="0"/>
          <w:w w:val="100"/>
          <w:kern w:val="2"/>
          <w:position w:val="0"/>
          <w:sz w:val="28"/>
          <w:szCs w:val="28"/>
          <w:lang w:val="en-US" w:eastAsia="zh-CN" w:bidi="zh-CN"/>
        </w:rPr>
        <w:t>。</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w:t>
      </w:r>
      <w:r>
        <w:rPr>
          <w:rFonts w:hint="eastAsia" w:ascii="宋体" w:hAnsi="宋体" w:eastAsia="宋体" w:cs="宋体"/>
          <w:b/>
          <w:bCs/>
          <w:sz w:val="28"/>
          <w:szCs w:val="28"/>
          <w:lang w:val="en-US" w:eastAsia="zh-CN"/>
        </w:rPr>
        <w:t>10</w:t>
      </w:r>
      <w:r>
        <w:rPr>
          <w:rFonts w:hint="eastAsia" w:ascii="宋体" w:hAnsi="宋体" w:eastAsia="宋体" w:cs="宋体"/>
          <w:b/>
          <w:bCs/>
          <w:sz w:val="28"/>
          <w:szCs w:val="28"/>
        </w:rPr>
        <w:t xml:space="preserve"> 主要经济技术指标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主要经济技术指标一览表如下所示：</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jc w:val="center"/>
        <w:textAlignment w:val="baseline"/>
        <w:rPr>
          <w:rFonts w:hint="eastAsia" w:ascii="宋体" w:hAnsi="宋体" w:eastAsia="宋体" w:cs="宋体"/>
          <w:b/>
          <w:bCs/>
          <w:sz w:val="28"/>
          <w:szCs w:val="28"/>
        </w:rPr>
      </w:pPr>
      <w:bookmarkStart w:id="13" w:name="_Toc21351"/>
      <w:bookmarkStart w:id="14" w:name="_Toc21351"/>
      <w:r>
        <w:rPr>
          <w:rFonts w:hint="eastAsia" w:ascii="宋体" w:hAnsi="宋体" w:eastAsia="宋体" w:cs="宋体"/>
          <w:b/>
          <w:bCs/>
          <w:sz w:val="28"/>
          <w:szCs w:val="28"/>
        </w:rPr>
        <w:t>主要经济技术指标一览表</w:t>
      </w:r>
      <w:bookmarkEnd w:id="13"/>
    </w:p>
    <w:tbl>
      <w:tblPr>
        <w:tblStyle w:val="000016"/>
        <w:tblW w:w="0" w:type="auto"/>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1209"/>
        <w:gridCol w:w="2856"/>
        <w:gridCol w:w="1380"/>
        <w:gridCol w:w="1335"/>
        <w:gridCol w:w="1290"/>
      </w:tblGrid>
      <w:tr>
        <w:trPr>
          <w:trHeight w:val="533" w:hRule="atLeast"/>
          <w:tblHeader/>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科目</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单位</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指标</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备注</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项目规模总投资</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snapToGrid w:val="false"/>
                <w:color w:val="auto"/>
                <w:kern w:val="0"/>
                <w:sz w:val="21"/>
                <w:szCs w:val="21"/>
                <w:u w:val="none"/>
                <w:lang w:val="en-US" w:eastAsia="zh-CN" w:bidi="ar-SA"/>
              </w:rPr>
            </w:pPr>
            <w:r>
              <w:rPr>
                <w:rFonts w:hint="eastAsia" w:ascii="宋体" w:hAnsi="宋体" w:eastAsia="宋体" w:cs="宋体"/>
                <w:b w:val="false"/>
                <w:bCs w:val="false"/>
                <w:i w:val="false"/>
                <w:iCs w:val="false"/>
                <w:snapToGrid w:val="false"/>
                <w:color w:val="auto"/>
                <w:kern w:val="0"/>
                <w:sz w:val="21"/>
                <w:szCs w:val="21"/>
                <w:u w:val="none"/>
                <w:lang w:val="en-US" w:eastAsia="zh-CN" w:bidi="ar"/>
              </w:rPr>
              <w:t>8767.59</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建设投资</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snapToGrid w:val="false"/>
                <w:color w:val="auto"/>
                <w:kern w:val="0"/>
                <w:sz w:val="21"/>
                <w:szCs w:val="21"/>
                <w:u w:val="none"/>
                <w:lang w:val="en-US" w:eastAsia="zh-CN" w:bidi="ar-SA"/>
              </w:rPr>
            </w:pPr>
            <w:r>
              <w:rPr>
                <w:rFonts w:hint="eastAsia" w:ascii="宋体" w:hAnsi="宋体" w:eastAsia="宋体" w:cs="宋体"/>
                <w:b w:val="false"/>
                <w:bCs w:val="false"/>
                <w:i w:val="false"/>
                <w:iCs w:val="false"/>
                <w:snapToGrid w:val="false"/>
                <w:color w:val="auto"/>
                <w:kern w:val="0"/>
                <w:sz w:val="21"/>
                <w:szCs w:val="21"/>
                <w:u w:val="none"/>
                <w:lang w:val="en-US" w:eastAsia="zh-CN" w:bidi="ar"/>
              </w:rPr>
              <w:t>8688.84</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建设期利息</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snapToGrid w:val="false"/>
                <w:color w:val="auto"/>
                <w:kern w:val="0"/>
                <w:sz w:val="21"/>
                <w:szCs w:val="21"/>
                <w:u w:val="none"/>
                <w:lang w:val="en-US" w:eastAsia="zh-CN" w:bidi="ar-SA"/>
              </w:rPr>
            </w:pPr>
            <w:r>
              <w:rPr>
                <w:rFonts w:hint="eastAsia" w:ascii="宋体" w:hAnsi="宋体" w:eastAsia="宋体" w:cs="宋体"/>
                <w:b w:val="false"/>
                <w:bCs w:val="false"/>
                <w:i w:val="false"/>
                <w:iCs w:val="false"/>
                <w:snapToGrid w:val="false"/>
                <w:color w:val="auto"/>
                <w:kern w:val="0"/>
                <w:sz w:val="21"/>
                <w:szCs w:val="21"/>
                <w:u w:val="none"/>
                <w:lang w:val="en-US" w:eastAsia="zh-CN" w:bidi="ar"/>
              </w:rPr>
              <w:t>78.75</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年均收入</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1196.12</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年均总成本</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681.14</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3.1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年均固定成本</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549.04</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3.2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年均可变成本</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103.31</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年均经营成本</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156.02</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年均利税</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514.98</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5.1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年均营业税金及附加</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14.68</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5.2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年均利润</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353.47</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5.3</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年均增值税</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146.83</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财务内部收益率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7.98</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税后</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财务净现值</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2151.65</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税后</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税后投资回收期</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11.26</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税后</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财务内部收益率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9.39</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税前</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财务净现值</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2920.30</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税前</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总投资收益率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5.91</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投资利税率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4.19</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13</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项目资本金净利润率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14.99</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14</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盈亏平衡点</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50.92</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bl>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项目（一期）主要经济技术指标一览表</w:t>
      </w:r>
      <w:bookmarkEnd w:id="14"/>
    </w:p>
    <w:tbl>
      <w:tblPr>
        <w:tblStyle w:val="000016"/>
        <w:tblW w:w="0" w:type="auto"/>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1209"/>
        <w:gridCol w:w="2856"/>
        <w:gridCol w:w="1380"/>
        <w:gridCol w:w="1320"/>
        <w:gridCol w:w="1305"/>
      </w:tblGrid>
      <w:tr>
        <w:trPr>
          <w:trHeight w:val="533" w:hRule="atLeast"/>
          <w:tblHeader/>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科目</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单位</w:t>
            </w:r>
          </w:p>
        </w:tc>
        <w:tc>
          <w:tcPr>
            <w:tcW w:w="132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指标</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备注</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项目规模总投资</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5304.18</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建设投资</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5256.93</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建设期利息</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2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47.25</w:t>
            </w:r>
            <w:r>
              <w:rPr>
                <w:rFonts w:hint="default" w:ascii="宋体" w:hAnsi="宋体" w:eastAsia="宋体" w:cs="宋体"/>
                <w:color w:val="auto"/>
                <w:sz w:val="21"/>
                <w:szCs w:val="21"/>
                <w:lang w:val="en-US" w:eastAsia="zh-CN"/>
              </w:rPr>
              <w:t xml:space="preserve"> </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年均收入</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700.26</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年均总成本</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404.54</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3.1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年均固定成本</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331.48</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3.2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年均可变成本</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73.06</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年均经营成本</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87.07</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年均利税</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295.54</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5.1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年均营业税金及附加</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8.65</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5.2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年均利润</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200.52</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5.3</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年均增值税</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86.54</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财务内部收益率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7.70</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税后</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财务净现值</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1210.00</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税后</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税后投资回收期</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11.31</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税后</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财务内部收益率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9.03</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税前</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财务净现值</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1646.59</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税前</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总投资收益率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5.66</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项目资本金净利润率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13.64</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13</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盈亏平衡点</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60.33</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outlineLvl w:val="1"/>
        <w:rPr>
          <w:rFonts w:hint="eastAsia" w:ascii="宋体" w:hAnsi="宋体" w:eastAsia="宋体" w:cs="宋体"/>
          <w:b/>
          <w:bCs/>
          <w:sz w:val="28"/>
          <w:szCs w:val="28"/>
          <w:lang w:val="en-US" w:eastAsia="zh-CN"/>
        </w:rPr>
      </w:pPr>
      <w:bookmarkStart w:id="15" w:name="_Toc31455"/>
      <w:bookmarkStart w:id="16" w:name="_Toc6245"/>
      <w:bookmarkStart w:id="17" w:name="_Toc10740"/>
      <w:r>
        <w:rPr>
          <w:rFonts w:hint="eastAsia" w:ascii="宋体" w:hAnsi="宋体" w:eastAsia="宋体" w:cs="宋体"/>
          <w:b/>
          <w:bCs/>
          <w:sz w:val="28"/>
          <w:szCs w:val="28"/>
          <w:lang w:val="en-US" w:eastAsia="zh-CN"/>
        </w:rPr>
        <w:t>1.2 企业及实际控制人概况</w:t>
      </w:r>
      <w:bookmarkEnd w:id="15"/>
      <w:bookmarkEnd w:id="16"/>
      <w:bookmarkEnd w:id="17"/>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单位为河南中原智慧冷链物流园管理运营有限公司，成立于2021年12月2日，注册资本金为人民币100万元，法定代表人为马金全，注册地址为河南省新乡市获嘉县产业集聚区416室。经营范围：一般项目：园区管理服务；商业综合体管理服务；供应链管理服务；税务服务；信息咨询服务（不含许可类信息咨询服务）；社会经济咨询服务；环保咨询服务；安全咨询服务；会议及展览服务；企业管理咨询；劳务服务（不含劳务派遣）；融资咨询服务；食品销售（仅销售预包装食品）；农产品的生产、销售、加工、运输、贮藏及其他相关服务；初级农产品收购；普通货物仓储服务（不含危险化学品等需许可审批的项目）；低温仓储（不含危险化学品等需许可审批的项目）；国内货物运输代理；林业产品销售；木材销售；礼品花卉销售；建筑材料销售；金属材料销售（除依法须经批准的项目外，凭营业执照依法自主开展经营活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主体的唯一股东为获嘉县产业集聚区运营发展服务有限公司，成立于2020年8月7日，注册资金为人民币300万元，法定代表人高本祯，注册地：河南省获嘉县城关镇产业集聚区四楼405号。经营范围：一般项目：物业管理；房地产评估；房地产经纪；房地产咨询；住房租赁；非居住房地产租赁；建筑材料销售；铁路运输辅助活动；陆路国际货物运输代理；停车场服务；机械设备租赁；运输设备租赁服务；仓储设备租赁服务；单位后勤管理服务；企业管理；公共事业管理服务；园区管理服务；供应链管理服务；法律咨询（不包括律师事务所业务）；信息咨询服务（不含许可类信息咨询服务）；环保咨询服务；企业管理咨询；劳务服务（不含劳务派遣）；市政设施管理；城市绿化管理；建筑物清洁服务；专业保洁、清洗、消毒服务（除依法须经批准的项目外，凭营业执照依法自主开展经营活动）。</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outlineLvl w:val="1"/>
        <w:rPr>
          <w:rFonts w:hint="eastAsia" w:ascii="宋体" w:hAnsi="宋体" w:eastAsia="宋体" w:cs="宋体"/>
          <w:b/>
          <w:bCs/>
          <w:sz w:val="28"/>
          <w:szCs w:val="28"/>
          <w:lang w:val="en-US" w:eastAsia="zh-CN"/>
        </w:rPr>
      </w:pPr>
      <w:bookmarkStart w:id="18" w:name="_Toc29965"/>
      <w:bookmarkStart w:id="19" w:name="_Toc4195"/>
      <w:bookmarkStart w:id="20" w:name="_Toc24935"/>
      <w:bookmarkStart w:id="21" w:name="_Toc8258"/>
      <w:r>
        <w:rPr>
          <w:rFonts w:hint="eastAsia" w:ascii="宋体" w:hAnsi="宋体" w:eastAsia="宋体" w:cs="宋体"/>
          <w:b/>
          <w:bCs/>
          <w:sz w:val="28"/>
          <w:szCs w:val="28"/>
          <w:lang w:val="en-US" w:eastAsia="zh-CN"/>
        </w:rPr>
        <w:t>1.3 编制依据</w:t>
      </w:r>
      <w:bookmarkEnd w:id="18"/>
      <w:bookmarkEnd w:id="19"/>
      <w:bookmarkEnd w:id="20"/>
      <w:bookmarkEnd w:id="21"/>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在可行性研究中作为依据的法规、文件、资料、要列出名称、来源、发布日期。并将其中必要的部分全文附后，作为可行性研究报告的附件，这些法规、文件、资料大致可分为四个部分：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项目主管部门对项目的建设要求所下达的指令性文件；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对项目承办单位或可行性研究单位的请示报告的批复文件。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可行性研究开始前已经形成的工作成果及文件。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根据项目需要进行调查和收集设计基础资料。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《中华人民共和国国民经济和社会发展“十四五”规划纲要》;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《新乡市“十四五”发展规划》;</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《国家战略性新兴产业“十四五”发展规划》;</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《国家产业结构调整指导目录(2011年本)》;</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《建设项目经济评价方法与参数及使用手册》(第三版);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《工业可行性研究编制手册》;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《现代财务会计》;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《工业投资项目评价与决策》;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项目公司提供的发展规划、有关资料及相关数据;</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国家公布的相关设备及施工标准。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《公共建筑节能设计标准》（GB50189-2005）；</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新乡市区各项规划资料；新乡市现场调研资料；相关的地质、水文、燃料、供电、供水等资料；新乡市水、电、天然气等基本耗材价格资料；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国家及地方相关的法律法规、条例、标准规范等文件。</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outlineLvl w:val="1"/>
        <w:rPr>
          <w:rFonts w:hint="eastAsia" w:ascii="宋体" w:hAnsi="宋体" w:eastAsia="宋体" w:cs="宋体"/>
          <w:b/>
          <w:bCs/>
          <w:sz w:val="28"/>
          <w:szCs w:val="28"/>
          <w:lang w:val="en-US" w:eastAsia="zh-CN"/>
        </w:rPr>
      </w:pPr>
      <w:bookmarkStart w:id="22" w:name="_Toc1907"/>
      <w:bookmarkStart w:id="23" w:name="_Toc21802"/>
      <w:bookmarkStart w:id="24" w:name="_Toc6711"/>
      <w:r>
        <w:rPr>
          <w:rFonts w:hint="eastAsia" w:ascii="宋体" w:hAnsi="宋体" w:eastAsia="宋体" w:cs="宋体"/>
          <w:b/>
          <w:bCs/>
          <w:sz w:val="28"/>
          <w:szCs w:val="28"/>
          <w:lang w:val="en-US" w:eastAsia="zh-CN"/>
        </w:rPr>
        <w:t>1.4 研究范围</w:t>
      </w:r>
      <w:bookmarkEnd w:id="22"/>
      <w:bookmarkEnd w:id="23"/>
      <w:bookmarkEnd w:id="24"/>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国家对可行性研究报告工作范围和深度的规定，本报告对项目建设背景、需求分析及产出方案、项目选址与建设条件、建设规模及内容、项目建设方案、公用工程、绿色建筑、环境保护、节能、劳动安全卫生及消防、组织机构与劳动定员、项目组织及实施、项目招投标、投资估算与资金筹措、财务评价、效益分析、结论与建议等方面进行综合研究和分析，重点研究和论述项目建设的必要性、项目建设方案、投资估算、财务评价、效益分析等内容，为建设单位的决策和实施提供可靠和准确的论证。</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outlineLvl w:val="1"/>
        <w:rPr>
          <w:rFonts w:hint="eastAsia" w:ascii="宋体" w:hAnsi="宋体" w:eastAsia="宋体" w:cs="宋体"/>
          <w:b/>
          <w:bCs/>
          <w:sz w:val="28"/>
          <w:szCs w:val="28"/>
          <w:lang w:val="en-US" w:eastAsia="zh-CN"/>
        </w:rPr>
      </w:pPr>
      <w:bookmarkStart w:id="25" w:name="_Toc5471"/>
      <w:bookmarkStart w:id="26" w:name="_Toc6849"/>
      <w:bookmarkStart w:id="27" w:name="_Toc13922"/>
      <w:bookmarkStart w:id="28" w:name="_Toc26283"/>
      <w:r>
        <w:rPr>
          <w:rFonts w:hint="eastAsia" w:ascii="宋体" w:hAnsi="宋体" w:eastAsia="宋体" w:cs="宋体"/>
          <w:b/>
          <w:bCs/>
          <w:sz w:val="28"/>
          <w:szCs w:val="28"/>
          <w:lang w:val="en-US" w:eastAsia="zh-CN"/>
        </w:rPr>
        <w:t>1.5 结论及建议</w:t>
      </w:r>
      <w:bookmarkEnd w:id="25"/>
      <w:bookmarkEnd w:id="26"/>
      <w:bookmarkEnd w:id="27"/>
      <w:bookmarkEnd w:id="28"/>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1.5.1 结论</w:t>
      </w:r>
    </w:p>
    <w:p>
      <w:pPr>
        <w:keepNext w:val="false"/>
        <w:keepLines w:val="false"/>
        <w:pageBreakBefore w:val="false"/>
        <w:widowControl w:val="false"/>
        <w:kinsoku/>
        <w:wordWrap/>
        <w:overflowPunct/>
        <w:topLinePunct/>
        <w:autoSpaceDE w:val="false"/>
        <w:autoSpaceDN/>
        <w:bidi w:val="false"/>
        <w:snapToGrid/>
        <w:spacing w:before="157" w:beforeLines="50" w:after="157" w:afterLines="50" w:line="360" w:lineRule="auto"/>
        <w:ind w:left="0" w:right="0" w:firstLine="560" w:firstLineChars="200"/>
        <w:jc w:val="both"/>
        <w:textAlignment w:val="baseline"/>
        <w:rPr/>
      </w:pPr>
      <w:r>
        <w:rPr>
          <w:rFonts w:ascii="宋体" w:hAnsi="宋体" w:eastAsia="宋体" w:cs="宋体"/>
          <w:i w:val="false"/>
          <w:strike w:val="false"/>
          <w:color w:val="000000"/>
          <w:sz w:val="28"/>
          <w:u w:val="none"/>
        </w:rPr>
        <w:t>本项目的建设，可以充分合理</w:t>
      </w:r>
      <w:r>
        <w:rPr>
          <w:rFonts w:hint="eastAsia" w:ascii="宋体" w:hAnsi="宋体" w:eastAsia="宋体" w:cs="宋体"/>
          <w:i w:val="false"/>
          <w:strike w:val="false"/>
          <w:color w:val="000000"/>
          <w:sz w:val="28"/>
          <w:u w:val="none"/>
          <w:lang w:eastAsia="zh-CN"/>
        </w:rPr>
        <w:t>地</w:t>
      </w:r>
      <w:r>
        <w:rPr>
          <w:rFonts w:ascii="宋体" w:hAnsi="宋体" w:eastAsia="宋体" w:cs="宋体"/>
          <w:i w:val="false"/>
          <w:strike w:val="false"/>
          <w:color w:val="000000"/>
          <w:sz w:val="28"/>
          <w:u w:val="none"/>
        </w:rPr>
        <w:t>利用园区内工业厂房屋顶</w:t>
      </w:r>
      <w:r>
        <w:rPr>
          <w:rFonts w:hint="eastAsia" w:ascii="宋体" w:hAnsi="宋体" w:eastAsia="宋体" w:cs="宋体"/>
          <w:i w:val="false"/>
          <w:strike w:val="false"/>
          <w:color w:val="000000"/>
          <w:sz w:val="28"/>
          <w:u w:val="none"/>
        </w:rPr>
        <w:t>及闲置空地</w:t>
      </w:r>
      <w:r>
        <w:rPr>
          <w:rFonts w:ascii="宋体" w:hAnsi="宋体" w:eastAsia="宋体" w:cs="宋体"/>
          <w:i w:val="false"/>
          <w:strike w:val="false"/>
          <w:color w:val="000000"/>
          <w:sz w:val="28"/>
          <w:u w:val="none"/>
        </w:rPr>
        <w:t>面积进行开发利用光能资源，满足能源可持续发展的需要；可以促进地区国民经济的可持续发展；可以加快能源电力结构调整；同时改善生态、保护环境；本工程的兴建不仅能减少对电网电力的消耗，减轻当地电网的压力，使用绿色能源，起到节约传统能源的作用，有助于提升企业形象。</w:t>
      </w:r>
    </w:p>
    <w:p>
      <w:pPr>
        <w:keepNext w:val="false"/>
        <w:keepLines w:val="false"/>
        <w:pageBreakBefore w:val="false"/>
        <w:widowControl w:val="false"/>
        <w:pBdr>
          <w:bottom w:val="none" w:color="auto" w:sz="0" w:space="0"/>
        </w:pBdr>
        <w:kinsoku/>
        <w:wordWrap/>
        <w:overflowPunct/>
        <w:topLinePunct/>
        <w:autoSpaceDE w:val="false"/>
        <w:autoSpaceDN/>
        <w:bidi w:val="false"/>
        <w:snapToGrid/>
        <w:spacing w:before="157" w:beforeLines="50" w:after="157" w:afterLines="50" w:line="360" w:lineRule="auto"/>
        <w:ind w:left="0" w:right="0" w:firstLine="560" w:firstLineChars="200"/>
        <w:jc w:val="both"/>
        <w:textAlignment w:val="baseline"/>
        <w:rPr>
          <w:rFonts w:hint="eastAsia" w:ascii="宋体" w:hAnsi="宋体" w:eastAsia="宋体" w:cs="宋体"/>
          <w:snapToGrid/>
          <w:color w:val="auto"/>
          <w:spacing w:val="0"/>
          <w:w w:val="100"/>
          <w:kern w:val="2"/>
          <w:position w:val="0"/>
          <w:sz w:val="28"/>
          <w:szCs w:val="28"/>
          <w:lang w:val="en-US" w:eastAsia="zh-CN" w:bidi="zh-CN"/>
        </w:rPr>
      </w:pPr>
      <w:r>
        <w:rPr>
          <w:rFonts w:ascii="宋体" w:hAnsi="宋体" w:eastAsia="宋体" w:cs="宋体"/>
          <w:i w:val="false"/>
          <w:strike w:val="false"/>
          <w:color w:val="000000"/>
          <w:sz w:val="28"/>
          <w:u w:val="none"/>
        </w:rPr>
        <w:t>经过以上分析，可知本项目在接入、技术、经济、节能减排指标方面是可行的，项目具备建设条件</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1.5.2 建议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为保证本项目能够顺利、稳妥地建设和发展，应注意以下几个方面：</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1、应积极筹措建设资金，保证项目顺利建设，强化项目进程中的投资、质量、进度计划，注重对可能发生的不利条件及变化因素的预测与防范对策，以保证项目按期完成。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2、建议政府出台相关政策，对源网荷储一体化项目给予财政补贴、税收优惠等支持措施；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3、加强对当地企业的宣传教育，提高企业对新能源电力的认知度和接受度，促进社会各界的参与和支持。</w:t>
      </w:r>
      <w:r>
        <w:rPr>
          <w:rFonts w:hint="eastAsia" w:ascii="宋体" w:hAnsi="宋体" w:eastAsia="宋体" w:cs="宋体"/>
          <w:snapToGrid/>
          <w:color w:val="auto"/>
          <w:spacing w:val="0"/>
          <w:w w:val="100"/>
          <w:kern w:val="2"/>
          <w:position w:val="0"/>
          <w:sz w:val="28"/>
          <w:szCs w:val="28"/>
          <w:lang w:val="en-US" w:eastAsia="zh-CN" w:bidi="zh-CN"/>
        </w:rPr>
        <w:br w:type="page"/>
      </w:r>
    </w:p>
    <w:p>
      <w:pPr>
        <w:keepNext w:val="false"/>
        <w:keepLines w:val="false"/>
        <w:pageBreakBefore w:val="false"/>
        <w:widowControl w:val="false"/>
        <w:kinsoku/>
        <w:wordWrap/>
        <w:overflowPunct/>
        <w:topLinePunct/>
        <w:autoSpaceDE w:val="false"/>
        <w:autoSpaceDN/>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rPr>
      </w:pPr>
      <w:bookmarkStart w:id="29" w:name="_Toc1140"/>
      <w:bookmarkStart w:id="30" w:name="_Toc8074"/>
      <w:r>
        <w:rPr>
          <w:rFonts w:hint="eastAsia" w:ascii="宋体" w:hAnsi="宋体" w:eastAsia="宋体" w:cs="宋体"/>
          <w:b/>
          <w:bCs/>
          <w:sz w:val="36"/>
          <w:szCs w:val="36"/>
        </w:rPr>
        <w:t>第二章 项目建设背景及必要性</w:t>
      </w:r>
      <w:bookmarkEnd w:id="29"/>
      <w:bookmarkEnd w:id="30"/>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outlineLvl w:val="1"/>
        <w:rPr>
          <w:rFonts w:hint="eastAsia" w:ascii="宋体" w:hAnsi="宋体" w:eastAsia="宋体" w:cs="宋体"/>
          <w:b/>
          <w:bCs/>
          <w:sz w:val="28"/>
          <w:szCs w:val="28"/>
          <w:lang w:val="en-US" w:eastAsia="zh-CN"/>
        </w:rPr>
      </w:pPr>
      <w:bookmarkStart w:id="31" w:name="_Toc29717"/>
      <w:bookmarkStart w:id="32" w:name="_Toc29356"/>
      <w:r>
        <w:rPr>
          <w:rFonts w:hint="eastAsia" w:ascii="宋体" w:hAnsi="宋体" w:eastAsia="宋体" w:cs="宋体"/>
          <w:b/>
          <w:bCs/>
          <w:sz w:val="28"/>
          <w:szCs w:val="28"/>
          <w:lang w:val="en-US" w:eastAsia="zh-CN"/>
        </w:rPr>
        <w:t>2.1 规划政策符合性</w:t>
      </w:r>
      <w:bookmarkEnd w:id="31"/>
      <w:bookmarkEnd w:id="32"/>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2.1.1 项目建设背景和前期工作进展情况</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2.1.1.1 项目建设背景</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随着气候变化问题的日益严峻，全球对约束碳排放已经基本达成一致。根据气候、中国经济的现状等条件，中央政府提出以“双碳”目标，2030年前实现碳达峰，2060年前实现碳中和。在这一战略框架下，光伏发电和储能技术成为重要的支撑和突破口。通过大力发展光伏发电及储能技术，利用太阳能资源进行清洁能源生产，配合储能调峰稳定电力运行，可以促进碳减排和能源转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1、新乡市获嘉县整体情况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地处河南省北部，新乡市西部，介于东经113°39′42″～113°44′20″，北纬35°9′34″～35°15′37″之间。县域面积473平方公里，距新乡市约20公里，距省会郑州约80公里。下辖8镇3乡，即城关镇、照镜镇、黄堤镇、中和镇、徐营镇、冯庄镇、亢村镇、史庄镇、太山镇、大新庄乡、位庄乡，共有219个行政村，耕地面积44.8万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2023年获嘉县的国内生产总值（GDP）为2002022万元，比上年增长2.3%‌‌。其中，第一产业增加值377953万元，增长0.4%；第二产业增加值749021万元，增长3.1%；第三产业增加值875048万元，增长2.3%。三次产业结构为18.9:37.4:43.7‌13。</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的经济运行情况总体稳定，农业生产形势稳定，农产品供给充足。全县农林牧渔业总产值67.3亿元，同比增长2.2%。粮食安全得到保障，尽管受连续降雨影响夏粮有所减产，但粮食总产量仍稳定在37.91万吨。工业生产加快，主导产业支撑作用明显，规模以上工业增加值同比增长7%，其中制造业增加值增长11.8%‌。</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2、获嘉县工业生产加快，工业园区较多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近年来工业生产呈现出蓬勃加快的发展态势，境内工业园逐渐增多，为经济增长注入了强劲动力。其拥有如获嘉县先进制造业开发区这样的重要产业园区，按照“一区多园”的布局，涵盖了现代化工、装备制造、生物医药等多个领域，入驻企业多达600余家，其中规模以上工业企业就有90家。在现代化工产业园区，依托产业基础与资源优势，吸引了众多化工企业扎根，形成了完整的产业链条，从基础化工原料生产到精细化工产品加工，一应俱全；装备制造产业园内，各类机械加工、装配企业聚集，专注于生产农业机械、工业设备配件以及智能装备等产品，产品远销国内外；生物医药产业也崭露头角，一批专注于制药、医疗器械研发生产的企业蓬勃发展，不断提升着获嘉县在该领域的影响力。此外，像获嘉县精细化工专业园区，聚焦精细化工领域，以巨晶化工等企业为核心，全力打造高端精细化工产业集群，进一步丰富了获嘉县的工业产业结构，众多企业在这片土地上汇聚，通过不断创新与技术升级，推动着获嘉县工业向着更高质量、更具竞争力的方向大步迈进，成为区域经济发展的重要支撑力量，也为当地创造了大量的就业机会和经济效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3、园区工业企业用电需要量较大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产业集聚区发展态势良好，园区内企业众多且用电需求量较大。其中，中新化工凭借其大规模的化工生产设施与复杂的工艺流程，在原材料的提炼、合成以及产品精制等各个环节都离不开大量电力的支撑，大型反应釜、蒸馏塔等设备持续运行，耗电量惊人，是园区电力消耗的重要力量。中小企业孵化园虽企业规模不一，但整体用电量不容小觑，园内机械制造、电子元件加工等企业的各类机床、自动化生产线以及检测设备等同时运转，众多企业的用电需求汇聚起来，形成了可观的用电规模。河南晶瑞日用品在生产过程中，为保证产品的高质量，其消毒、灌装、包装等环节的自动化设备对电力的稳定性和持续性要求极高，特别是在生产高峰期，用电需求急剧上升。大成包装的生产也高度依赖电力，从纸板的切割、印刷到纸箱的成型、装订，一系列大型设备的运转使得用电量居高不下，产生大量的用电需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4、源网荷储模式能够有效解决企业降本增效的问题</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color w:val="auto"/>
          <w:sz w:val="28"/>
          <w:szCs w:val="28"/>
        </w:rPr>
      </w:pPr>
      <w:r>
        <w:rPr>
          <w:rFonts w:hint="eastAsia" w:ascii="宋体" w:hAnsi="宋体" w:eastAsia="宋体" w:cs="宋体"/>
          <w:snapToGrid/>
          <w:color w:val="auto"/>
          <w:spacing w:val="0"/>
          <w:w w:val="100"/>
          <w:kern w:val="2"/>
          <w:position w:val="0"/>
          <w:sz w:val="28"/>
          <w:szCs w:val="28"/>
          <w:lang w:val="en-US" w:eastAsia="zh-CN" w:bidi="zh-CN"/>
        </w:rPr>
        <w:t>大环境经济下行已经给企业造成比较大的经营困难。获嘉县的企业经营也遇到困难和问题，获取定单和降低成本是经营中最急迫的工作。在这个市场出清时期，如果企业转型过慢，有可能面临被淘汰出局的风险。拟建项目作为新乡市获嘉</w:t>
      </w:r>
      <w:r>
        <w:rPr>
          <w:rFonts w:hint="eastAsia" w:ascii="宋体" w:hAnsi="宋体" w:eastAsia="宋体" w:cs="宋体"/>
          <w:color w:val="auto"/>
          <w:sz w:val="28"/>
          <w:szCs w:val="28"/>
          <w:lang w:val="en-US" w:eastAsia="zh-CN"/>
        </w:rPr>
        <w:t>县源网荷储</w:t>
      </w:r>
      <w:r>
        <w:rPr>
          <w:rFonts w:hint="eastAsia" w:ascii="宋体" w:hAnsi="宋体" w:eastAsia="宋体" w:cs="宋体"/>
          <w:color w:val="auto"/>
          <w:sz w:val="28"/>
          <w:szCs w:val="28"/>
        </w:rPr>
        <w:t>绿色新能源项目，极大程度上解决企业用电贵、成本高的问题</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同时解决了隔墙售电的问题。</w:t>
      </w:r>
      <w:r>
        <w:rPr>
          <w:rFonts w:hint="eastAsia" w:ascii="宋体" w:hAnsi="宋体" w:eastAsia="宋体" w:cs="宋体"/>
          <w:color w:val="auto"/>
          <w:sz w:val="28"/>
          <w:szCs w:val="28"/>
        </w:rPr>
        <w:t>从根源上降低企业生产成本，给企业转型争取时间和机会，为转型升级提供更有力的支持。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5、源网荷储一体化已成为河南省新能源项目发展趋势</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在能源转型的大背景下，源网荷储一体化已成为河南省新能源项目发展的显著趋势。《河南省加快推进源网荷储一体化实施方案》的出台，明确了其在河南能源战略中的关键地位。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2"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b/>
          <w:snapToGrid/>
          <w:color w:val="auto"/>
          <w:spacing w:val="0"/>
          <w:w w:val="100"/>
          <w:kern w:val="2"/>
          <w:position w:val="0"/>
          <w:sz w:val="28"/>
          <w:szCs w:val="28"/>
          <w:lang w:val="en-US" w:eastAsia="zh-CN" w:bidi="zh-CN"/>
        </w:rPr>
        <w:t>政府充分发挥主导作用</w:t>
      </w:r>
      <w:r>
        <w:rPr>
          <w:rFonts w:hint="eastAsia" w:ascii="宋体" w:hAnsi="宋体" w:eastAsia="宋体" w:cs="宋体"/>
          <w:snapToGrid/>
          <w:color w:val="auto"/>
          <w:spacing w:val="0"/>
          <w:w w:val="100"/>
          <w:kern w:val="2"/>
          <w:position w:val="0"/>
          <w:sz w:val="28"/>
          <w:szCs w:val="28"/>
          <w:lang w:val="en-US" w:eastAsia="zh-CN" w:bidi="zh-CN"/>
        </w:rPr>
        <w:t>，积极引导资源配置，营造良好政策环境，从规划到审批，大力支持项目推进。其中，新能源项目库的高效运作机制尤为突出</w:t>
      </w:r>
      <w:r>
        <w:rPr>
          <w:rFonts w:hint="eastAsia" w:ascii="宋体" w:hAnsi="宋体" w:eastAsia="宋体" w:cs="宋体"/>
          <w:b/>
          <w:snapToGrid/>
          <w:color w:val="auto"/>
          <w:spacing w:val="0"/>
          <w:w w:val="100"/>
          <w:kern w:val="2"/>
          <w:position w:val="0"/>
          <w:sz w:val="28"/>
          <w:szCs w:val="28"/>
          <w:lang w:val="en-US" w:eastAsia="zh-CN" w:bidi="zh-CN"/>
        </w:rPr>
        <w:t>。每月开放申报通道，实行即时报、即时批、即时审，</w:t>
      </w:r>
      <w:r>
        <w:rPr>
          <w:rFonts w:hint="eastAsia" w:ascii="宋体" w:hAnsi="宋体" w:eastAsia="宋体" w:cs="宋体"/>
          <w:snapToGrid/>
          <w:color w:val="auto"/>
          <w:spacing w:val="0"/>
          <w:w w:val="100"/>
          <w:kern w:val="2"/>
          <w:position w:val="0"/>
          <w:sz w:val="28"/>
          <w:szCs w:val="28"/>
          <w:lang w:val="en-US" w:eastAsia="zh-CN" w:bidi="zh-CN"/>
        </w:rPr>
        <w:t>企业提交的源网荷储一体化项目申请能迅速进入审核流程，短时间内获得审批结果。这一机制极大激发了市场活力，众多企业凭借技术、资金优势积极参与项目申报，抢占新兴领域先机。申报项目落地后，推动能源结构优化升级，大幅提升清洁能源在能源消费中的占比。通过整合能源生产、传输、存储和消费环节，源网荷储一体化项目提高了能源利用效率，降低损耗，增强能源供应的稳定性与可靠性，为河南可持续发展注入强劲动力，助力其在绿色能源道路上稳步前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Chars="0" w:rightChars="0" w:firstLineChars="200"/>
        <w:jc w:val="both"/>
        <w:textAlignment w:val="baseline"/>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6、提前布置“光储充换”一体化设施，抢占市场先机</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left="0" w:firstLineChars="200"/>
        <w:jc w:val="both"/>
        <w:textAlignment w:val="baseline"/>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随着“双碳”目标的推进与新能源汽车渗透率的持续提升，市场对充换电服务的需求正从单一充电向多元化、综合化方向转变。本项目率先构建“光储充换”一体化设施，通过光伏发电系统将清洁能源转化为电能，搭配储能设备实现电力的灵活调配与存储，有效降低对传统电网的依赖，既契合绿色发展理念，又能大幅降低运营成本，在价格竞争中占据优势。同时，一体化设施集成充电、换电功能，为新能源运营车辆及非机动车用户提供一站式服务，满足不同群体的多样化需求，极大提升用户粘性与服务竞争力。此外，随着周边区域新能源市场的逐步开发，提前完成设施布局能够形成先发优势，构建品牌影响力，快速占领市场份额，确立行业领先地位，不仅为项目自身带来持续稳定的收益，还能凭借先发优势吸引上下游企业合作，进一步拓展业务版图，在新能源充换电这片蓝海市场中拔得头筹，引领行业发展潮流。</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2.1.2 经济社会发展规划、产业政策</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2.1.2.1 《国家发展改革委国家能源局关于推进电力源网荷储一体化和多能互补发展的指导意见》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意见中提出要创新电力生产和消费模式，推进源网荷储一体化发展。鼓励各类市场主体积极参与，探索多种实施路径和商业模式。通过优化电源结构、提升电网灵活性、引导用户侧互动以及加强储能设施建设等措施，实现电力系统的源网荷储各环节深度融合与协调运行，提高电力系统的综合效率和可靠性，促进清洁能源的大规模开发利用和能源的可持续发展。</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2.1.2.2 《国家发展改革委、国家能源局关于加强电网调峰储能和智能化调度能力建设的指导意见》</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firstLine="560" w:firstLineChars="200"/>
        <w:textAlignment w:val="baseline"/>
        <w:rPr>
          <w:rFonts w:hint="default" w:ascii="宋体" w:hAnsi="宋体" w:eastAsia="宋体" w:cs="宋体"/>
          <w:b w:val="false"/>
          <w:bCs w:val="false"/>
          <w:sz w:val="28"/>
          <w:szCs w:val="28"/>
          <w:lang w:val="en-US" w:eastAsia="zh-CN"/>
        </w:rPr>
      </w:pPr>
      <w:r>
        <w:rPr>
          <w:rFonts w:hint="default" w:ascii="宋体" w:hAnsi="宋体" w:eastAsia="宋体" w:cs="宋体"/>
          <w:b w:val="false"/>
          <w:bCs w:val="false"/>
          <w:sz w:val="28"/>
          <w:szCs w:val="28"/>
          <w:lang w:val="en-US" w:eastAsia="zh-CN"/>
        </w:rPr>
        <w:t>以习近平新时代中国特色社会主义思想为指导，统筹优化调峰资源，推动源网荷储各类调节资源作用发挥。要求加强调峰能力建设，推进储能能力建设，推动智能化调度能力建设等。同时，积极推动各类调节资源参与电力市场，建立健全价格机制，健全完善管理体系，以提升电力系统调节能力，保障能源电力安全稳定供应和可再生能源高质量消纳等。</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2.1.2.</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《关于推进源网荷储一体化和多能互补项目实施的通知》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通知中明确了源网荷储一体化和多能互补项目的实施要求和流程。要求各地要结合实际情况，制定具体的项目实施方案，加强项目储备和管理。在项目实施过程中，要注重项目的技术经济性和安全性，鼓励采用先进的技术和设备。同时，要建立健全项目的评估和监管机制，确保项目的顺利实施和预期效果的实现，推动源网荷储一体化和多能互补项目的规模化发展。</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2.1.2.4 《能源局综合司关于报送源网荷储一体化和多能互补项目有关情况的通知》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通知中要求各地能源主管部门报送源网荷储一体化和多能互补项目的有关情况，包括项目的基本信息、进展情况、存在的问题等。旨在全面了解各地项目的实施现状，及时发现和解决项目推进过程中存在的问题，加强对项目的跟踪和指导，为进一步完善相关政策和措施提供依据，促进源网荷储一体化和多能互补项目的健康发展。</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2.1.2.</w:t>
      </w:r>
      <w:r>
        <w:rPr>
          <w:rFonts w:hint="eastAsia" w:ascii="宋体" w:hAnsi="宋体" w:eastAsia="宋体" w:cs="宋体"/>
          <w:b/>
          <w:bCs/>
          <w:sz w:val="28"/>
          <w:szCs w:val="28"/>
          <w:lang w:val="en-US" w:eastAsia="zh-CN"/>
        </w:rPr>
        <w:t>5</w:t>
      </w:r>
      <w:r>
        <w:rPr>
          <w:rFonts w:hint="eastAsia" w:ascii="宋体" w:hAnsi="宋体" w:eastAsia="宋体" w:cs="宋体"/>
          <w:b/>
          <w:bCs/>
          <w:sz w:val="28"/>
          <w:szCs w:val="28"/>
        </w:rPr>
        <w:t xml:space="preserve"> 《河南省加快推进源网荷储一体化实施方案》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该方案拓展了源网荷储一体化项目的实施范围，涵盖工商业企业、产业园区等多种场景。重点任务包括加快科技创新应用，加强清洁能源供应，推动配网改造升级，优化电力负荷管理以及提速发展新型储能等。同时提出强化政策支持、保障并网消纳、营造良好环境等保障措施，以构建灵活智能、稳定高效的智能微电网，实现新能源的高效消纳和源网荷储各环节的协同互动。</w:t>
      </w:r>
      <w:r>
        <w:rPr>
          <w:rFonts w:hint="eastAsia" w:ascii="宋体" w:hAnsi="宋体" w:eastAsia="宋体" w:cs="宋体"/>
          <w:b/>
          <w:snapToGrid/>
          <w:color w:val="auto"/>
          <w:spacing w:val="0"/>
          <w:w w:val="100"/>
          <w:kern w:val="2"/>
          <w:position w:val="0"/>
          <w:sz w:val="28"/>
          <w:szCs w:val="28"/>
          <w:lang w:val="en-US" w:eastAsia="zh-CN" w:bidi="zh-CN"/>
        </w:rPr>
        <w:t>新乡市作为河南省中心城市，在2027年前需建成70个源网荷储项目目标任务。</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drawing>
          <wp:inline distT="0" distB="0" distL="0" distR="0">
            <wp:extent cx="5274310" cy="4072255"/>
            <wp:effectExtent l="0" t="0" r="0" b="0"/>
            <wp:docPr id="11" name="picture" descr="descript"/>
            <wp:cNvGraphicFramePr/>
            <a:graphic>
              <a:graphicData uri="http://schemas.openxmlformats.org/drawingml/2006/picture">
                <pic:pic>
                  <pic:nvPicPr>
                    <pic:cNvPr id="12" name="picture" descr="descript"/>
                    <pic:cNvPicPr/>
                  </pic:nvPicPr>
                  <pic:blipFill>
                    <a:blip r:embed="rId10"/>
                    <a:stretch>
                      <a:fillRect/>
                    </a:stretch>
                  </pic:blipFill>
                  <pic:spPr>
                    <a:xfrm>
                      <a:off x="0" y="0"/>
                      <a:ext cx="5274310" cy="4072360"/>
                    </a:xfrm>
                    <a:prstGeom prst="rect">
                      <a:avLst/>
                    </a:prstGeom>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after="0" w:afterLines="50" w:line="48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2.1.2.</w:t>
      </w:r>
      <w:r>
        <w:rPr>
          <w:rFonts w:hint="eastAsia" w:ascii="宋体" w:hAnsi="宋体" w:eastAsia="宋体" w:cs="宋体"/>
          <w:b/>
          <w:bCs/>
          <w:sz w:val="28"/>
          <w:szCs w:val="28"/>
          <w:lang w:val="en-US" w:eastAsia="zh-CN"/>
        </w:rPr>
        <w:t>6</w:t>
      </w:r>
      <w:r>
        <w:rPr>
          <w:rFonts w:hint="eastAsia" w:ascii="宋体" w:hAnsi="宋体" w:eastAsia="宋体" w:cs="宋体"/>
          <w:b/>
          <w:bCs/>
          <w:sz w:val="28"/>
          <w:szCs w:val="28"/>
        </w:rPr>
        <w:t xml:space="preserve"> 《河南省工业企业源网荷储一体化项目实施细则（暂行）》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48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明确了项目建设模式、电源和储能设施规模、消纳运行和安全、并网时间和接入要求等。规定用电量较大的工业企业可结合自身用电特性，利用20公里范围内新能源资源建设分布式光伏或分散式风电，适当配置储能设施，提升绿电使用比例和系统运行效率，实现源网荷储一体化运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480" w:lineRule="auto"/>
        <w:ind w:left="0" w:firstLineChars="0"/>
        <w:jc w:val="both"/>
        <w:textAlignment w:val="baseline"/>
        <w:outlineLvl w:val="9"/>
        <w:rPr>
          <w:rFonts w:hint="eastAsia" w:ascii="宋体" w:hAnsi="宋体" w:eastAsia="宋体" w:cs="宋体"/>
          <w:b/>
          <w:snapToGrid/>
          <w:color w:val="auto"/>
          <w:spacing w:val="0"/>
          <w:w w:val="100"/>
          <w:kern w:val="2"/>
          <w:position w:val="0"/>
          <w:sz w:val="28"/>
          <w:szCs w:val="28"/>
          <w:lang w:val="en-US" w:eastAsia="zh-CN" w:bidi="zh-CN"/>
        </w:rPr>
      </w:pPr>
      <w:r>
        <w:rPr>
          <w:rFonts w:hint="eastAsia" w:ascii="宋体" w:hAnsi="宋体" w:eastAsia="宋体" w:cs="宋体"/>
          <w:b/>
          <w:snapToGrid/>
          <w:color w:val="auto"/>
          <w:spacing w:val="0"/>
          <w:w w:val="100"/>
          <w:kern w:val="2"/>
          <w:position w:val="0"/>
          <w:sz w:val="28"/>
          <w:szCs w:val="28"/>
          <w:lang w:val="en-US" w:eastAsia="zh-CN" w:bidi="zh-CN"/>
        </w:rPr>
        <w:t>2.1.2.7 《新乡市电动汽车充电基础设施建设三年行动方案（2023—2025年）》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48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方案明确了总体要求、加快推进充电基础设施网络体系建设、加快构建充电基础设施配套支撑体系、保障措施等内容。目标是到2025年基本建成城市面状、公路线状、乡村点状布局的智能充电网络，到2030年建成高质量充电基础设施体系，通过加快各区域充电设施建设、构建配套支撑体系等举措，满足新能源汽车充电需求，助力“双碳”目标实现。</w:t>
      </w:r>
    </w:p>
    <w:p>
      <w:pPr>
        <w:keepNext w:val="false"/>
        <w:keepLines w:val="false"/>
        <w:pageBreakBefore w:val="false"/>
        <w:widowControl w:val="false"/>
        <w:kinsoku/>
        <w:wordWrap/>
        <w:overflowPunct/>
        <w:topLinePunct/>
        <w:autoSpaceDE w:val="false"/>
        <w:autoSpaceDN/>
        <w:bidi w:val="false"/>
        <w:adjustRightInd/>
        <w:snapToGrid/>
        <w:spacing w:before="157" w:beforeLines="50" w:after="0" w:afterLines="50" w:line="48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2.1.3 行业和市场准入标准的符合性</w:t>
      </w:r>
    </w:p>
    <w:p>
      <w:pPr>
        <w:keepNext w:val="false"/>
        <w:keepLines w:val="false"/>
        <w:pageBreakBefore w:val="false"/>
        <w:widowControl w:val="false"/>
        <w:kinsoku/>
        <w:wordWrap/>
        <w:overflowPunct/>
        <w:topLinePunct/>
        <w:autoSpaceDE w:val="false"/>
        <w:autoSpaceDN/>
        <w:bidi w:val="false"/>
        <w:adjustRightInd/>
        <w:snapToGrid/>
        <w:spacing w:before="157" w:beforeLines="50" w:after="0" w:afterLines="50" w:line="48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2.1.3.1 行业准入标准的符合性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48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z w:val="28"/>
          <w:szCs w:val="28"/>
        </w:rPr>
        <w:t>该项目属于</w:t>
      </w:r>
      <w:r>
        <w:rPr>
          <w:rFonts w:hint="eastAsia" w:ascii="宋体" w:hAnsi="宋体" w:eastAsia="宋体" w:cs="宋体"/>
          <w:color w:val="auto"/>
          <w:sz w:val="28"/>
          <w:szCs w:val="28"/>
          <w:lang w:val="en-US" w:eastAsia="zh-CN"/>
        </w:rPr>
        <w:t>源网荷储一体化</w:t>
      </w:r>
      <w:r>
        <w:rPr>
          <w:rFonts w:hint="eastAsia" w:ascii="宋体" w:hAnsi="宋体" w:eastAsia="宋体" w:cs="宋体"/>
          <w:color w:val="auto"/>
          <w:sz w:val="28"/>
          <w:szCs w:val="28"/>
        </w:rPr>
        <w:t>基础建设项目。项目所涉及的行业不存在行业许可，根据河南省发展和改革委员会关于印发《河南省新能源项目库管理暂行办法》“6兆瓦以下的分布式光伏发电项目(含户用光伏项目)不纳入项目库管理范围，各地根据当地整体开发方案和电网消纳条件推进实施，由电网企业(含增量配网，下同)优先保障并网消纳”。本项目属于完全竞争的行业，可以根据需要自由拓展和开发</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val="false"/>
        <w:kinsoku/>
        <w:wordWrap/>
        <w:overflowPunct/>
        <w:topLinePunct/>
        <w:autoSpaceDE w:val="false"/>
        <w:autoSpaceDN/>
        <w:bidi w:val="false"/>
        <w:adjustRightInd/>
        <w:snapToGrid/>
        <w:spacing w:before="157" w:beforeLines="50" w:after="0" w:afterLines="50" w:line="48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2.1.3.2 市场准入标准的符合性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48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z w:val="28"/>
          <w:szCs w:val="28"/>
          <w:lang w:val="en-US" w:eastAsia="zh-CN"/>
        </w:rPr>
        <w:t>本</w:t>
      </w:r>
      <w:r>
        <w:rPr>
          <w:rFonts w:hint="eastAsia" w:ascii="宋体" w:hAnsi="宋体" w:eastAsia="宋体" w:cs="宋体"/>
          <w:color w:val="auto"/>
          <w:sz w:val="28"/>
          <w:szCs w:val="28"/>
        </w:rPr>
        <w:t>项目</w:t>
      </w:r>
      <w:r>
        <w:rPr>
          <w:rFonts w:hint="eastAsia" w:ascii="宋体" w:hAnsi="宋体" w:eastAsia="宋体" w:cs="宋体"/>
          <w:color w:val="auto"/>
          <w:sz w:val="28"/>
          <w:szCs w:val="28"/>
          <w:lang w:val="en-US" w:eastAsia="zh-CN"/>
        </w:rPr>
        <w:t>为源网荷储一体化</w:t>
      </w:r>
      <w:r>
        <w:rPr>
          <w:rFonts w:hint="eastAsia" w:ascii="宋体" w:hAnsi="宋体" w:eastAsia="宋体" w:cs="宋体"/>
          <w:color w:val="auto"/>
          <w:sz w:val="28"/>
          <w:szCs w:val="28"/>
        </w:rPr>
        <w:t>基础设施建设。我国光伏发电及储能技术比较成熟，光伏及储能设备成本不高无需巨额资本介入、产业链资源对接等复杂的条件，不存在市场</w:t>
      </w:r>
      <w:r>
        <w:rPr>
          <w:rFonts w:hint="eastAsia" w:ascii="宋体" w:hAnsi="宋体" w:eastAsia="宋体" w:cs="宋体"/>
          <w:b w:val="false"/>
          <w:bCs w:val="false"/>
          <w:color w:val="auto"/>
          <w:sz w:val="28"/>
          <w:szCs w:val="28"/>
        </w:rPr>
        <w:t>准入条件。本项目产出电量</w:t>
      </w:r>
      <w:r>
        <w:rPr>
          <w:rFonts w:hint="eastAsia" w:ascii="宋体" w:hAnsi="宋体" w:eastAsia="宋体" w:cs="宋体"/>
          <w:b w:val="false"/>
          <w:bCs w:val="false"/>
          <w:color w:val="auto"/>
          <w:sz w:val="28"/>
          <w:szCs w:val="28"/>
          <w:lang w:val="en-US" w:eastAsia="zh-CN"/>
        </w:rPr>
        <w:t>优先出售给项目园区内部企业使用，剩余电量将根据</w:t>
      </w:r>
      <w:r>
        <w:rPr>
          <w:rFonts w:hint="eastAsia" w:ascii="宋体" w:hAnsi="宋体" w:eastAsia="宋体" w:cs="宋体"/>
          <w:b w:val="false"/>
          <w:bCs w:val="false"/>
          <w:sz w:val="28"/>
          <w:szCs w:val="28"/>
        </w:rPr>
        <w:t>《河南省工业企业源网荷储一体化项目实施细则（暂行）》</w:t>
      </w:r>
      <w:r>
        <w:rPr>
          <w:rFonts w:hint="eastAsia" w:ascii="宋体" w:hAnsi="宋体" w:eastAsia="宋体" w:cs="宋体"/>
          <w:b w:val="false"/>
          <w:bCs w:val="false"/>
          <w:sz w:val="28"/>
          <w:szCs w:val="28"/>
          <w:lang w:val="en-US" w:eastAsia="zh-CN"/>
        </w:rPr>
        <w:t>文件要求，以项目建设地为核心点半径20公里内</w:t>
      </w:r>
      <w:r>
        <w:rPr>
          <w:rFonts w:hint="eastAsia" w:ascii="宋体" w:hAnsi="宋体" w:eastAsia="宋体" w:cs="宋体"/>
          <w:color w:val="auto"/>
          <w:sz w:val="28"/>
          <w:szCs w:val="28"/>
        </w:rPr>
        <w:t>就近销售给</w:t>
      </w:r>
      <w:r>
        <w:rPr>
          <w:rFonts w:hint="eastAsia" w:ascii="宋体" w:hAnsi="宋体" w:eastAsia="宋体" w:cs="宋体"/>
          <w:color w:val="auto"/>
          <w:sz w:val="28"/>
          <w:szCs w:val="28"/>
          <w:lang w:val="en-US" w:eastAsia="zh-CN"/>
        </w:rPr>
        <w:t>附近用电企业</w:t>
      </w:r>
      <w:r>
        <w:rPr>
          <w:rFonts w:hint="eastAsia" w:ascii="宋体" w:hAnsi="宋体" w:eastAsia="宋体" w:cs="宋体"/>
          <w:color w:val="auto"/>
          <w:sz w:val="28"/>
          <w:szCs w:val="28"/>
        </w:rPr>
        <w:t>，电力消纳不是问题，</w:t>
      </w:r>
      <w:r>
        <w:rPr>
          <w:rFonts w:hint="eastAsia" w:ascii="宋体" w:hAnsi="宋体" w:eastAsia="宋体" w:cs="宋体"/>
          <w:color w:val="auto"/>
          <w:sz w:val="28"/>
          <w:szCs w:val="28"/>
          <w:lang w:val="en-US" w:eastAsia="zh-CN"/>
        </w:rPr>
        <w:t>完全能做到自我消纳，</w:t>
      </w:r>
      <w:r>
        <w:rPr>
          <w:rFonts w:hint="eastAsia" w:ascii="宋体" w:hAnsi="宋体" w:eastAsia="宋体" w:cs="宋体"/>
          <w:color w:val="auto"/>
          <w:sz w:val="28"/>
          <w:szCs w:val="28"/>
        </w:rPr>
        <w:t>不存在市场准入问题</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val="false"/>
        <w:kinsoku/>
        <w:wordWrap/>
        <w:overflowPunct/>
        <w:topLinePunct/>
        <w:autoSpaceDE w:val="false"/>
        <w:autoSpaceDN/>
        <w:bidi w:val="false"/>
        <w:adjustRightInd/>
        <w:snapToGrid/>
        <w:spacing w:before="157" w:beforeLines="50" w:after="0" w:afterLines="50" w:line="48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2.1.4 前期工作进展情况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480" w:lineRule="auto"/>
        <w:ind w:left="0" w:firstLine="560" w:firstLineChars="200"/>
        <w:jc w:val="both"/>
        <w:textAlignment w:val="baseline"/>
        <w:outlineLvl w:val="9"/>
        <w:rPr>
          <w:rFonts w:hint="eastAsia" w:ascii="宋体" w:hAnsi="宋体" w:eastAsia="宋体" w:cs="宋体"/>
          <w:b w:val="false"/>
          <w:bCs w:val="false"/>
          <w:color w:val="auto"/>
          <w:sz w:val="28"/>
          <w:szCs w:val="28"/>
          <w:lang w:val="en-US" w:eastAsia="zh-CN"/>
        </w:rPr>
      </w:pPr>
      <w:r>
        <w:rPr>
          <w:rFonts w:hint="eastAsia" w:ascii="宋体" w:hAnsi="宋体" w:eastAsia="宋体" w:cs="宋体"/>
          <w:b w:val="false"/>
          <w:bCs w:val="false"/>
          <w:color w:val="auto"/>
          <w:sz w:val="28"/>
          <w:szCs w:val="28"/>
          <w:lang w:val="en-US" w:eastAsia="zh-CN"/>
        </w:rPr>
        <w:t>本项目建设光伏电站所使用的屋顶为获嘉县产业集聚孵化园有限公司名下工业厂房及配套用房9栋，面积31530.09平方米，所有房产均已竣工验收，正在办理不动产权利登记证书。产业园厂房空间道路上方空地等空间较大，可直接按照柔性光伏，可利用面积5677.13㎡。</w:t>
      </w:r>
    </w:p>
    <w:p>
      <w:pPr>
        <w:keepNext w:val="false"/>
        <w:keepLines w:val="false"/>
        <w:pageBreakBefore w:val="false"/>
        <w:widowControl w:val="false"/>
        <w:kinsoku/>
        <w:wordWrap/>
        <w:overflowPunct/>
        <w:topLinePunct/>
        <w:autoSpaceDE w:val="false"/>
        <w:autoSpaceDN/>
        <w:bidi w:val="false"/>
        <w:snapToGrid/>
        <w:spacing w:before="157" w:beforeLines="50" w:after="157" w:line="480" w:lineRule="auto"/>
        <w:ind w:left="0" w:right="0" w:firstLine="420"/>
        <w:jc w:val="both"/>
        <w:textAlignment w:val="baseline"/>
        <w:rPr>
          <w:rFonts w:ascii="宋体" w:hAnsi="宋体" w:eastAsia="宋体" w:cs="宋体"/>
          <w:i w:val="false"/>
          <w:strike w:val="false"/>
          <w:color w:val="000000"/>
          <w:spacing w:val="0"/>
          <w:sz w:val="28"/>
          <w:u w:val="none"/>
        </w:rPr>
      </w:pPr>
      <w:r>
        <w:rPr>
          <w:rFonts w:ascii="宋体" w:hAnsi="宋体" w:eastAsia="宋体" w:cs="宋体"/>
          <w:i w:val="false"/>
          <w:strike w:val="false"/>
          <w:color w:val="000000"/>
          <w:spacing w:val="0"/>
          <w:sz w:val="28"/>
          <w:u w:val="none"/>
        </w:rPr>
        <w:t>河南中原智慧冷链物流园管理运营有限公司已与获嘉县产业集聚区创业孵化园有限公司同为获嘉县产业集聚区运营发展服务有限公司的全资子公司，双方已签订屋顶租赁使用协议。</w:t>
      </w:r>
    </w:p>
    <w:p>
      <w:pPr>
        <w:keepNext w:val="false"/>
        <w:keepLines w:val="false"/>
        <w:pageBreakBefore w:val="false"/>
        <w:widowControl w:val="false"/>
        <w:kinsoku/>
        <w:wordWrap/>
        <w:overflowPunct/>
        <w:topLinePunct/>
        <w:autoSpaceDE w:val="false"/>
        <w:autoSpaceDN/>
        <w:bidi w:val="false"/>
        <w:snapToGrid/>
        <w:spacing w:before="157" w:beforeLines="50" w:after="157" w:line="480" w:lineRule="auto"/>
        <w:ind w:left="0" w:right="0" w:firstLine="0"/>
        <w:jc w:val="center"/>
        <w:textAlignment w:val="baseline"/>
        <w:rPr>
          <w:rFonts w:ascii="宋体" w:hAnsi="宋体" w:eastAsia="宋体" w:cs="宋体"/>
          <w:b/>
          <w:bCs/>
          <w:sz w:val="28"/>
        </w:rPr>
      </w:pPr>
      <w:r>
        <w:rPr>
          <w:rFonts w:ascii="宋体" w:hAnsi="宋体" w:eastAsia="宋体" w:cs="宋体"/>
          <w:b/>
          <w:bCs/>
          <w:sz w:val="28"/>
        </w:rPr>
        <w:t>屋顶及闲置区域使用详情表</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815"/>
        <w:gridCol w:w="2850"/>
        <w:gridCol w:w="2820"/>
      </w:tblGrid>
      <w:tr>
        <w:trPr>
          <w:trHeight w:val="533" w:hRule="atLeast"/>
          <w:tblHeader/>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rFonts w:hint="eastAsia" w:ascii="宋体" w:hAnsi="宋体" w:eastAsia="宋体" w:cs="宋体"/>
                <w:b/>
                <w:bCs/>
                <w:sz w:val="21"/>
                <w:szCs w:val="21"/>
              </w:rPr>
            </w:pPr>
            <w:r>
              <w:rPr>
                <w:rFonts w:hint="eastAsia" w:ascii="宋体" w:hAnsi="宋体" w:eastAsia="宋体" w:cs="宋体"/>
                <w:b/>
                <w:bCs/>
                <w:i w:val="false"/>
                <w:strike w:val="false"/>
                <w:color w:val="000000"/>
                <w:spacing w:val="0"/>
                <w:sz w:val="21"/>
                <w:szCs w:val="21"/>
                <w:u w:val="none"/>
              </w:rPr>
              <w:t>序号</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rFonts w:hint="eastAsia" w:ascii="宋体" w:hAnsi="宋体" w:eastAsia="宋体" w:cs="宋体"/>
                <w:b/>
                <w:bCs/>
                <w:sz w:val="21"/>
                <w:szCs w:val="21"/>
              </w:rPr>
            </w:pPr>
            <w:r>
              <w:rPr>
                <w:rFonts w:hint="eastAsia" w:ascii="宋体" w:hAnsi="宋体" w:eastAsia="宋体" w:cs="宋体"/>
                <w:b/>
                <w:bCs/>
                <w:i w:val="false"/>
                <w:strike w:val="false"/>
                <w:color w:val="000000"/>
                <w:spacing w:val="0"/>
                <w:sz w:val="21"/>
                <w:szCs w:val="21"/>
                <w:u w:val="none"/>
              </w:rPr>
              <w:t>名称</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rFonts w:hint="eastAsia" w:ascii="宋体" w:hAnsi="宋体" w:eastAsia="宋体" w:cs="宋体"/>
                <w:b/>
                <w:bCs/>
                <w:sz w:val="21"/>
                <w:szCs w:val="21"/>
              </w:rPr>
            </w:pPr>
            <w:r>
              <w:rPr>
                <w:rFonts w:hint="eastAsia" w:ascii="宋体" w:hAnsi="宋体" w:eastAsia="宋体" w:cs="宋体"/>
                <w:b/>
                <w:bCs/>
                <w:i w:val="false"/>
                <w:strike w:val="false"/>
                <w:color w:val="000000"/>
                <w:spacing w:val="0"/>
                <w:sz w:val="21"/>
                <w:szCs w:val="21"/>
                <w:u w:val="none"/>
              </w:rPr>
              <w:t>基底面积(m²)</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rFonts w:hint="eastAsia" w:ascii="宋体" w:hAnsi="宋体" w:eastAsia="宋体" w:cs="宋体"/>
                <w:b/>
                <w:bCs/>
                <w:sz w:val="21"/>
                <w:szCs w:val="21"/>
              </w:rPr>
            </w:pPr>
            <w:r>
              <w:rPr>
                <w:rFonts w:hint="eastAsia" w:ascii="宋体" w:hAnsi="宋体" w:eastAsia="宋体" w:cs="宋体"/>
                <w:b/>
                <w:bCs/>
                <w:i w:val="false"/>
                <w:strike w:val="false"/>
                <w:color w:val="000000"/>
                <w:spacing w:val="0"/>
                <w:sz w:val="21"/>
                <w:szCs w:val="21"/>
                <w:u w:val="none"/>
              </w:rPr>
              <w:t>总建筑面积(²)</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rPr>
              <w:t>1</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vertAlign w:val="baseline"/>
              </w:rPr>
              <w:t>1#厂房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vertAlign w:val="baseline"/>
              </w:rPr>
              <w:t>2616.38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vertAlign w:val="baseline"/>
              </w:rPr>
              <w:t>5232.76</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rPr>
              <w:t>2</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vertAlign w:val="baseline"/>
              </w:rPr>
              <w:t>2#厂房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vertAlign w:val="baseline"/>
              </w:rPr>
              <w:t>3879.37</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vertAlign w:val="baseline"/>
              </w:rPr>
              <w:t>7758.74</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rPr>
              <w:t>3</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vertAlign w:val="baseline"/>
              </w:rPr>
              <w:t>5#厂房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vertAlign w:val="baseline"/>
              </w:rPr>
              <w:t>2890.38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vertAlign w:val="baseline"/>
              </w:rPr>
              <w:t>5780.76</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rPr>
              <w:t>4</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vertAlign w:val="baseline"/>
              </w:rPr>
              <w:t>6#厂房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vertAlign w:val="baseline"/>
              </w:rPr>
              <w:t>3399.42</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vertAlign w:val="baseline"/>
              </w:rPr>
              <w:t>6798.84</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rPr>
              <w:t>5</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vertAlign w:val="baseline"/>
              </w:rPr>
              <w:t>8#厂房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vertAlign w:val="baseline"/>
              </w:rPr>
              <w:t>2890.38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vertAlign w:val="baseline"/>
              </w:rPr>
              <w:t>5780.76</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rPr>
              <w:t>6</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vertAlign w:val="baseline"/>
              </w:rPr>
              <w:t>9#厂房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vertAlign w:val="baseline"/>
              </w:rPr>
              <w:t>2890.38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vertAlign w:val="baseline"/>
              </w:rPr>
              <w:t>5780.76</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rPr>
              <w:t>7</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vertAlign w:val="baseline"/>
              </w:rPr>
              <w:t>10#厂房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vertAlign w:val="baseline"/>
              </w:rPr>
              <w:t>4321.26</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vertAlign w:val="baseline"/>
              </w:rPr>
              <w:t>4321.26</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rPr>
              <w:t>8</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vertAlign w:val="baseline"/>
              </w:rPr>
              <w:t>11#厂房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vertAlign w:val="baseline"/>
              </w:rPr>
              <w:t>4321.26</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vertAlign w:val="baseline"/>
              </w:rPr>
              <w:t>4321.26</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rPr>
              <w:t>9</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vertAlign w:val="baseline"/>
              </w:rPr>
              <w:t>12#厂房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vertAlign w:val="baseline"/>
              </w:rPr>
              <w:t>4321.26</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vertAlign w:val="baseline"/>
              </w:rPr>
              <w:t>4321.26</w:t>
            </w:r>
          </w:p>
        </w:tc>
      </w:tr>
      <w:tr>
        <w:trPr>
          <w:trHeight w:val="420" w:hRule="atLeast"/>
        </w:trPr>
        <w:tc>
          <w:tcPr>
            <w:tcW w:w="2790" w:type="dxa"/>
            <w:gridSpan w:val="2"/>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rPr>
              <w:t>合计</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vertAlign w:val="baseline"/>
              </w:rPr>
              <w:t>31530.09</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vertAlign w:val="baseline"/>
              </w:rPr>
              <w:t>50096.4</w:t>
            </w:r>
          </w:p>
        </w:tc>
      </w:tr>
      <w:tr>
        <w:trPr>
          <w:trHeight w:val="420" w:hRule="atLeast"/>
        </w:trPr>
        <w:tc>
          <w:tcPr>
            <w:tcW w:w="2790" w:type="dxa"/>
            <w:gridSpan w:val="2"/>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rPr>
              <w:t>可使用空闲区域占用面积</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vertAlign w:val="baseline"/>
              </w:rPr>
              <w:t>12267.68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rFonts w:hint="eastAsia" w:ascii="宋体" w:hAnsi="宋体" w:eastAsia="宋体" w:cs="宋体"/>
                <w:sz w:val="21"/>
                <w:szCs w:val="21"/>
              </w:rPr>
            </w:pPr>
          </w:p>
        </w:tc>
      </w:tr>
      <w:tr>
        <w:trPr>
          <w:trHeight w:val="420" w:hRule="atLeast"/>
        </w:trPr>
        <w:tc>
          <w:tcPr>
            <w:tcW w:w="2790" w:type="dxa"/>
            <w:gridSpan w:val="2"/>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rPr>
              <w:t>共合计</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rFonts w:hint="eastAsia" w:ascii="宋体" w:hAnsi="宋体" w:eastAsia="宋体" w:cs="宋体"/>
                <w:sz w:val="21"/>
                <w:szCs w:val="21"/>
              </w:rPr>
            </w:pPr>
            <w:r>
              <w:rPr>
                <w:rFonts w:hint="eastAsia" w:ascii="宋体" w:hAnsi="宋体" w:eastAsia="宋体" w:cs="宋体"/>
                <w:i w:val="false"/>
                <w:strike w:val="false"/>
                <w:color w:val="000000"/>
                <w:spacing w:val="0"/>
                <w:sz w:val="21"/>
                <w:szCs w:val="21"/>
                <w:u w:val="none"/>
                <w:vertAlign w:val="baseline"/>
              </w:rPr>
              <w:t>42807.95</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rFonts w:hint="eastAsia" w:ascii="宋体" w:hAnsi="宋体" w:eastAsia="宋体" w:cs="宋体"/>
                <w:sz w:val="21"/>
                <w:szCs w:val="21"/>
              </w:rPr>
            </w:pP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outlineLvl w:val="1"/>
        <w:rPr>
          <w:rFonts w:hint="eastAsia" w:ascii="宋体" w:hAnsi="宋体" w:eastAsia="宋体" w:cs="宋体"/>
          <w:b/>
          <w:bCs/>
          <w:sz w:val="28"/>
          <w:szCs w:val="28"/>
          <w:lang w:val="en-US" w:eastAsia="zh-CN"/>
        </w:rPr>
      </w:pPr>
      <w:bookmarkStart w:id="33" w:name="_Toc14012"/>
      <w:r>
        <w:rPr>
          <w:rFonts w:hint="eastAsia" w:ascii="宋体" w:hAnsi="宋体" w:eastAsia="宋体" w:cs="宋体"/>
          <w:b/>
          <w:bCs/>
          <w:sz w:val="28"/>
          <w:szCs w:val="28"/>
          <w:lang w:val="en-US" w:eastAsia="zh-CN"/>
        </w:rPr>
        <w:t>2.2 项目主体发展战略需求分析</w:t>
      </w:r>
      <w:bookmarkEnd w:id="33"/>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 xml:space="preserve">2.2.1 </w:t>
      </w:r>
      <w:r>
        <w:rPr>
          <w:rFonts w:hint="eastAsia" w:ascii="宋体" w:hAnsi="宋体" w:eastAsia="宋体" w:cs="宋体"/>
          <w:b/>
          <w:bCs/>
          <w:sz w:val="28"/>
          <w:szCs w:val="28"/>
          <w:lang w:val="en-US" w:eastAsia="zh-CN"/>
        </w:rPr>
        <w:t>获嘉县</w:t>
      </w:r>
      <w:r>
        <w:rPr>
          <w:rFonts w:hint="eastAsia" w:ascii="宋体" w:hAnsi="宋体" w:eastAsia="宋体" w:cs="宋体"/>
          <w:b/>
          <w:bCs/>
          <w:sz w:val="28"/>
          <w:szCs w:val="28"/>
        </w:rPr>
        <w:t>发展对项目需要分析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2"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b/>
          <w:bCs/>
          <w:color w:val="auto"/>
          <w:sz w:val="28"/>
          <w:szCs w:val="28"/>
        </w:rPr>
        <w:t>1、</w:t>
      </w:r>
      <w:r>
        <w:rPr>
          <w:rFonts w:hint="eastAsia" w:ascii="宋体" w:hAnsi="宋体" w:eastAsia="宋体" w:cs="宋体"/>
          <w:b/>
          <w:bCs/>
          <w:color w:val="auto"/>
          <w:sz w:val="28"/>
          <w:szCs w:val="28"/>
          <w:lang w:val="en-US" w:eastAsia="zh-CN"/>
        </w:rPr>
        <w:t>获嘉县</w:t>
      </w:r>
      <w:r>
        <w:rPr>
          <w:rFonts w:hint="eastAsia" w:ascii="宋体" w:hAnsi="宋体" w:eastAsia="宋体" w:cs="宋体"/>
          <w:b/>
          <w:bCs/>
          <w:color w:val="auto"/>
          <w:sz w:val="28"/>
          <w:szCs w:val="28"/>
        </w:rPr>
        <w:t>政府需要为中小企业打造降本增效的营商环境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2023年获嘉县的地区生产总值（GDP）为200.2亿元，同比增长2.3%‌‌。第一产业增加值377953万元，增长0.4%；第二产业增加值749021万元，增长3.1%；第三产业增加值875048万元，增长2.3%。三次产业结构为18.9∶37.4∶43.7‌。社会消费品零售总额完成76.9亿元，增长4.6%；规模以上工业增加值增长7%；一般公共预算收入完成9.61亿元，同比增长11.1%。</w:t>
      </w:r>
      <w:r>
        <w:rPr>
          <w:rFonts w:hint="eastAsia" w:ascii="宋体" w:hAnsi="宋体" w:eastAsia="宋体" w:cs="宋体"/>
          <w:color w:val="auto"/>
          <w:sz w:val="28"/>
          <w:szCs w:val="28"/>
        </w:rPr>
        <w:t>全</w:t>
      </w:r>
      <w:r>
        <w:rPr>
          <w:rFonts w:hint="eastAsia" w:ascii="宋体" w:hAnsi="宋体" w:eastAsia="宋体" w:cs="宋体"/>
          <w:color w:val="auto"/>
          <w:sz w:val="28"/>
          <w:szCs w:val="28"/>
          <w:lang w:val="en-US" w:eastAsia="zh-CN"/>
        </w:rPr>
        <w:t>县</w:t>
      </w:r>
      <w:r>
        <w:rPr>
          <w:rFonts w:hint="eastAsia" w:ascii="宋体" w:hAnsi="宋体" w:eastAsia="宋体" w:cs="宋体"/>
          <w:color w:val="auto"/>
          <w:sz w:val="28"/>
          <w:szCs w:val="28"/>
        </w:rPr>
        <w:t>经济呈现平稳运行、稳中有进的良好态势。作为一个工业企业聚集区，</w:t>
      </w:r>
      <w:r>
        <w:rPr>
          <w:rFonts w:hint="eastAsia" w:ascii="宋体" w:hAnsi="宋体" w:eastAsia="宋体" w:cs="宋体"/>
          <w:color w:val="auto"/>
          <w:sz w:val="28"/>
          <w:szCs w:val="28"/>
          <w:lang w:val="en-US" w:eastAsia="zh-CN"/>
        </w:rPr>
        <w:t>获嘉县</w:t>
      </w:r>
      <w:r>
        <w:rPr>
          <w:rFonts w:hint="eastAsia" w:ascii="宋体" w:hAnsi="宋体" w:eastAsia="宋体" w:cs="宋体"/>
          <w:color w:val="auto"/>
          <w:sz w:val="28"/>
          <w:szCs w:val="28"/>
        </w:rPr>
        <w:t>拥有众多蓬勃发展的工业企业，拥有众多政府优惠政策支持。</w:t>
      </w:r>
      <w:r>
        <w:rPr>
          <w:rFonts w:hint="eastAsia" w:ascii="宋体" w:hAnsi="宋体" w:eastAsia="宋体" w:cs="宋体"/>
          <w:color w:val="auto"/>
          <w:sz w:val="28"/>
          <w:szCs w:val="28"/>
          <w:lang w:val="en-US" w:eastAsia="zh-CN"/>
        </w:rPr>
        <w:t>获嘉县</w:t>
      </w:r>
      <w:r>
        <w:rPr>
          <w:rFonts w:hint="eastAsia" w:ascii="宋体" w:hAnsi="宋体" w:eastAsia="宋体" w:cs="宋体"/>
          <w:color w:val="auto"/>
          <w:sz w:val="28"/>
          <w:szCs w:val="28"/>
        </w:rPr>
        <w:t>以其庞大的工业群体而闻名，涵盖制造业、加工业、</w:t>
      </w:r>
      <w:r>
        <w:rPr>
          <w:rFonts w:hint="eastAsia" w:ascii="宋体" w:hAnsi="宋体" w:eastAsia="宋体" w:cs="宋体"/>
          <w:color w:val="auto"/>
          <w:sz w:val="28"/>
          <w:szCs w:val="28"/>
          <w:lang w:val="en-US" w:eastAsia="zh-CN"/>
        </w:rPr>
        <w:t>化工业、</w:t>
      </w:r>
      <w:r>
        <w:rPr>
          <w:rFonts w:hint="eastAsia" w:ascii="宋体" w:hAnsi="宋体" w:eastAsia="宋体" w:cs="宋体"/>
          <w:color w:val="auto"/>
          <w:sz w:val="28"/>
          <w:szCs w:val="28"/>
        </w:rPr>
        <w:t>绿色能源业等多个行业领域。此外，</w:t>
      </w:r>
      <w:r>
        <w:rPr>
          <w:rFonts w:hint="eastAsia" w:ascii="宋体" w:hAnsi="宋体" w:eastAsia="宋体" w:cs="宋体"/>
          <w:color w:val="auto"/>
          <w:sz w:val="28"/>
          <w:szCs w:val="28"/>
          <w:lang w:val="en-US" w:eastAsia="zh-CN"/>
        </w:rPr>
        <w:t>获嘉县</w:t>
      </w:r>
      <w:r>
        <w:rPr>
          <w:rFonts w:hint="eastAsia" w:ascii="宋体" w:hAnsi="宋体" w:eastAsia="宋体" w:cs="宋体"/>
          <w:color w:val="auto"/>
          <w:sz w:val="28"/>
          <w:szCs w:val="28"/>
        </w:rPr>
        <w:t>的工业企业对电力的需求也极其巨大，电力作为生产和运营的重要能源，对企业的日常运作至关重要。</w:t>
      </w:r>
      <w:r>
        <w:rPr>
          <w:rFonts w:hint="eastAsia" w:ascii="宋体" w:hAnsi="宋体" w:eastAsia="宋体" w:cs="宋体"/>
          <w:color w:val="auto"/>
          <w:sz w:val="28"/>
          <w:szCs w:val="28"/>
          <w:lang w:val="en-US" w:eastAsia="zh-CN"/>
        </w:rPr>
        <w:t>源网荷储一体化</w:t>
      </w:r>
      <w:r>
        <w:rPr>
          <w:rFonts w:hint="eastAsia" w:ascii="宋体" w:hAnsi="宋体" w:eastAsia="宋体" w:cs="宋体"/>
          <w:color w:val="auto"/>
          <w:sz w:val="28"/>
          <w:szCs w:val="28"/>
        </w:rPr>
        <w:t>的建设能满足</w:t>
      </w:r>
      <w:r>
        <w:rPr>
          <w:rFonts w:hint="eastAsia" w:ascii="宋体" w:hAnsi="宋体" w:eastAsia="宋体" w:cs="宋体"/>
          <w:color w:val="auto"/>
          <w:sz w:val="28"/>
          <w:szCs w:val="28"/>
          <w:lang w:val="en-US" w:eastAsia="zh-CN"/>
        </w:rPr>
        <w:t>园区内部</w:t>
      </w:r>
      <w:r>
        <w:rPr>
          <w:rFonts w:hint="eastAsia" w:ascii="宋体" w:hAnsi="宋体" w:eastAsia="宋体" w:cs="宋体"/>
          <w:color w:val="auto"/>
          <w:sz w:val="28"/>
          <w:szCs w:val="28"/>
        </w:rPr>
        <w:t>企业</w:t>
      </w:r>
      <w:r>
        <w:rPr>
          <w:rFonts w:hint="eastAsia" w:ascii="宋体" w:hAnsi="宋体" w:eastAsia="宋体" w:cs="宋体"/>
          <w:color w:val="auto"/>
          <w:sz w:val="28"/>
          <w:szCs w:val="28"/>
          <w:lang w:val="en-US" w:eastAsia="zh-CN"/>
        </w:rPr>
        <w:t>及周边企业</w:t>
      </w:r>
      <w:r>
        <w:rPr>
          <w:rFonts w:hint="eastAsia" w:ascii="宋体" w:hAnsi="宋体" w:eastAsia="宋体" w:cs="宋体"/>
          <w:color w:val="auto"/>
          <w:sz w:val="28"/>
          <w:szCs w:val="28"/>
        </w:rPr>
        <w:t>日常经营用电需求，提供稳定、廉价的用电服务，同时为企业降本增效提供了坚实的保障基础。</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firstLine="550"/>
        <w:textAlignment w:val="baseline"/>
        <w:rPr>
          <w:rFonts w:hint="eastAsia" w:ascii="宋体" w:hAnsi="宋体" w:eastAsia="宋体" w:cs="宋体"/>
          <w:b/>
          <w:bCs/>
          <w:color w:val="auto"/>
          <w:sz w:val="28"/>
          <w:szCs w:val="28"/>
        </w:rPr>
      </w:pPr>
      <w:r>
        <w:rPr>
          <w:rFonts w:hint="eastAsia" w:ascii="宋体" w:hAnsi="宋体" w:eastAsia="宋体" w:cs="宋体"/>
          <w:b/>
          <w:bCs/>
          <w:color w:val="auto"/>
          <w:sz w:val="28"/>
          <w:szCs w:val="28"/>
        </w:rPr>
        <w:t>2、河南中原智慧冷链物流园管理运营有限公司需要筹划优质项目丰富经营项目结构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z w:val="28"/>
          <w:szCs w:val="28"/>
          <w:lang w:val="en-US" w:eastAsia="zh-CN"/>
        </w:rPr>
        <w:t>河南中原智慧冷链物流园管理运营有限公司作为</w:t>
      </w:r>
      <w:r>
        <w:rPr>
          <w:rFonts w:hint="eastAsia" w:ascii="宋体" w:hAnsi="宋体" w:eastAsia="宋体" w:cs="宋体"/>
          <w:color w:val="auto"/>
          <w:sz w:val="28"/>
          <w:szCs w:val="28"/>
        </w:rPr>
        <w:t>本项目的项目公司，其目前主要经</w:t>
      </w:r>
      <w:r>
        <w:rPr>
          <w:rFonts w:hint="eastAsia" w:ascii="宋体" w:hAnsi="宋体" w:eastAsia="宋体" w:cs="宋体"/>
          <w:color w:val="auto"/>
          <w:sz w:val="28"/>
          <w:szCs w:val="28"/>
          <w:lang w:val="en-US" w:eastAsia="zh-CN"/>
        </w:rPr>
        <w:t>营园区管理、仓储冷链服务</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普通仓储</w:t>
      </w:r>
      <w:r>
        <w:rPr>
          <w:rFonts w:hint="eastAsia" w:ascii="宋体" w:hAnsi="宋体" w:eastAsia="宋体" w:cs="宋体"/>
          <w:color w:val="auto"/>
          <w:sz w:val="28"/>
          <w:szCs w:val="28"/>
        </w:rPr>
        <w:t>及</w:t>
      </w:r>
      <w:r>
        <w:rPr>
          <w:rFonts w:hint="eastAsia" w:ascii="宋体" w:hAnsi="宋体" w:eastAsia="宋体" w:cs="宋体"/>
          <w:color w:val="auto"/>
          <w:sz w:val="28"/>
          <w:szCs w:val="28"/>
          <w:lang w:val="en-US" w:eastAsia="zh-CN"/>
        </w:rPr>
        <w:t>农产品加工销售</w:t>
      </w:r>
      <w:r>
        <w:rPr>
          <w:rFonts w:hint="eastAsia" w:ascii="宋体" w:hAnsi="宋体" w:eastAsia="宋体" w:cs="宋体"/>
          <w:color w:val="auto"/>
          <w:sz w:val="28"/>
          <w:szCs w:val="28"/>
        </w:rPr>
        <w:t>等活动。经营项目较为传统单一。拟建项目将为河南中原智慧冷链物流园管理运营有限公司丰富经营项目结构提供一个适宜的目标，并在项目运作过程中积累经验和资金，促进经营性转型。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b/>
          <w:bCs w:val="false"/>
          <w:i w:val="false"/>
          <w:iCs w:val="false"/>
          <w:caps w:val="false"/>
          <w:smallCaps w:val="false"/>
          <w:strike w:val="false"/>
          <w:dstrike w:val="false"/>
          <w:vanish w:val="false"/>
          <w:color w:val="auto"/>
          <w:spacing w:val="0"/>
          <w:kern w:val="0"/>
          <w:position w:val="0"/>
          <w:sz w:val="28"/>
          <w:szCs w:val="28"/>
          <w:u w:val="none"/>
          <w:vertAlign w:val="baseline"/>
          <w:lang w:val="en-US" w:eastAsia="zh-CN" w:bidi="ar-SA"/>
        </w:rPr>
        <w:t>2.2.2 拟建项目对促进获嘉县发展战略落地的紧迫性和重要性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z w:val="28"/>
          <w:szCs w:val="28"/>
        </w:rPr>
        <w:t>目前，在</w:t>
      </w:r>
      <w:r>
        <w:rPr>
          <w:rFonts w:hint="eastAsia" w:ascii="宋体" w:hAnsi="宋体" w:eastAsia="宋体" w:cs="宋体"/>
          <w:color w:val="auto"/>
          <w:sz w:val="28"/>
          <w:szCs w:val="28"/>
          <w:lang w:val="en-US" w:eastAsia="zh-CN"/>
        </w:rPr>
        <w:t>经济趋势下行的</w:t>
      </w:r>
      <w:r>
        <w:rPr>
          <w:rFonts w:hint="eastAsia" w:ascii="宋体" w:hAnsi="宋体" w:eastAsia="宋体" w:cs="宋体"/>
          <w:color w:val="auto"/>
          <w:sz w:val="28"/>
          <w:szCs w:val="28"/>
        </w:rPr>
        <w:t>大环境下</w:t>
      </w:r>
      <w:r>
        <w:rPr>
          <w:rFonts w:hint="eastAsia" w:ascii="宋体" w:hAnsi="宋体" w:eastAsia="宋体" w:cs="宋体"/>
          <w:color w:val="auto"/>
          <w:sz w:val="28"/>
          <w:szCs w:val="28"/>
          <w:lang w:val="en-US" w:eastAsia="zh-CN"/>
        </w:rPr>
        <w:t>获嘉县</w:t>
      </w:r>
      <w:r>
        <w:rPr>
          <w:rFonts w:hint="eastAsia" w:ascii="宋体" w:hAnsi="宋体" w:eastAsia="宋体" w:cs="宋体"/>
          <w:color w:val="auto"/>
          <w:sz w:val="28"/>
          <w:szCs w:val="28"/>
        </w:rPr>
        <w:t>企业经营普遍遇到困难，降本增效是经营中最急迫的工作。在这个市场出清时期，如果企业寻找出减低经营成本道路，有</w:t>
      </w:r>
      <w:r>
        <w:rPr>
          <w:rFonts w:hint="eastAsia" w:ascii="宋体" w:hAnsi="宋体" w:eastAsia="宋体" w:cs="宋体"/>
          <w:color w:val="auto"/>
          <w:sz w:val="28"/>
          <w:szCs w:val="28"/>
          <w:lang w:eastAsia="zh-CN"/>
        </w:rPr>
        <w:t>可能</w:t>
      </w:r>
      <w:r>
        <w:rPr>
          <w:rFonts w:hint="eastAsia" w:ascii="宋体" w:hAnsi="宋体" w:eastAsia="宋体" w:cs="宋体"/>
          <w:color w:val="auto"/>
          <w:sz w:val="28"/>
          <w:szCs w:val="28"/>
        </w:rPr>
        <w:t>面临被淘汰出局的风险。拟建项目利用</w:t>
      </w:r>
      <w:r>
        <w:rPr>
          <w:rFonts w:hint="eastAsia" w:ascii="宋体" w:hAnsi="宋体" w:eastAsia="宋体" w:cs="宋体"/>
          <w:color w:val="auto"/>
          <w:sz w:val="28"/>
          <w:szCs w:val="28"/>
          <w:lang w:val="en-US" w:eastAsia="zh-CN"/>
        </w:rPr>
        <w:t>源网荷储一体化的优势和政府支持条件</w:t>
      </w:r>
      <w:r>
        <w:rPr>
          <w:rFonts w:hint="eastAsia" w:ascii="宋体" w:hAnsi="宋体" w:eastAsia="宋体" w:cs="宋体"/>
          <w:color w:val="auto"/>
          <w:sz w:val="28"/>
          <w:szCs w:val="28"/>
        </w:rPr>
        <w:t>，极大程度上解决</w:t>
      </w:r>
      <w:r>
        <w:rPr>
          <w:rFonts w:hint="eastAsia" w:ascii="宋体" w:hAnsi="宋体" w:eastAsia="宋体" w:cs="宋体"/>
          <w:color w:val="auto"/>
          <w:sz w:val="28"/>
          <w:szCs w:val="28"/>
          <w:lang w:val="en-US" w:eastAsia="zh-CN"/>
        </w:rPr>
        <w:t>项目园区内及周边</w:t>
      </w:r>
      <w:r>
        <w:rPr>
          <w:rFonts w:hint="eastAsia" w:ascii="宋体" w:hAnsi="宋体" w:eastAsia="宋体" w:cs="宋体"/>
          <w:color w:val="auto"/>
          <w:sz w:val="28"/>
          <w:szCs w:val="28"/>
        </w:rPr>
        <w:t>中小企业用电贵、成本高的困境，更能提高能源供给的可靠性和稳定性，从能源方面降低企业生产成本，也能给企业转型升级争取时间和机会。</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outlineLvl w:val="1"/>
        <w:rPr>
          <w:rFonts w:hint="eastAsia" w:ascii="宋体" w:hAnsi="宋体" w:eastAsia="宋体" w:cs="宋体"/>
          <w:b/>
          <w:bCs/>
          <w:sz w:val="28"/>
          <w:szCs w:val="28"/>
          <w:lang w:val="en-US" w:eastAsia="zh-CN"/>
        </w:rPr>
      </w:pPr>
      <w:bookmarkStart w:id="34" w:name="_Toc5481"/>
      <w:bookmarkStart w:id="35" w:name="_Toc19993"/>
      <w:r>
        <w:rPr>
          <w:rFonts w:hint="eastAsia" w:ascii="宋体" w:hAnsi="宋体" w:eastAsia="宋体" w:cs="宋体"/>
          <w:b/>
          <w:bCs/>
          <w:sz w:val="28"/>
          <w:szCs w:val="28"/>
          <w:lang w:val="en-US" w:eastAsia="zh-CN"/>
        </w:rPr>
        <w:t>2.3 项目市场需求分析</w:t>
      </w:r>
      <w:bookmarkEnd w:id="34"/>
      <w:bookmarkEnd w:id="35"/>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2.3.1 项目的业态分析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本项目业态大致分为：源网荷储、光伏发电、储能调峰、分布式换电储能系统、光储充电桩。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1、源网荷储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源网荷储作为一种新型电力系统综合业态，正深刻影响着能源产业格局。从电源端来看，传统火电在能源结构调整下，逐步向灵活性改造方向发展，以更好地平衡新能源发电的间歇性与波动性；与此同时，风电、光伏等清洁能源装机规模持续增长，其发电成本不断降低，成为能源供应的重要力量。电网层面，随着分布式电源的广泛接入以及电力负荷的动态变化，电网的智能化升级迫在眉睫，需要加强输电网络的韧性与配电网的灵活性，以实现电力的高效传输与精准分配，例如采用先进的电力电子技术、智能监控系统等提升电网的运行效率与可靠性。负荷侧，工业、商业、居民等各类用户对于电能质量与可靠性的要求日益提高，通过需求响应机制、节能技术应用等手段，实现削峰填谷，优化电力资源配置，降低用电成本。储能则是整个业态的关键支撑，无论是电化学储能、抽水蓄能还是其他新型储能技术，都在发挥着“蓄水池”作用，存储多余电能，在用电高峰或发电不足时释放，平抑功率波动、增强系统稳定性，促进源网荷各环节的紧密协同，提升电力系统整体的安全性、经济性和灵活性，推动能源行业朝着绿色低碳、智能高效的方向迈进，催生了新的商业模式和市场机遇，如储能参与辅助服务市场、虚拟电厂的兴起等，为能源产业的可持续发展注入新活力。</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2、光伏发电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发电业态是一种利用太阳能转化为电能的可再生能源解决方案，通过光伏电池板将太阳光中的光子转化为电力，以满足日益增长的能源需求。该业态涵盖了从光伏组件的制造、系统的设计与安装，到电力的生产和销售等全过程，形成了一个完整的产业链。光伏发电系统主要包括光伏电池板、逆变器、支架、监控系统等设备，光伏电池板通过光电效应将太阳光转化为直流电，再通过逆变器将直流电转换为交流电，以便于并入电网或供给直接使用。光伏发电不仅能够有效减少对化石燃料的依赖，降低温室气体排放，还能通过其可再生特性提供稳定的电力供应，促进能源结构的优化。该业态的关键在于技术进步和成本控制，随着光伏技术的不断革新和规模效应的提升，光伏发电的成本逐年下降，使其在全球范围内得到广泛应用。此外，光伏发电系统具有较低的维护成本和长期的经济效益，适合于住宅、商业建筑以及大型光伏电站等多种应用场景。通过政策支持、市场推动和技术创新，光伏发电业态正在加速全球能源转型，为实现可持续发展目标和应对气候变化挑战做出重要贡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3、储能调峰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储能调峰业态是现代能源系统中的关键组成部分，通过先进的储能技术平衡电力供应与需求的波动，提高电网的稳定性和可靠性。该业态主要涉及使用各种储能设备，如锂电池、钠硫电池、抽水蓄能、压缩空气储能等，将电力存储在需求低峰期，并在需求高峰期释放，以补充电网供电不足的问题。这种调峰能力能够有效应对可再生能源（如风能和太阳能）的间歇性特征，使其能够在电力需求高峰期间平稳地供电，提高系统的整体运行效率。储能调峰不仅优化了电力系统的运行，减少了电力波动对电网的冲击，还延长了设备的使用寿命，降低了电力系统的整体运营成本。此外，通过智能化的调度和管理系统，储能调峰业态能够实现对电力生产和消费的精准预测和调节，使电网的负荷分布更加均衡，从而提高能源利用效率。储能技术的进步和成本的降低使得这一业态在未来能源转型中具有广阔的发展前景，为实现绿色低碳目标和构建高效、稳定的能源系统提供了有力支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4、分布式换电储能系统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分布式换电储能系统犹如一个智能储能“百宝箱”，为电动自行车用户带来高效便捷的能源补给新体验。它的核心作用在于实现电瓶的集中存储、智能管理与快速更换，极大节省用户充电时间。用户骑行电动自行车电量不足时，只需前往就近的换电柜，通过手机扫码操作，便能迅速取出满电电瓶完成更换，全程仅需数秒，有效解决传统充电耗时长的痛点。在优势方面，该系统采用分布式布局，能广泛覆盖社区、商圈、交通枢纽等区域，提高服务可达性；内置智能监测系统实时监控电瓶状态，确保用电安全，避免过充、短路等隐患；同时，通过峰谷电价机制对电瓶进行储能充电，优化电力资源利用，降低运营成本，还能减轻电网高峰负荷压力。其模式与铁塔换电相似，为城市电动自行车用户打造了高效、安全、灵活的能源服务体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5、光储充电桩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储充电桩作为光伏发电业态的创新应用，在能源领域发挥着重要作用。它融合了光伏发电与储能技术，以满足新能源汽车充电需求。其工作原理基于光伏发电系统，由光伏电池板借助光电效应，将太阳光中的光子转化为直流电，再经逆变器转换为交流电。光储充电桩涵盖了从光伏组件制造，到系统设计、安装，再到电力供应的完整产业链环节。光储充电桩配备了储能设备。在光照充足时，可将多余电能储存起来，确保在光照不足或用电高峰时，仍能稳定为新能源汽车充电，避免充电中断。其产生的电力不仅能直接用于车辆充电，还减少了对传统电网的依赖，降低了充电成本，契合绿色环保理念，有效降低碳排放。光储充电桩凭借技术进步与规模效应，成本逐渐降低，维护成本也较低。其安装灵活，适用于居民小区、商业广场、公共充电站等多种场景。</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2.3.2 目标市场环境和容量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1、源网荷储市场环境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近年来国家不断下发政策性文件支持开发建设源网荷储一体化项目，同时地方需求也在不断增加，获嘉县建设源网荷储一体化项目市场环境较为乐观。在政策方面，国家大力倡导绿色能源发展，推进源网荷储一体化建设，河南省也出台了一系列政策细则，如《河南省加快推进源网荷储一体化实施方案》，明确了项目实施范围、重点任务及保障措施，为获嘉县的项目提供了方向指引和政策支持，鼓励企业积极参与新能源建设，提升清洁能源占比，推动配网改造升级和储能设施建设，保障项目的并网消纳等权益，营造了良好的政策氛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从市场需求来看，随着当地经济的发展，工业用电需求持续增长，尤其是获嘉县工业集聚区的众多企业，如中新化工、中小企业孵化园、河南晶瑞日用品、大成包装等，用电量大且对电能质量和稳定性要求较高，源网荷储一体化项目能够就地消纳新能源电力，降低企业用电成本，满足其稳定可靠的电力需求，具有较大的市场吸引力。</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2、源网荷储市场容量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随着当地经济的稳步前行，各产业尤其是工业领域呈现出蓬勃发展态势，用电需求持续攀升。众多中小企业不断发展壮大，其生产运营对电力的依赖程度与日俱增，为源网荷储一体化项目提供了坚实的市场基础。在当前能源转型的大趋势下，绿色能源成为降低企业运营成本、提高生产效率的关键要素。对于获嘉县的中小企业而言，源网荷储一体化项目所提供的清洁电能，不仅能满足其日益增长的电力需求，保障生产活动的稳定开展，还能借助绿电的价格优势以及储能系统对峰谷电价差的有效利用，大幅降低用电成本，增强市场竞争力。从长期来看，随着技术的不断进步与完善，源网荷储一体化项目的应用范围将进一步拓展，无论是工业园区、商业综合体还是居民社区，都将成为潜在的市场增长点，其市场容量有望持续扩充，在满足获嘉县能源需求、推动绿色发展的道路上发挥关键作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3、“充换电一体化”市场环境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当前，充换电一体化市场受政策大力扶持，发展环境极为利好。2023年5月，国家发展改革委与国家能源局联合印发《关于加快推进充电基础设施建设更好支持新能源汽车下乡和乡村振兴的实施意见》，明确提出探索在充电桩利用率较低的农村地区，建设光伏发电、储能、充换电一体化设施，为项目在乡镇布局提供政策依据。同年6月，国务院办公厅发布的《关于进一步构建高质量充电基础设施体系的指导意见》，着重强调推动光储充换一体站等试点示范，凸显国家对充换电一体化发展的重视与引导。2024年4月，财政部、工业和信息化部、交通运输部联合发布《关于开展县域充换电设施补短板试点工作的通知》，计划开展“百县千站万桩”试点工程，鼓励分布式光伏覆盖较好的农村地区建设一体化充电基础设施，这为项目落地提供了有力的政策支撑与资金扶持预期。在此背景下，本项目在获嘉县推进充换电一体化建设，不仅契合国家战略导向，还能充分利用政策红利，加速项目落地与运营，在市场竞争中占得先机，有力推动区域新能源充换电服务迈向新高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4、“充换电一体化”市场容量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当前，获嘉县充换电一体化市场发展尚处于起步阶段，现有充换电设施多以单一充电功能为主，兼具光伏发电、储能调节与快速换电功能的一体化设施数量极少，难以满足日益增长的多元化需求。随着“双碳”目标深入推进，新能源汽车在当地的普及速度不断加快，网约车、物流车等运营车辆规模持续扩大，私家车与非机动车保有量也呈现显著增长态势，市场对高效、便捷、综合性充换电服务的需求愈发迫切。在此背景下，充换电一体化市场存在巨大的容量空间亟待开发。加之国家相继出台《关于开展县域充换电设施补短板试点工作的通知》等政策，大力支持充换电一体化建设，为市场发展提供了坚实的政策保障。本项目抢先布局“光储充换”一体化设施，将精准对接市场需求，填补区域空白，凭借先发优势占据有利地位，在广阔的市场空间中实现快速发展。</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2.3.3 产品或服务价格</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left="0" w:leftChars="0" w:right="0" w:firstLine="560" w:firstLineChars="200"/>
        <w:jc w:val="both"/>
        <w:textAlignment w:val="baseline"/>
        <w:rPr>
          <w:rFonts w:hint="eastAsia" w:ascii="宋体" w:hAnsi="宋体" w:eastAsia="宋体" w:cs="宋体"/>
          <w:sz w:val="28"/>
          <w:szCs w:val="28"/>
        </w:rPr>
      </w:pPr>
      <w:r>
        <w:rPr>
          <w:rFonts w:hint="eastAsia" w:ascii="宋体" w:hAnsi="宋体" w:eastAsia="宋体" w:cs="宋体"/>
          <w:snapToGrid/>
          <w:color w:val="auto"/>
          <w:spacing w:val="0"/>
          <w:w w:val="100"/>
          <w:kern w:val="2"/>
          <w:position w:val="0"/>
          <w:sz w:val="28"/>
          <w:szCs w:val="28"/>
          <w:lang w:val="en-US" w:eastAsia="zh-CN" w:bidi="zh-CN"/>
        </w:rPr>
        <w:t>拟建项目的收入主要有光伏售电收入、储能调峰收入及光伏充电桩收入。详细费用情况参阅第六章节。</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2.3.</w:t>
      </w:r>
      <w:r>
        <w:rPr>
          <w:rFonts w:hint="eastAsia" w:ascii="宋体" w:hAnsi="宋体" w:eastAsia="宋体" w:cs="宋体"/>
          <w:b/>
          <w:bCs/>
          <w:sz w:val="28"/>
          <w:szCs w:val="28"/>
          <w:lang w:val="en-US" w:eastAsia="zh-CN"/>
        </w:rPr>
        <w:t>4</w:t>
      </w:r>
      <w:r>
        <w:rPr>
          <w:rFonts w:hint="eastAsia" w:ascii="宋体" w:hAnsi="宋体" w:eastAsia="宋体" w:cs="宋体"/>
          <w:b/>
          <w:bCs/>
          <w:sz w:val="28"/>
          <w:szCs w:val="28"/>
        </w:rPr>
        <w:t xml:space="preserve"> 市场饱和程度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将根据</w:t>
      </w:r>
      <w:r>
        <w:rPr>
          <w:rFonts w:hint="eastAsia" w:ascii="宋体" w:hAnsi="宋体" w:eastAsia="宋体" w:cs="宋体"/>
          <w:b/>
          <w:bCs/>
          <w:sz w:val="28"/>
          <w:szCs w:val="28"/>
        </w:rPr>
        <w:t>《</w:t>
      </w:r>
      <w:r>
        <w:rPr>
          <w:rFonts w:hint="eastAsia" w:ascii="宋体" w:hAnsi="宋体" w:eastAsia="宋体" w:cs="宋体"/>
          <w:b w:val="false"/>
          <w:bCs w:val="false"/>
          <w:sz w:val="28"/>
          <w:szCs w:val="28"/>
        </w:rPr>
        <w:t>河南省工业企业源网荷储一体化项目实施细则（暂行）》</w:t>
      </w:r>
      <w:r>
        <w:rPr>
          <w:rFonts w:hint="eastAsia" w:ascii="宋体" w:hAnsi="宋体" w:eastAsia="宋体" w:cs="宋体"/>
          <w:b w:val="false"/>
          <w:bCs w:val="false"/>
          <w:sz w:val="28"/>
          <w:szCs w:val="28"/>
          <w:lang w:val="en-US" w:eastAsia="zh-CN"/>
        </w:rPr>
        <w:t>文件要求，以项目建设地为核心点半径20公里内</w:t>
      </w:r>
      <w:r>
        <w:rPr>
          <w:rFonts w:hint="eastAsia" w:ascii="宋体" w:hAnsi="宋体" w:eastAsia="宋体" w:cs="宋体"/>
          <w:color w:val="auto"/>
          <w:sz w:val="28"/>
          <w:szCs w:val="28"/>
        </w:rPr>
        <w:t>就近销售给</w:t>
      </w:r>
      <w:r>
        <w:rPr>
          <w:rFonts w:hint="eastAsia" w:ascii="宋体" w:hAnsi="宋体" w:eastAsia="宋体" w:cs="宋体"/>
          <w:color w:val="auto"/>
          <w:sz w:val="28"/>
          <w:szCs w:val="28"/>
          <w:lang w:val="en-US" w:eastAsia="zh-CN"/>
        </w:rPr>
        <w:t>附近用电企业完成自我消纳，</w:t>
      </w:r>
      <w:r>
        <w:rPr>
          <w:rFonts w:hint="eastAsia" w:ascii="宋体" w:hAnsi="宋体" w:eastAsia="宋体" w:cs="宋体"/>
          <w:color w:val="auto"/>
          <w:sz w:val="28"/>
          <w:szCs w:val="28"/>
        </w:rPr>
        <w:t>本项目所产出的绿色电力能源出售给</w:t>
      </w:r>
      <w:r>
        <w:rPr>
          <w:rFonts w:hint="eastAsia" w:ascii="宋体" w:hAnsi="宋体" w:eastAsia="宋体" w:cs="宋体"/>
          <w:i w:val="false"/>
          <w:strike w:val="false"/>
          <w:spacing w:val="0"/>
          <w:sz w:val="28"/>
          <w:szCs w:val="28"/>
          <w:u w:val="none"/>
        </w:rPr>
        <w:t>河南大成包装材料有限公司</w:t>
      </w:r>
      <w:r>
        <w:rPr>
          <w:rFonts w:hint="eastAsia" w:ascii="宋体" w:hAnsi="宋体" w:eastAsia="宋体" w:cs="宋体"/>
          <w:color w:val="auto"/>
          <w:sz w:val="28"/>
          <w:szCs w:val="28"/>
        </w:rPr>
        <w:t>使用</w:t>
      </w:r>
      <w:r>
        <w:rPr>
          <w:rFonts w:hint="eastAsia" w:ascii="宋体" w:hAnsi="宋体" w:eastAsia="宋体" w:cs="宋体"/>
          <w:color w:val="auto"/>
          <w:sz w:val="28"/>
          <w:szCs w:val="28"/>
          <w:lang w:eastAsia="zh-CN"/>
        </w:rPr>
        <w:t>，</w:t>
      </w:r>
      <w:r>
        <w:rPr>
          <w:rFonts w:hint="eastAsia" w:ascii="宋体" w:hAnsi="宋体" w:eastAsia="宋体" w:cs="宋体"/>
          <w:color w:val="000000"/>
          <w:sz w:val="28"/>
          <w:szCs w:val="28"/>
        </w:rPr>
        <w:t>项目光伏、储能年产出绿电约为1690.08万KWH，其中光伏年产电量718.08万KWH，储能年产电量972.00万KWH</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计算</w:t>
      </w:r>
      <w:r>
        <w:rPr>
          <w:rFonts w:hint="eastAsia" w:ascii="宋体" w:hAnsi="宋体" w:eastAsia="宋体" w:cs="宋体"/>
          <w:color w:val="auto"/>
          <w:sz w:val="28"/>
          <w:szCs w:val="28"/>
          <w:lang w:val="en-US" w:eastAsia="zh-CN"/>
        </w:rPr>
        <w:t>公式见第六章内容）</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经调查，目前</w:t>
      </w:r>
      <w:r>
        <w:rPr>
          <w:rFonts w:hint="eastAsia" w:ascii="宋体" w:hAnsi="宋体" w:eastAsia="宋体" w:cs="宋体"/>
          <w:i w:val="false"/>
          <w:strike w:val="false"/>
          <w:spacing w:val="0"/>
          <w:sz w:val="28"/>
          <w:szCs w:val="28"/>
          <w:u w:val="none"/>
        </w:rPr>
        <w:t>河南大成包装材料有限公司</w:t>
      </w:r>
      <w:r>
        <w:rPr>
          <w:rFonts w:hint="eastAsia" w:ascii="宋体" w:hAnsi="宋体" w:eastAsia="宋体" w:cs="宋体"/>
          <w:color w:val="auto"/>
          <w:sz w:val="28"/>
          <w:szCs w:val="28"/>
          <w:lang w:val="en-US" w:eastAsia="zh-CN"/>
        </w:rPr>
        <w:t>年用电量约</w:t>
      </w:r>
      <w:r>
        <w:rPr>
          <w:rFonts w:hint="eastAsia" w:ascii="宋体" w:hAnsi="宋体" w:eastAsia="宋体" w:cs="宋体"/>
          <w:color w:val="000000"/>
          <w:sz w:val="28"/>
          <w:szCs w:val="28"/>
          <w:lang w:val="en-US" w:eastAsia="zh-CN"/>
        </w:rPr>
        <w:t>为6689.68万</w:t>
      </w:r>
      <w:r>
        <w:rPr>
          <w:rFonts w:hint="eastAsia" w:ascii="宋体" w:hAnsi="宋体" w:eastAsia="宋体" w:cs="宋体"/>
          <w:color w:val="000000"/>
          <w:sz w:val="28"/>
          <w:szCs w:val="28"/>
        </w:rPr>
        <w:t>KWH</w:t>
      </w:r>
      <w:r>
        <w:rPr>
          <w:rFonts w:hint="eastAsia" w:ascii="宋体" w:hAnsi="宋体" w:eastAsia="宋体" w:cs="宋体"/>
          <w:color w:val="000000"/>
          <w:sz w:val="28"/>
          <w:szCs w:val="28"/>
          <w:lang w:eastAsia="zh-CN"/>
        </w:rPr>
        <w:t>，</w:t>
      </w:r>
      <w:r>
        <w:rPr>
          <w:rFonts w:hint="eastAsia" w:ascii="宋体" w:hAnsi="宋体" w:eastAsia="宋体" w:cs="宋体"/>
          <w:b/>
          <w:color w:val="auto"/>
          <w:sz w:val="28"/>
          <w:szCs w:val="28"/>
          <w:lang w:val="en-US" w:eastAsia="zh-CN"/>
        </w:rPr>
        <w:t>本项目光伏发电将直接供应至河南大成包装材料有限公司平谷时段用电，项目储能将满足该公司在高峰时段电力稳定供应。低谷时段上网电价较低，国网压力较小，用电企业可直接向国网购买，平谷用电不足部分将直接向国网购买。</w:t>
      </w:r>
      <w:r>
        <w:rPr>
          <w:rFonts w:hint="eastAsia" w:ascii="宋体" w:hAnsi="宋体" w:eastAsia="宋体" w:cs="宋体"/>
          <w:b/>
          <w:color w:val="auto"/>
          <w:sz w:val="28"/>
          <w:szCs w:val="28"/>
        </w:rPr>
        <w:t>本项目所产出绿色电力能源销售价格低于国网销售价格，对用电量较大的企业具有致命的吸引力（销售价格详情见第六章盈利能力分析）。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2"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b/>
          <w:snapToGrid/>
          <w:color w:val="auto"/>
          <w:spacing w:val="0"/>
          <w:w w:val="100"/>
          <w:kern w:val="2"/>
          <w:position w:val="0"/>
          <w:sz w:val="28"/>
          <w:szCs w:val="28"/>
          <w:lang w:val="en-US" w:eastAsia="zh-CN" w:bidi="zh-CN"/>
        </w:rPr>
        <w:t>另外，在项目周边半径20公里范围内，还有众多用电量较大的企业，例如：河南金天化工有限公司年用电量约9000万</w:t>
      </w:r>
      <w:r>
        <w:rPr>
          <w:rFonts w:hint="eastAsia" w:ascii="宋体" w:hAnsi="宋体" w:eastAsia="宋体" w:cs="宋体"/>
          <w:b/>
          <w:color w:val="000000"/>
          <w:sz w:val="28"/>
          <w:szCs w:val="28"/>
        </w:rPr>
        <w:t>KWH、新乡中新化工有限责任公司年用电量约6000万KWH、河南宏一纺织有限公司年用电量约4000万KWH，以上企业都可以作为本项目消纳客户。</w:t>
      </w:r>
      <w:r>
        <w:rPr>
          <w:rFonts w:hint="eastAsia" w:ascii="宋体" w:hAnsi="宋体" w:eastAsia="宋体" w:cs="宋体"/>
          <w:b/>
          <w:color w:val="auto"/>
          <w:sz w:val="28"/>
          <w:szCs w:val="28"/>
        </w:rPr>
        <w:t>目标市场环境较好，容量缺口较大</w:t>
      </w:r>
      <w:r>
        <w:rPr>
          <w:rFonts w:hint="eastAsia" w:ascii="宋体" w:hAnsi="宋体" w:eastAsia="宋体" w:cs="宋体"/>
          <w:color w:val="auto"/>
          <w:sz w:val="28"/>
          <w:szCs w:val="28"/>
        </w:rPr>
        <w:t>。</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2.3.</w:t>
      </w:r>
      <w:r>
        <w:rPr>
          <w:rFonts w:hint="eastAsia" w:ascii="宋体" w:hAnsi="宋体" w:eastAsia="宋体" w:cs="宋体"/>
          <w:b/>
          <w:bCs/>
          <w:sz w:val="28"/>
          <w:szCs w:val="28"/>
          <w:lang w:val="en-US" w:eastAsia="zh-CN"/>
        </w:rPr>
        <w:t>5</w:t>
      </w:r>
      <w:r>
        <w:rPr>
          <w:rFonts w:hint="eastAsia" w:ascii="宋体" w:hAnsi="宋体" w:eastAsia="宋体" w:cs="宋体"/>
          <w:b/>
          <w:bCs/>
          <w:sz w:val="28"/>
          <w:szCs w:val="28"/>
        </w:rPr>
        <w:t xml:space="preserve"> 行业发展趋势</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1、能源结构清洁化加速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双碳”目标引领下，清洁能源在源端的占比将持续大幅提高。太阳能、风能凭借其资源丰富、分布广泛且成本持续降低的优势，将实现大规模快速发展，海上风电、分布式光伏等项目建设加速推进。同时，水电、核能等清洁能源也将稳步发展，传统火电则逐步向灵活性改造和调峰兜底角色转变，以适应清洁能源发电的间歇性和波动性，构建以清洁能源为主导的新型电力供应体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2、电网智能化升级深化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应对新能源大规模接入和负荷多样化需求，电网将向智能化、柔性化方向深度发展。先进的电力电子技术广泛应用，实现对电流、电压等参数的精准控制和电能的高效变换；智能电网调度系统更加完善，利用大数据、云计算和人工智能技术，对电网运行状态进行实时监测、分析和预测，优化电力资源配置，提高电网可靠性和供电质量，实现源网荷储各环节的智能互动与协调运行，如虚拟电厂等新型电力运营模式将得到更广泛实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3、用户侧灵活性资源潜力释放</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需求侧响应在源网荷储体系中的作用日益凸显。工业、商业和居民用户通过安装智能电表、控制系统等设备，实现用电行为的智能化管理，根据电网供需情况和价格信号灵活调整用电负荷，参与削峰填谷，获取经济收益。储能系统在用户侧的应用将更加普及，不仅保障关键负荷的不间断供电，还能利用峰谷电价差套利，降低用电成本，提升能源利用效率，用户从单纯的电力消费者逐渐转变为电力系统的参与者和调节者。</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4、储能技术多元化突破与规模化应用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储能是源网荷储协同发展的关键支撑，各类储能技术将共同发展并实现突破。锂离子电池储能在技术成熟度和成本控制方面优势明显，短期内仍将占据主导地位，但安全性和资源回收问题将逐步解决；液流电池、钠离子电池等新型电化学储能技术凭借其长寿命、大容量、高安全性等特点，进入商业化推广阶段；抽水蓄能作为大规模储能的成熟技术，建设步伐加快，同时压缩空气储能、飞轮储能、储热等技术也将在各自适用场景下实现规模化应用，为电力系统提供多样化的储能解决方案，增强系统稳定性和灵活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5、市场机制与商业模式创新活跃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随着源网荷储行业的发展，电力市场机制将不断完善，分时电价、现货市场、辅助服务市场等更加健全，为各市场主体提供公平、透明的交易环境和多元化的盈利途径。源网荷储一体化项目的商业模式将不断创新，如能源服务公司（ESCO）通过整合能源资源，为用户提供一站式能源解决方案，包括能源供应、节能改造、储能租赁等服务；分布式能源运营商通过建设和运营分布式源网荷储系统，实现电力的直接供应，与电网企业建立互利共赢的合作关系，激发市场活力，推动行业可持续发展。</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rPr>
          <w:rFonts w:hint="eastAsia" w:ascii="宋体" w:hAnsi="宋体" w:eastAsia="宋体" w:cs="宋体"/>
          <w:b/>
          <w:bCs/>
          <w:color w:val="000000"/>
          <w:sz w:val="28"/>
          <w:szCs w:val="28"/>
        </w:rPr>
      </w:pPr>
      <w:r>
        <w:rPr>
          <w:rFonts w:hint="eastAsia" w:ascii="宋体" w:hAnsi="宋体" w:eastAsia="宋体" w:cs="宋体"/>
          <w:b/>
          <w:bCs/>
          <w:color w:val="000000"/>
          <w:sz w:val="28"/>
          <w:szCs w:val="28"/>
        </w:rPr>
        <w:t>2.3.</w:t>
      </w:r>
      <w:r>
        <w:rPr>
          <w:rFonts w:hint="eastAsia" w:ascii="宋体" w:hAnsi="宋体" w:eastAsia="宋体" w:cs="宋体"/>
          <w:b/>
          <w:bCs/>
          <w:color w:val="000000"/>
          <w:sz w:val="28"/>
          <w:szCs w:val="28"/>
          <w:lang w:val="en-US" w:eastAsia="zh-CN"/>
        </w:rPr>
        <w:t>6</w:t>
      </w:r>
      <w:r>
        <w:rPr>
          <w:rFonts w:hint="eastAsia" w:ascii="宋体" w:hAnsi="宋体" w:eastAsia="宋体" w:cs="宋体"/>
          <w:b/>
          <w:bCs/>
          <w:color w:val="000000"/>
          <w:sz w:val="28"/>
          <w:szCs w:val="28"/>
        </w:rPr>
        <w:t xml:space="preserve"> 项目产品或服务的竞争力</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b w:val="false"/>
          <w:bCs/>
          <w:sz w:val="28"/>
          <w:szCs w:val="28"/>
        </w:rPr>
      </w:pPr>
      <w:r>
        <w:rPr>
          <w:rFonts w:hint="eastAsia" w:ascii="宋体" w:hAnsi="宋体" w:eastAsia="宋体" w:cs="宋体"/>
          <w:b w:val="false"/>
          <w:bCs/>
          <w:i w:val="false"/>
          <w:strike w:val="false"/>
          <w:color w:val="000000"/>
          <w:sz w:val="28"/>
          <w:szCs w:val="28"/>
          <w:u w:val="none"/>
        </w:rPr>
        <w:t>1、项目供电价格低于传统供电价格</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b w:val="false"/>
          <w:bCs/>
          <w:sz w:val="28"/>
          <w:szCs w:val="28"/>
        </w:rPr>
      </w:pPr>
      <w:r>
        <w:rPr>
          <w:rFonts w:hint="eastAsia" w:ascii="宋体" w:hAnsi="宋体" w:eastAsia="宋体" w:cs="宋体"/>
          <w:b w:val="false"/>
          <w:bCs/>
          <w:i w:val="false"/>
          <w:strike w:val="false"/>
          <w:color w:val="000000"/>
          <w:sz w:val="28"/>
          <w:szCs w:val="28"/>
          <w:u w:val="none"/>
        </w:rPr>
        <w:t>企业通过使用绿色能源供电相较于使用传统供电，可以获得更低的电价，从而在节省企业运营成本方面具有显著的优势。本项目</w:t>
      </w:r>
      <w:r>
        <w:rPr>
          <w:rFonts w:hint="eastAsia" w:ascii="宋体" w:hAnsi="宋体" w:eastAsia="宋体" w:cs="宋体"/>
          <w:b w:val="false"/>
          <w:bCs/>
          <w:i w:val="false"/>
          <w:strike w:val="false"/>
          <w:color w:val="000000"/>
          <w:sz w:val="28"/>
          <w:szCs w:val="28"/>
          <w:u w:val="none"/>
          <w:lang w:eastAsia="zh-CN"/>
        </w:rPr>
        <w:t>新能源</w:t>
      </w:r>
      <w:r>
        <w:rPr>
          <w:rFonts w:hint="eastAsia" w:ascii="宋体" w:hAnsi="宋体" w:eastAsia="宋体" w:cs="宋体"/>
          <w:b w:val="false"/>
          <w:bCs/>
          <w:i w:val="false"/>
          <w:strike w:val="false"/>
          <w:color w:val="000000"/>
          <w:sz w:val="28"/>
          <w:szCs w:val="28"/>
          <w:u w:val="none"/>
        </w:rPr>
        <w:t>供电采取光伏发电，其生产过程无需消耗有限资源，且不产生温室气体排放，因此在价格上往往更为优惠。其次，政府针对可再生能源的政策支持，如补贴和税收优惠，降低了绿色电力的购买成本。这些政策措施进一步降低了企业的用电成本，帮助企业节省运营费用。</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b w:val="false"/>
          <w:bCs/>
          <w:sz w:val="28"/>
          <w:szCs w:val="28"/>
        </w:rPr>
      </w:pPr>
      <w:r>
        <w:rPr>
          <w:rFonts w:hint="eastAsia" w:ascii="宋体" w:hAnsi="宋体" w:eastAsia="宋体" w:cs="宋体"/>
          <w:b w:val="false"/>
          <w:bCs/>
          <w:i w:val="false"/>
          <w:strike w:val="false"/>
          <w:color w:val="000000"/>
          <w:sz w:val="28"/>
          <w:szCs w:val="28"/>
          <w:u w:val="none"/>
        </w:rPr>
        <w:t>2、绿色电力可以协同中小企业绿色转型</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b w:val="false"/>
          <w:bCs/>
          <w:sz w:val="28"/>
          <w:szCs w:val="28"/>
        </w:rPr>
      </w:pPr>
      <w:r>
        <w:rPr>
          <w:rFonts w:hint="eastAsia" w:ascii="宋体" w:hAnsi="宋体" w:eastAsia="宋体" w:cs="宋体"/>
          <w:b w:val="false"/>
          <w:bCs/>
          <w:i w:val="false"/>
          <w:strike w:val="false"/>
          <w:color w:val="000000"/>
          <w:sz w:val="28"/>
          <w:szCs w:val="28"/>
          <w:u w:val="none"/>
        </w:rPr>
        <w:t>绿色电力的采用可以在多个层面协助企业实现绿色转型。首先，绿色电力供应商通常提供与可再生能源相关的技术和咨询服务，帮助企业评估其能源使用情况，并提出有效的节能方案，从而降低能源消耗和成本。其次，通过与绿色电力供应商建立合作关系，企业可以获得政府的奖励和认可，如绿色证书或减排配额，进而提升其品牌形象和市场竞争力。此外，一些绿色电力供应商还提供灵活的购电方式和定制化的解决方案，满足不同企业的需求</w:t>
      </w:r>
      <w:r>
        <w:rPr>
          <w:rFonts w:hint="eastAsia" w:ascii="宋体" w:hAnsi="宋体" w:eastAsia="宋体" w:cs="宋体"/>
          <w:b w:val="false"/>
          <w:bCs/>
          <w:i w:val="false"/>
          <w:strike w:val="false"/>
          <w:color w:val="000000"/>
          <w:sz w:val="28"/>
          <w:szCs w:val="28"/>
          <w:u w:val="none"/>
          <w:lang w:eastAsia="zh-CN"/>
        </w:rPr>
        <w:t>，</w:t>
      </w:r>
      <w:r>
        <w:rPr>
          <w:rFonts w:hint="eastAsia" w:ascii="宋体" w:hAnsi="宋体" w:eastAsia="宋体" w:cs="宋体"/>
          <w:b w:val="false"/>
          <w:bCs/>
          <w:i w:val="false"/>
          <w:strike w:val="false"/>
          <w:color w:val="000000"/>
          <w:sz w:val="28"/>
          <w:szCs w:val="28"/>
          <w:u w:val="none"/>
        </w:rPr>
        <w:t>使其更容易实施绿色能源转型。另外，作为绿色供应链的一部分，采用绿色电力还可以激励企业的供应商和合作伙伴跟随其步伐，共同推动整个产业链的绿色化转型。最重要的是，绿色电力的使用符合当今社会对环保和可持续发展的迫切需求，中小企业选择绿色电力不仅可以降低环境风险，还可以吸引更多的消费者和投资者，促进企业的长期可持续发展。因此，通过与绿色电力供应商合作，企业可以获得技术支持、市场优势和社会认可，实现可持续发展的双赢局面。</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b w:val="false"/>
          <w:bCs/>
          <w:snapToGrid/>
          <w:color w:val="auto"/>
          <w:spacing w:val="0"/>
          <w:w w:val="100"/>
          <w:kern w:val="2"/>
          <w:position w:val="0"/>
          <w:sz w:val="28"/>
          <w:szCs w:val="28"/>
          <w:lang w:val="en-US" w:eastAsia="zh-CN" w:bidi="zh-CN"/>
        </w:rPr>
      </w:pPr>
      <w:r>
        <w:rPr>
          <w:rFonts w:hint="eastAsia" w:ascii="宋体" w:hAnsi="宋体" w:eastAsia="宋体" w:cs="宋体"/>
          <w:b w:val="false"/>
          <w:bCs/>
          <w:snapToGrid/>
          <w:color w:val="auto"/>
          <w:spacing w:val="0"/>
          <w:w w:val="100"/>
          <w:kern w:val="2"/>
          <w:position w:val="0"/>
          <w:sz w:val="28"/>
          <w:szCs w:val="28"/>
          <w:lang w:val="en-US" w:eastAsia="zh-CN" w:bidi="zh-CN"/>
        </w:rPr>
        <w:t>3、源网荷储根据周边企业用电需求进行降本增效提供了安全廉价的绿色电力能源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b w:val="false"/>
          <w:bCs/>
          <w:snapToGrid/>
          <w:color w:val="auto"/>
          <w:spacing w:val="0"/>
          <w:w w:val="100"/>
          <w:kern w:val="2"/>
          <w:position w:val="0"/>
          <w:sz w:val="28"/>
          <w:szCs w:val="28"/>
          <w:lang w:val="en-US" w:eastAsia="zh-CN" w:bidi="zh-CN"/>
        </w:rPr>
      </w:pPr>
      <w:r>
        <w:rPr>
          <w:rFonts w:hint="eastAsia" w:ascii="宋体" w:hAnsi="宋体" w:eastAsia="宋体" w:cs="宋体"/>
          <w:b w:val="false"/>
          <w:bCs/>
          <w:snapToGrid/>
          <w:color w:val="auto"/>
          <w:spacing w:val="0"/>
          <w:w w:val="100"/>
          <w:kern w:val="2"/>
          <w:position w:val="0"/>
          <w:sz w:val="28"/>
          <w:szCs w:val="28"/>
          <w:lang w:val="en-US" w:eastAsia="zh-CN" w:bidi="zh-CN"/>
        </w:rPr>
        <w:t>在这一模式下，通过整合电源、电网、负荷和储能等环节，实现了能源的高效利用和优化配置。对于周边企业而言，首先，源网荷储模式中的光伏发电等清洁能源发电方式，大大降低了对传统化石能源的依赖。随着技术的不断进步，光伏发电成本持续下降，为企业提供了廉价的电力供应。相比传统能源，绿色电力价格更为稳定，不受国际能源市场波动的影响，有效降低了企业的能源采购成本。其次，储能系统的加入确保了电力供应的稳定性和可靠性。在用电高峰时期，储能系统可以释放电能，满足企业的用电需求，避免因电网负荷过大而导致的停电或限电情况，为企业的生产经营活动提供了安全保障。同时，企业使用绿色电力有助于减少碳排放，满足环保要求，提升企业的社会形象和市场竞争力。此外，源网荷储一体化模式还可以根据企业的用电需求进行个性化定制，实现精准供电，进一步提高能源利用效率。通过智能化的能源管理系统，企业可以实时监测和控制用电情况，优化用电策略，降低能源浪费。总之，源网荷储模式为周边企业带来了安全廉价的绿色电力能源，为企业的可持续发展提供了有力支持。</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2.3.7 项目产品或服务的市场拥有量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截至2024年12月23日，河南省已实施五批源网荷储一体化项目，规模共计5.225GW。其中工业企业类项目占比较大，在已实施的253个项目中，工业企业类项目有49个，占总项目数的比例并不是60%，但工业企业类项目在项目规模上占据了重要部分。以下是对这一情况的具体介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第一批：6月21日，河南省发改委发布《关于实施第一批源网荷储一体化项目的通知》，共包含63个新能源项目，合计规模为2.145GW，其中工业企业类项目49个，规模共计1254.3MW。</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190"/>
        <w:gridCol w:w="1880"/>
        <w:gridCol w:w="1990"/>
        <w:gridCol w:w="1345"/>
      </w:tblGrid>
      <w:tr>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1"/>
                <w:szCs w:val="21"/>
                <w:lang w:val="en-US" w:eastAsia="zh-CN" w:bidi="zh-CN"/>
              </w:rPr>
            </w:pPr>
            <w:r>
              <w:rPr>
                <w:rFonts w:hint="eastAsia" w:ascii="宋体" w:hAnsi="宋体" w:eastAsia="宋体" w:cs="宋体"/>
                <w:b/>
                <w:bCs/>
                <w:snapToGrid/>
                <w:color w:val="000000"/>
                <w:spacing w:val="0"/>
                <w:w w:val="100"/>
                <w:kern w:val="2"/>
                <w:position w:val="0"/>
                <w:sz w:val="21"/>
                <w:szCs w:val="21"/>
                <w:lang w:val="en-US" w:eastAsia="zh-CN" w:bidi="zh-CN"/>
              </w:rPr>
              <w:t>序号</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1"/>
                <w:szCs w:val="21"/>
                <w:lang w:val="en-US" w:eastAsia="zh-CN" w:bidi="zh-CN"/>
              </w:rPr>
            </w:pPr>
            <w:r>
              <w:rPr>
                <w:rFonts w:hint="eastAsia" w:ascii="宋体" w:hAnsi="宋体" w:eastAsia="宋体" w:cs="宋体"/>
                <w:b/>
                <w:bCs/>
                <w:snapToGrid/>
                <w:color w:val="000000"/>
                <w:spacing w:val="0"/>
                <w:w w:val="100"/>
                <w:kern w:val="2"/>
                <w:position w:val="0"/>
                <w:sz w:val="21"/>
                <w:szCs w:val="21"/>
                <w:lang w:val="en-US" w:eastAsia="zh-CN" w:bidi="zh-CN"/>
              </w:rPr>
              <w:t>新能源项目（个数）</w:t>
            </w:r>
          </w:p>
        </w:tc>
        <w:tc>
          <w:tcPr>
            <w:tcW w:w="188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1"/>
                <w:szCs w:val="21"/>
                <w:lang w:val="en-US" w:eastAsia="zh-CN" w:bidi="zh-CN"/>
              </w:rPr>
            </w:pPr>
            <w:r>
              <w:rPr>
                <w:rFonts w:hint="eastAsia" w:ascii="宋体" w:hAnsi="宋体" w:eastAsia="宋体" w:cs="宋体"/>
                <w:b/>
                <w:bCs/>
                <w:snapToGrid/>
                <w:color w:val="000000"/>
                <w:spacing w:val="0"/>
                <w:w w:val="100"/>
                <w:kern w:val="2"/>
                <w:position w:val="0"/>
                <w:sz w:val="21"/>
                <w:szCs w:val="21"/>
                <w:lang w:val="en-US" w:eastAsia="zh-CN" w:bidi="zh-CN"/>
              </w:rPr>
              <w:t>新乡地区（个数）</w:t>
            </w:r>
          </w:p>
        </w:tc>
        <w:tc>
          <w:tcPr>
            <w:tcW w:w="19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1"/>
                <w:szCs w:val="21"/>
                <w:lang w:val="en-US" w:eastAsia="zh-CN" w:bidi="zh-CN"/>
              </w:rPr>
            </w:pPr>
            <w:r>
              <w:rPr>
                <w:rFonts w:hint="eastAsia" w:ascii="宋体" w:hAnsi="宋体" w:eastAsia="宋体" w:cs="宋体"/>
                <w:b/>
                <w:bCs/>
                <w:snapToGrid/>
                <w:color w:val="000000"/>
                <w:spacing w:val="0"/>
                <w:w w:val="100"/>
                <w:kern w:val="2"/>
                <w:position w:val="0"/>
                <w:sz w:val="21"/>
                <w:szCs w:val="21"/>
                <w:lang w:val="en-US" w:eastAsia="zh-CN" w:bidi="zh-CN"/>
              </w:rPr>
              <w:t>其他地区（个数）</w:t>
            </w:r>
          </w:p>
        </w:tc>
        <w:tc>
          <w:tcPr>
            <w:tcW w:w="13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1"/>
                <w:szCs w:val="21"/>
                <w:lang w:val="en-US" w:eastAsia="zh-CN" w:bidi="zh-CN"/>
              </w:rPr>
            </w:pPr>
            <w:r>
              <w:rPr>
                <w:rFonts w:hint="eastAsia" w:ascii="宋体" w:hAnsi="宋体" w:eastAsia="宋体" w:cs="宋体"/>
                <w:b/>
                <w:bCs/>
                <w:snapToGrid/>
                <w:color w:val="000000"/>
                <w:spacing w:val="0"/>
                <w:w w:val="100"/>
                <w:kern w:val="2"/>
                <w:position w:val="0"/>
                <w:sz w:val="21"/>
                <w:szCs w:val="21"/>
                <w:lang w:val="en-US" w:eastAsia="zh-CN" w:bidi="zh-CN"/>
              </w:rPr>
              <w:t>备注</w:t>
            </w:r>
          </w:p>
        </w:tc>
      </w:tr>
      <w:tr>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1"/>
                <w:szCs w:val="21"/>
                <w:lang w:val="en-US" w:eastAsia="zh-CN" w:bidi="zh-CN"/>
              </w:rPr>
            </w:pPr>
            <w:r>
              <w:rPr>
                <w:rFonts w:hint="eastAsia" w:ascii="宋体" w:hAnsi="宋体" w:eastAsia="宋体" w:cs="宋体"/>
                <w:snapToGrid/>
                <w:color w:val="000000"/>
                <w:spacing w:val="0"/>
                <w:w w:val="100"/>
                <w:kern w:val="2"/>
                <w:position w:val="0"/>
                <w:sz w:val="21"/>
                <w:szCs w:val="21"/>
                <w:lang w:val="en-US" w:eastAsia="zh-CN" w:bidi="zh-CN"/>
              </w:rPr>
              <w:t>1</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1"/>
                <w:szCs w:val="21"/>
                <w:lang w:val="en-US" w:eastAsia="zh-CN" w:bidi="zh-CN"/>
              </w:rPr>
            </w:pPr>
            <w:r>
              <w:rPr>
                <w:rFonts w:hint="eastAsia" w:ascii="宋体" w:hAnsi="宋体" w:eastAsia="宋体" w:cs="宋体"/>
                <w:snapToGrid/>
                <w:color w:val="000000"/>
                <w:spacing w:val="0"/>
                <w:w w:val="100"/>
                <w:kern w:val="2"/>
                <w:position w:val="0"/>
                <w:sz w:val="21"/>
                <w:szCs w:val="21"/>
                <w:lang w:val="en-US" w:eastAsia="zh-CN" w:bidi="zh-CN"/>
              </w:rPr>
              <w:t>63</w:t>
            </w:r>
          </w:p>
        </w:tc>
        <w:tc>
          <w:tcPr>
            <w:tcW w:w="188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1"/>
                <w:szCs w:val="21"/>
                <w:lang w:val="en-US" w:eastAsia="zh-CN" w:bidi="zh-CN"/>
              </w:rPr>
            </w:pPr>
            <w:r>
              <w:rPr>
                <w:rFonts w:hint="eastAsia" w:ascii="宋体" w:hAnsi="宋体" w:eastAsia="宋体" w:cs="宋体"/>
                <w:snapToGrid/>
                <w:color w:val="000000"/>
                <w:spacing w:val="0"/>
                <w:w w:val="100"/>
                <w:kern w:val="2"/>
                <w:position w:val="0"/>
                <w:sz w:val="21"/>
                <w:szCs w:val="21"/>
                <w:lang w:val="en-US" w:eastAsia="zh-CN" w:bidi="zh-CN"/>
              </w:rPr>
              <w:t>0</w:t>
            </w:r>
          </w:p>
        </w:tc>
        <w:tc>
          <w:tcPr>
            <w:tcW w:w="19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1"/>
                <w:szCs w:val="21"/>
                <w:lang w:val="en-US" w:eastAsia="zh-CN" w:bidi="zh-CN"/>
              </w:rPr>
            </w:pPr>
            <w:r>
              <w:rPr>
                <w:rFonts w:hint="eastAsia" w:ascii="宋体" w:hAnsi="宋体" w:eastAsia="宋体" w:cs="宋体"/>
                <w:snapToGrid/>
                <w:color w:val="000000"/>
                <w:spacing w:val="0"/>
                <w:w w:val="100"/>
                <w:kern w:val="2"/>
                <w:position w:val="0"/>
                <w:sz w:val="21"/>
                <w:szCs w:val="21"/>
                <w:lang w:val="en-US" w:eastAsia="zh-CN" w:bidi="zh-CN"/>
              </w:rPr>
              <w:t>63</w:t>
            </w:r>
          </w:p>
        </w:tc>
        <w:tc>
          <w:tcPr>
            <w:tcW w:w="13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1"/>
                <w:szCs w:val="21"/>
                <w:lang w:val="en-US" w:eastAsia="zh-CN" w:bidi="zh-CN"/>
              </w:rPr>
            </w:pP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第二批：7月23日，河南省发改委发布《关于实施第二批源网荷储一体化项目的通知》，工业企业类40个项目纳入第二批实施范围，新能源总规模917.71MW。</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190"/>
        <w:gridCol w:w="1865"/>
        <w:gridCol w:w="2035"/>
        <w:gridCol w:w="1315"/>
      </w:tblGrid>
      <w:tr>
        <w:trPr>
          <w:trHeight w:val="0"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1"/>
                <w:szCs w:val="21"/>
                <w:lang w:val="en-US" w:eastAsia="zh-CN" w:bidi="zh-CN"/>
              </w:rPr>
            </w:pPr>
            <w:r>
              <w:rPr>
                <w:rFonts w:hint="eastAsia" w:ascii="宋体" w:hAnsi="宋体" w:eastAsia="宋体" w:cs="宋体"/>
                <w:b/>
                <w:bCs/>
                <w:snapToGrid/>
                <w:color w:val="000000"/>
                <w:spacing w:val="0"/>
                <w:w w:val="100"/>
                <w:kern w:val="2"/>
                <w:position w:val="0"/>
                <w:sz w:val="21"/>
                <w:szCs w:val="21"/>
                <w:lang w:val="en-US" w:eastAsia="zh-CN" w:bidi="zh-CN"/>
              </w:rPr>
              <w:t>序号</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1"/>
                <w:szCs w:val="21"/>
                <w:lang w:val="en-US" w:eastAsia="zh-CN" w:bidi="zh-CN"/>
              </w:rPr>
            </w:pPr>
            <w:r>
              <w:rPr>
                <w:rFonts w:hint="eastAsia" w:ascii="宋体" w:hAnsi="宋体" w:eastAsia="宋体" w:cs="宋体"/>
                <w:b/>
                <w:bCs/>
                <w:snapToGrid/>
                <w:color w:val="000000"/>
                <w:spacing w:val="0"/>
                <w:w w:val="100"/>
                <w:kern w:val="2"/>
                <w:position w:val="0"/>
                <w:sz w:val="21"/>
                <w:szCs w:val="21"/>
                <w:lang w:val="en-US" w:eastAsia="zh-CN" w:bidi="zh-CN"/>
              </w:rPr>
              <w:t>新能源项目（个数）</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1"/>
                <w:szCs w:val="21"/>
                <w:lang w:val="en-US" w:eastAsia="zh-CN" w:bidi="zh-CN"/>
              </w:rPr>
            </w:pPr>
            <w:r>
              <w:rPr>
                <w:rFonts w:hint="eastAsia" w:ascii="宋体" w:hAnsi="宋体" w:eastAsia="宋体" w:cs="宋体"/>
                <w:b/>
                <w:bCs/>
                <w:snapToGrid/>
                <w:color w:val="000000"/>
                <w:spacing w:val="0"/>
                <w:w w:val="100"/>
                <w:kern w:val="2"/>
                <w:position w:val="0"/>
                <w:sz w:val="21"/>
                <w:szCs w:val="21"/>
                <w:lang w:val="en-US" w:eastAsia="zh-CN" w:bidi="zh-CN"/>
              </w:rPr>
              <w:t>新乡地区（个数）</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1"/>
                <w:szCs w:val="21"/>
                <w:lang w:val="en-US" w:eastAsia="zh-CN" w:bidi="zh-CN"/>
              </w:rPr>
            </w:pPr>
            <w:r>
              <w:rPr>
                <w:rFonts w:hint="eastAsia" w:ascii="宋体" w:hAnsi="宋体" w:eastAsia="宋体" w:cs="宋体"/>
                <w:b/>
                <w:bCs/>
                <w:snapToGrid/>
                <w:color w:val="000000"/>
                <w:spacing w:val="0"/>
                <w:w w:val="100"/>
                <w:kern w:val="2"/>
                <w:position w:val="0"/>
                <w:sz w:val="21"/>
                <w:szCs w:val="21"/>
                <w:lang w:val="en-US" w:eastAsia="zh-CN" w:bidi="zh-CN"/>
              </w:rPr>
              <w:t>其他地区（个数）</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1"/>
                <w:szCs w:val="21"/>
                <w:lang w:val="en-US" w:eastAsia="zh-CN" w:bidi="zh-CN"/>
              </w:rPr>
            </w:pPr>
            <w:r>
              <w:rPr>
                <w:rFonts w:hint="eastAsia" w:ascii="宋体" w:hAnsi="宋体" w:eastAsia="宋体" w:cs="宋体"/>
                <w:b/>
                <w:bCs/>
                <w:snapToGrid/>
                <w:color w:val="000000"/>
                <w:spacing w:val="0"/>
                <w:w w:val="100"/>
                <w:kern w:val="2"/>
                <w:position w:val="0"/>
                <w:sz w:val="21"/>
                <w:szCs w:val="21"/>
                <w:lang w:val="en-US" w:eastAsia="zh-CN" w:bidi="zh-CN"/>
              </w:rPr>
              <w:t>备注</w:t>
            </w:r>
          </w:p>
        </w:tc>
      </w:tr>
      <w:tr>
        <w:trPr>
          <w:trHeight w:val="0"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1"/>
                <w:szCs w:val="21"/>
                <w:lang w:val="en-US" w:eastAsia="zh-CN" w:bidi="zh-CN"/>
              </w:rPr>
            </w:pPr>
            <w:r>
              <w:rPr>
                <w:rFonts w:hint="eastAsia" w:ascii="宋体" w:hAnsi="宋体" w:eastAsia="宋体" w:cs="宋体"/>
                <w:snapToGrid/>
                <w:color w:val="000000"/>
                <w:spacing w:val="0"/>
                <w:w w:val="100"/>
                <w:kern w:val="2"/>
                <w:position w:val="0"/>
                <w:sz w:val="21"/>
                <w:szCs w:val="21"/>
                <w:lang w:val="en-US" w:eastAsia="zh-CN" w:bidi="zh-CN"/>
              </w:rPr>
              <w:t>1</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1"/>
                <w:szCs w:val="21"/>
                <w:lang w:val="en-US" w:eastAsia="zh-CN" w:bidi="zh-CN"/>
              </w:rPr>
            </w:pPr>
            <w:r>
              <w:rPr>
                <w:rFonts w:hint="eastAsia" w:ascii="宋体" w:hAnsi="宋体" w:eastAsia="宋体" w:cs="宋体"/>
                <w:snapToGrid/>
                <w:color w:val="000000"/>
                <w:spacing w:val="0"/>
                <w:w w:val="100"/>
                <w:kern w:val="2"/>
                <w:position w:val="0"/>
                <w:sz w:val="21"/>
                <w:szCs w:val="21"/>
                <w:lang w:val="en-US" w:eastAsia="zh-CN" w:bidi="zh-CN"/>
              </w:rPr>
              <w:t>45</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1"/>
                <w:szCs w:val="21"/>
                <w:lang w:val="en-US" w:eastAsia="zh-CN" w:bidi="zh-CN"/>
              </w:rPr>
            </w:pPr>
            <w:r>
              <w:rPr>
                <w:rFonts w:hint="eastAsia" w:ascii="宋体" w:hAnsi="宋体" w:eastAsia="宋体" w:cs="宋体"/>
                <w:snapToGrid/>
                <w:color w:val="000000"/>
                <w:spacing w:val="0"/>
                <w:w w:val="100"/>
                <w:kern w:val="2"/>
                <w:position w:val="0"/>
                <w:sz w:val="21"/>
                <w:szCs w:val="21"/>
                <w:lang w:val="en-US" w:eastAsia="zh-CN" w:bidi="zh-CN"/>
              </w:rPr>
              <w:t>1</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1"/>
                <w:szCs w:val="21"/>
                <w:lang w:val="en-US" w:eastAsia="zh-CN" w:bidi="zh-CN"/>
              </w:rPr>
            </w:pPr>
            <w:r>
              <w:rPr>
                <w:rFonts w:hint="eastAsia" w:ascii="宋体" w:hAnsi="宋体" w:eastAsia="宋体" w:cs="宋体"/>
                <w:snapToGrid/>
                <w:color w:val="000000"/>
                <w:spacing w:val="0"/>
                <w:w w:val="100"/>
                <w:kern w:val="2"/>
                <w:position w:val="0"/>
                <w:sz w:val="21"/>
                <w:szCs w:val="21"/>
                <w:lang w:val="en-US" w:eastAsia="zh-CN" w:bidi="zh-CN"/>
              </w:rPr>
              <w:t>44</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1"/>
                <w:szCs w:val="21"/>
                <w:lang w:val="en-US" w:eastAsia="zh-CN" w:bidi="zh-CN"/>
              </w:rPr>
            </w:pP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第三批：8月30日，河南省发改委发布《关于实施第三批源网荷储一体化项目（工业企业类、增量配电网类）的通知》，工业企业类19个项目纳入第三批实施范围，总规模为637.6MW。</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190"/>
        <w:gridCol w:w="1865"/>
        <w:gridCol w:w="2035"/>
        <w:gridCol w:w="1315"/>
      </w:tblGrid>
      <w:tr>
        <w:trPr>
          <w:trHeight w:val="0"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1"/>
                <w:szCs w:val="21"/>
                <w:lang w:val="en-US" w:eastAsia="zh-CN" w:bidi="zh-CN"/>
              </w:rPr>
            </w:pPr>
            <w:r>
              <w:rPr>
                <w:rFonts w:hint="eastAsia" w:ascii="宋体" w:hAnsi="宋体" w:eastAsia="宋体" w:cs="宋体"/>
                <w:b/>
                <w:bCs/>
                <w:snapToGrid/>
                <w:color w:val="000000"/>
                <w:spacing w:val="0"/>
                <w:w w:val="100"/>
                <w:kern w:val="2"/>
                <w:position w:val="0"/>
                <w:sz w:val="21"/>
                <w:szCs w:val="21"/>
                <w:lang w:val="en-US" w:eastAsia="zh-CN" w:bidi="zh-CN"/>
              </w:rPr>
              <w:t>序号</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1"/>
                <w:szCs w:val="21"/>
                <w:lang w:val="en-US" w:eastAsia="zh-CN" w:bidi="zh-CN"/>
              </w:rPr>
            </w:pPr>
            <w:r>
              <w:rPr>
                <w:rFonts w:hint="eastAsia" w:ascii="宋体" w:hAnsi="宋体" w:eastAsia="宋体" w:cs="宋体"/>
                <w:b/>
                <w:bCs/>
                <w:snapToGrid/>
                <w:color w:val="000000"/>
                <w:spacing w:val="0"/>
                <w:w w:val="100"/>
                <w:kern w:val="2"/>
                <w:position w:val="0"/>
                <w:sz w:val="21"/>
                <w:szCs w:val="21"/>
                <w:lang w:val="en-US" w:eastAsia="zh-CN" w:bidi="zh-CN"/>
              </w:rPr>
              <w:t>新能源项目（个数）</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1"/>
                <w:szCs w:val="21"/>
                <w:lang w:val="en-US" w:eastAsia="zh-CN" w:bidi="zh-CN"/>
              </w:rPr>
            </w:pPr>
            <w:r>
              <w:rPr>
                <w:rFonts w:hint="eastAsia" w:ascii="宋体" w:hAnsi="宋体" w:eastAsia="宋体" w:cs="宋体"/>
                <w:b/>
                <w:bCs/>
                <w:snapToGrid/>
                <w:color w:val="000000"/>
                <w:spacing w:val="0"/>
                <w:w w:val="100"/>
                <w:kern w:val="2"/>
                <w:position w:val="0"/>
                <w:sz w:val="21"/>
                <w:szCs w:val="21"/>
                <w:lang w:val="en-US" w:eastAsia="zh-CN" w:bidi="zh-CN"/>
              </w:rPr>
              <w:t>新乡地区（个数）</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1"/>
                <w:szCs w:val="21"/>
                <w:lang w:val="en-US" w:eastAsia="zh-CN" w:bidi="zh-CN"/>
              </w:rPr>
            </w:pPr>
            <w:r>
              <w:rPr>
                <w:rFonts w:hint="eastAsia" w:ascii="宋体" w:hAnsi="宋体" w:eastAsia="宋体" w:cs="宋体"/>
                <w:b/>
                <w:bCs/>
                <w:snapToGrid/>
                <w:color w:val="000000"/>
                <w:spacing w:val="0"/>
                <w:w w:val="100"/>
                <w:kern w:val="2"/>
                <w:position w:val="0"/>
                <w:sz w:val="21"/>
                <w:szCs w:val="21"/>
                <w:lang w:val="en-US" w:eastAsia="zh-CN" w:bidi="zh-CN"/>
              </w:rPr>
              <w:t>其他地区（个数）</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1"/>
                <w:szCs w:val="21"/>
                <w:lang w:val="en-US" w:eastAsia="zh-CN" w:bidi="zh-CN"/>
              </w:rPr>
            </w:pPr>
            <w:r>
              <w:rPr>
                <w:rFonts w:hint="eastAsia" w:ascii="宋体" w:hAnsi="宋体" w:eastAsia="宋体" w:cs="宋体"/>
                <w:b/>
                <w:bCs/>
                <w:snapToGrid/>
                <w:color w:val="000000"/>
                <w:spacing w:val="0"/>
                <w:w w:val="100"/>
                <w:kern w:val="2"/>
                <w:position w:val="0"/>
                <w:sz w:val="21"/>
                <w:szCs w:val="21"/>
                <w:lang w:val="en-US" w:eastAsia="zh-CN" w:bidi="zh-CN"/>
              </w:rPr>
              <w:t>备注</w:t>
            </w:r>
          </w:p>
        </w:tc>
      </w:tr>
      <w:tr>
        <w:trPr>
          <w:trHeight w:val="0"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1"/>
                <w:szCs w:val="21"/>
                <w:lang w:val="en-US" w:eastAsia="zh-CN" w:bidi="zh-CN"/>
              </w:rPr>
            </w:pPr>
            <w:r>
              <w:rPr>
                <w:rFonts w:hint="eastAsia" w:ascii="宋体" w:hAnsi="宋体" w:eastAsia="宋体" w:cs="宋体"/>
                <w:snapToGrid/>
                <w:color w:val="000000"/>
                <w:spacing w:val="0"/>
                <w:w w:val="100"/>
                <w:kern w:val="2"/>
                <w:position w:val="0"/>
                <w:sz w:val="21"/>
                <w:szCs w:val="21"/>
                <w:lang w:val="en-US" w:eastAsia="zh-CN" w:bidi="zh-CN"/>
              </w:rPr>
              <w:t>1</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1"/>
                <w:szCs w:val="21"/>
                <w:lang w:val="en-US" w:eastAsia="zh-CN" w:bidi="zh-CN"/>
              </w:rPr>
            </w:pPr>
            <w:r>
              <w:rPr>
                <w:rFonts w:hint="eastAsia" w:ascii="宋体" w:hAnsi="宋体" w:eastAsia="宋体" w:cs="宋体"/>
                <w:snapToGrid/>
                <w:color w:val="000000"/>
                <w:spacing w:val="0"/>
                <w:w w:val="100"/>
                <w:kern w:val="2"/>
                <w:position w:val="0"/>
                <w:sz w:val="21"/>
                <w:szCs w:val="21"/>
                <w:lang w:val="en-US" w:eastAsia="zh-CN" w:bidi="zh-CN"/>
              </w:rPr>
              <w:t>21</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1"/>
                <w:szCs w:val="21"/>
                <w:lang w:val="en-US" w:eastAsia="zh-CN" w:bidi="zh-CN"/>
              </w:rPr>
            </w:pPr>
            <w:r>
              <w:rPr>
                <w:rFonts w:hint="eastAsia" w:ascii="宋体" w:hAnsi="宋体" w:eastAsia="宋体" w:cs="宋体"/>
                <w:snapToGrid/>
                <w:color w:val="000000"/>
                <w:spacing w:val="0"/>
                <w:w w:val="100"/>
                <w:kern w:val="2"/>
                <w:position w:val="0"/>
                <w:sz w:val="21"/>
                <w:szCs w:val="21"/>
                <w:lang w:val="en-US" w:eastAsia="zh-CN" w:bidi="zh-CN"/>
              </w:rPr>
              <w:t>0</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1"/>
                <w:szCs w:val="21"/>
                <w:lang w:val="en-US" w:eastAsia="zh-CN" w:bidi="zh-CN"/>
              </w:rPr>
            </w:pPr>
            <w:r>
              <w:rPr>
                <w:rFonts w:hint="eastAsia" w:ascii="宋体" w:hAnsi="宋体" w:eastAsia="宋体" w:cs="宋体"/>
                <w:snapToGrid/>
                <w:color w:val="000000"/>
                <w:spacing w:val="0"/>
                <w:w w:val="100"/>
                <w:kern w:val="2"/>
                <w:position w:val="0"/>
                <w:sz w:val="21"/>
                <w:szCs w:val="21"/>
                <w:lang w:val="en-US" w:eastAsia="zh-CN" w:bidi="zh-CN"/>
              </w:rPr>
              <w:t>21</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1"/>
                <w:szCs w:val="21"/>
                <w:lang w:val="en-US" w:eastAsia="zh-CN" w:bidi="zh-CN"/>
              </w:rPr>
            </w:pP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第四批：11月4日，河南省发展和改革委员会发布《关于实施第四批源网荷储一体化项目的通知》，本批次涉及项目规模共653.91MW。</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190"/>
        <w:gridCol w:w="1865"/>
        <w:gridCol w:w="2035"/>
        <w:gridCol w:w="1315"/>
      </w:tblGrid>
      <w:tr>
        <w:trPr>
          <w:trHeight w:val="0"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1"/>
                <w:szCs w:val="21"/>
                <w:lang w:val="en-US" w:eastAsia="zh-CN" w:bidi="zh-CN"/>
              </w:rPr>
            </w:pPr>
            <w:r>
              <w:rPr>
                <w:rFonts w:hint="eastAsia" w:ascii="宋体" w:hAnsi="宋体" w:eastAsia="宋体" w:cs="宋体"/>
                <w:b/>
                <w:bCs/>
                <w:snapToGrid/>
                <w:color w:val="000000"/>
                <w:spacing w:val="0"/>
                <w:w w:val="100"/>
                <w:kern w:val="2"/>
                <w:position w:val="0"/>
                <w:sz w:val="21"/>
                <w:szCs w:val="21"/>
                <w:lang w:val="en-US" w:eastAsia="zh-CN" w:bidi="zh-CN"/>
              </w:rPr>
              <w:t>序号</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1"/>
                <w:szCs w:val="21"/>
                <w:lang w:val="en-US" w:eastAsia="zh-CN" w:bidi="zh-CN"/>
              </w:rPr>
            </w:pPr>
            <w:r>
              <w:rPr>
                <w:rFonts w:hint="eastAsia" w:ascii="宋体" w:hAnsi="宋体" w:eastAsia="宋体" w:cs="宋体"/>
                <w:b/>
                <w:bCs/>
                <w:snapToGrid/>
                <w:color w:val="000000"/>
                <w:spacing w:val="0"/>
                <w:w w:val="100"/>
                <w:kern w:val="2"/>
                <w:position w:val="0"/>
                <w:sz w:val="21"/>
                <w:szCs w:val="21"/>
                <w:lang w:val="en-US" w:eastAsia="zh-CN" w:bidi="zh-CN"/>
              </w:rPr>
              <w:t>新能源项目（个数）</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1"/>
                <w:szCs w:val="21"/>
                <w:lang w:val="en-US" w:eastAsia="zh-CN" w:bidi="zh-CN"/>
              </w:rPr>
            </w:pPr>
            <w:r>
              <w:rPr>
                <w:rFonts w:hint="eastAsia" w:ascii="宋体" w:hAnsi="宋体" w:eastAsia="宋体" w:cs="宋体"/>
                <w:b/>
                <w:bCs/>
                <w:snapToGrid/>
                <w:color w:val="000000"/>
                <w:spacing w:val="0"/>
                <w:w w:val="100"/>
                <w:kern w:val="2"/>
                <w:position w:val="0"/>
                <w:sz w:val="21"/>
                <w:szCs w:val="21"/>
                <w:lang w:val="en-US" w:eastAsia="zh-CN" w:bidi="zh-CN"/>
              </w:rPr>
              <w:t>新乡地区（个数）</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1"/>
                <w:szCs w:val="21"/>
                <w:lang w:val="en-US" w:eastAsia="zh-CN" w:bidi="zh-CN"/>
              </w:rPr>
            </w:pPr>
            <w:r>
              <w:rPr>
                <w:rFonts w:hint="eastAsia" w:ascii="宋体" w:hAnsi="宋体" w:eastAsia="宋体" w:cs="宋体"/>
                <w:b/>
                <w:bCs/>
                <w:snapToGrid/>
                <w:color w:val="000000"/>
                <w:spacing w:val="0"/>
                <w:w w:val="100"/>
                <w:kern w:val="2"/>
                <w:position w:val="0"/>
                <w:sz w:val="21"/>
                <w:szCs w:val="21"/>
                <w:lang w:val="en-US" w:eastAsia="zh-CN" w:bidi="zh-CN"/>
              </w:rPr>
              <w:t>其他地区（个数）</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1"/>
                <w:szCs w:val="21"/>
                <w:lang w:val="en-US" w:eastAsia="zh-CN" w:bidi="zh-CN"/>
              </w:rPr>
            </w:pPr>
            <w:r>
              <w:rPr>
                <w:rFonts w:hint="eastAsia" w:ascii="宋体" w:hAnsi="宋体" w:eastAsia="宋体" w:cs="宋体"/>
                <w:b/>
                <w:bCs/>
                <w:snapToGrid/>
                <w:color w:val="000000"/>
                <w:spacing w:val="0"/>
                <w:w w:val="100"/>
                <w:kern w:val="2"/>
                <w:position w:val="0"/>
                <w:sz w:val="21"/>
                <w:szCs w:val="21"/>
                <w:lang w:val="en-US" w:eastAsia="zh-CN" w:bidi="zh-CN"/>
              </w:rPr>
              <w:t>备注</w:t>
            </w:r>
          </w:p>
        </w:tc>
      </w:tr>
      <w:tr>
        <w:trPr>
          <w:trHeight w:val="703"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1"/>
                <w:szCs w:val="21"/>
                <w:lang w:val="en-US" w:eastAsia="zh-CN" w:bidi="zh-CN"/>
              </w:rPr>
            </w:pPr>
            <w:r>
              <w:rPr>
                <w:rFonts w:hint="eastAsia" w:ascii="宋体" w:hAnsi="宋体" w:eastAsia="宋体" w:cs="宋体"/>
                <w:snapToGrid/>
                <w:color w:val="000000"/>
                <w:spacing w:val="0"/>
                <w:w w:val="100"/>
                <w:kern w:val="2"/>
                <w:position w:val="0"/>
                <w:sz w:val="21"/>
                <w:szCs w:val="21"/>
                <w:lang w:val="en-US" w:eastAsia="zh-CN" w:bidi="zh-CN"/>
              </w:rPr>
              <w:t>1</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1"/>
                <w:szCs w:val="21"/>
                <w:lang w:val="en-US" w:eastAsia="zh-CN" w:bidi="zh-CN"/>
              </w:rPr>
            </w:pPr>
            <w:r>
              <w:rPr>
                <w:rFonts w:hint="eastAsia" w:ascii="宋体" w:hAnsi="宋体" w:eastAsia="宋体" w:cs="宋体"/>
                <w:snapToGrid/>
                <w:color w:val="000000"/>
                <w:spacing w:val="0"/>
                <w:w w:val="100"/>
                <w:kern w:val="2"/>
                <w:position w:val="0"/>
                <w:sz w:val="21"/>
                <w:szCs w:val="21"/>
                <w:lang w:val="en-US" w:eastAsia="zh-CN" w:bidi="zh-CN"/>
              </w:rPr>
              <w:t>61</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1"/>
                <w:szCs w:val="21"/>
                <w:lang w:val="en-US" w:eastAsia="zh-CN" w:bidi="zh-CN"/>
              </w:rPr>
            </w:pPr>
            <w:r>
              <w:rPr>
                <w:rFonts w:hint="eastAsia" w:ascii="宋体" w:hAnsi="宋体" w:eastAsia="宋体" w:cs="宋体"/>
                <w:snapToGrid/>
                <w:color w:val="000000"/>
                <w:spacing w:val="0"/>
                <w:w w:val="100"/>
                <w:kern w:val="2"/>
                <w:position w:val="0"/>
                <w:sz w:val="21"/>
                <w:szCs w:val="21"/>
                <w:lang w:val="en-US" w:eastAsia="zh-CN" w:bidi="zh-CN"/>
              </w:rPr>
              <w:t>2</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1"/>
                <w:szCs w:val="21"/>
                <w:lang w:val="en-US" w:eastAsia="zh-CN" w:bidi="zh-CN"/>
              </w:rPr>
            </w:pPr>
            <w:r>
              <w:rPr>
                <w:rFonts w:hint="eastAsia" w:ascii="宋体" w:hAnsi="宋体" w:eastAsia="宋体" w:cs="宋体"/>
                <w:snapToGrid/>
                <w:color w:val="000000"/>
                <w:spacing w:val="0"/>
                <w:w w:val="100"/>
                <w:kern w:val="2"/>
                <w:position w:val="0"/>
                <w:sz w:val="21"/>
                <w:szCs w:val="21"/>
                <w:lang w:val="en-US" w:eastAsia="zh-CN" w:bidi="zh-CN"/>
              </w:rPr>
              <w:t>59</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1"/>
                <w:szCs w:val="21"/>
                <w:lang w:val="en-US" w:eastAsia="zh-CN" w:bidi="zh-CN"/>
              </w:rPr>
            </w:pP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第五批：12月23日，河南省发改委发布《关于实施第五批源网荷储一体化项目的通知》，工业企业类49个项目纳入第五批实施范围，规模共823.999MW，包含风电511.1MW，光伏312.899MW。</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190"/>
        <w:gridCol w:w="1865"/>
        <w:gridCol w:w="2035"/>
        <w:gridCol w:w="1315"/>
      </w:tblGrid>
      <w:tr>
        <w:trPr>
          <w:trHeight w:val="0"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1"/>
                <w:szCs w:val="21"/>
                <w:lang w:val="en-US" w:eastAsia="zh-CN" w:bidi="zh-CN"/>
              </w:rPr>
            </w:pPr>
            <w:r>
              <w:rPr>
                <w:rFonts w:hint="eastAsia" w:ascii="宋体" w:hAnsi="宋体" w:eastAsia="宋体" w:cs="宋体"/>
                <w:b/>
                <w:bCs/>
                <w:snapToGrid/>
                <w:color w:val="000000"/>
                <w:spacing w:val="0"/>
                <w:w w:val="100"/>
                <w:kern w:val="2"/>
                <w:position w:val="0"/>
                <w:sz w:val="21"/>
                <w:szCs w:val="21"/>
                <w:lang w:val="en-US" w:eastAsia="zh-CN" w:bidi="zh-CN"/>
              </w:rPr>
              <w:t>序号</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1"/>
                <w:szCs w:val="21"/>
                <w:lang w:val="en-US" w:eastAsia="zh-CN" w:bidi="zh-CN"/>
              </w:rPr>
            </w:pPr>
            <w:r>
              <w:rPr>
                <w:rFonts w:hint="eastAsia" w:ascii="宋体" w:hAnsi="宋体" w:eastAsia="宋体" w:cs="宋体"/>
                <w:b/>
                <w:bCs/>
                <w:snapToGrid/>
                <w:color w:val="000000"/>
                <w:spacing w:val="0"/>
                <w:w w:val="100"/>
                <w:kern w:val="2"/>
                <w:position w:val="0"/>
                <w:sz w:val="21"/>
                <w:szCs w:val="21"/>
                <w:lang w:val="en-US" w:eastAsia="zh-CN" w:bidi="zh-CN"/>
              </w:rPr>
              <w:t>新能源项目（个数）</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1"/>
                <w:szCs w:val="21"/>
                <w:lang w:val="en-US" w:eastAsia="zh-CN" w:bidi="zh-CN"/>
              </w:rPr>
            </w:pPr>
            <w:r>
              <w:rPr>
                <w:rFonts w:hint="eastAsia" w:ascii="宋体" w:hAnsi="宋体" w:eastAsia="宋体" w:cs="宋体"/>
                <w:b/>
                <w:bCs/>
                <w:snapToGrid/>
                <w:color w:val="000000"/>
                <w:spacing w:val="0"/>
                <w:w w:val="100"/>
                <w:kern w:val="2"/>
                <w:position w:val="0"/>
                <w:sz w:val="21"/>
                <w:szCs w:val="21"/>
                <w:lang w:val="en-US" w:eastAsia="zh-CN" w:bidi="zh-CN"/>
              </w:rPr>
              <w:t>新乡地区（个数）</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1"/>
                <w:szCs w:val="21"/>
                <w:lang w:val="en-US" w:eastAsia="zh-CN" w:bidi="zh-CN"/>
              </w:rPr>
            </w:pPr>
            <w:r>
              <w:rPr>
                <w:rFonts w:hint="eastAsia" w:ascii="宋体" w:hAnsi="宋体" w:eastAsia="宋体" w:cs="宋体"/>
                <w:b/>
                <w:bCs/>
                <w:snapToGrid/>
                <w:color w:val="000000"/>
                <w:spacing w:val="0"/>
                <w:w w:val="100"/>
                <w:kern w:val="2"/>
                <w:position w:val="0"/>
                <w:sz w:val="21"/>
                <w:szCs w:val="21"/>
                <w:lang w:val="en-US" w:eastAsia="zh-CN" w:bidi="zh-CN"/>
              </w:rPr>
              <w:t>其他地区（个数）</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1"/>
                <w:szCs w:val="21"/>
                <w:lang w:val="en-US" w:eastAsia="zh-CN" w:bidi="zh-CN"/>
              </w:rPr>
            </w:pPr>
            <w:r>
              <w:rPr>
                <w:rFonts w:hint="eastAsia" w:ascii="宋体" w:hAnsi="宋体" w:eastAsia="宋体" w:cs="宋体"/>
                <w:b/>
                <w:bCs/>
                <w:snapToGrid/>
                <w:color w:val="000000"/>
                <w:spacing w:val="0"/>
                <w:w w:val="100"/>
                <w:kern w:val="2"/>
                <w:position w:val="0"/>
                <w:sz w:val="21"/>
                <w:szCs w:val="21"/>
                <w:lang w:val="en-US" w:eastAsia="zh-CN" w:bidi="zh-CN"/>
              </w:rPr>
              <w:t>备注</w:t>
            </w:r>
          </w:p>
        </w:tc>
      </w:tr>
      <w:tr>
        <w:trPr>
          <w:trHeight w:val="703"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1"/>
                <w:szCs w:val="21"/>
                <w:lang w:val="en-US" w:eastAsia="zh-CN" w:bidi="zh-CN"/>
              </w:rPr>
            </w:pPr>
            <w:r>
              <w:rPr>
                <w:rFonts w:hint="eastAsia" w:ascii="宋体" w:hAnsi="宋体" w:eastAsia="宋体" w:cs="宋体"/>
                <w:snapToGrid/>
                <w:color w:val="000000"/>
                <w:spacing w:val="0"/>
                <w:w w:val="100"/>
                <w:kern w:val="2"/>
                <w:position w:val="0"/>
                <w:sz w:val="21"/>
                <w:szCs w:val="21"/>
                <w:lang w:val="en-US" w:eastAsia="zh-CN" w:bidi="zh-CN"/>
              </w:rPr>
              <w:t>1</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1"/>
                <w:szCs w:val="21"/>
                <w:lang w:val="en-US" w:eastAsia="zh-CN" w:bidi="zh-CN"/>
              </w:rPr>
            </w:pPr>
            <w:r>
              <w:rPr>
                <w:rFonts w:hint="eastAsia" w:ascii="宋体" w:hAnsi="宋体" w:eastAsia="宋体" w:cs="宋体"/>
                <w:snapToGrid/>
                <w:color w:val="000000"/>
                <w:spacing w:val="0"/>
                <w:w w:val="100"/>
                <w:kern w:val="2"/>
                <w:position w:val="0"/>
                <w:sz w:val="21"/>
                <w:szCs w:val="21"/>
                <w:lang w:val="en-US" w:eastAsia="zh-CN" w:bidi="zh-CN"/>
              </w:rPr>
              <w:t>61</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1"/>
                <w:szCs w:val="21"/>
                <w:lang w:val="en-US" w:eastAsia="zh-CN" w:bidi="zh-CN"/>
              </w:rPr>
            </w:pPr>
            <w:r>
              <w:rPr>
                <w:rFonts w:hint="eastAsia" w:ascii="宋体" w:hAnsi="宋体" w:eastAsia="宋体" w:cs="宋体"/>
                <w:snapToGrid/>
                <w:color w:val="000000"/>
                <w:spacing w:val="0"/>
                <w:w w:val="100"/>
                <w:kern w:val="2"/>
                <w:position w:val="0"/>
                <w:sz w:val="21"/>
                <w:szCs w:val="21"/>
                <w:lang w:val="en-US" w:eastAsia="zh-CN" w:bidi="zh-CN"/>
              </w:rPr>
              <w:t>5</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1"/>
                <w:szCs w:val="21"/>
                <w:lang w:val="en-US" w:eastAsia="zh-CN" w:bidi="zh-CN"/>
              </w:rPr>
            </w:pPr>
            <w:r>
              <w:rPr>
                <w:rFonts w:hint="eastAsia" w:ascii="宋体" w:hAnsi="宋体" w:eastAsia="宋体" w:cs="宋体"/>
                <w:snapToGrid/>
                <w:color w:val="000000"/>
                <w:spacing w:val="0"/>
                <w:w w:val="100"/>
                <w:kern w:val="2"/>
                <w:position w:val="0"/>
                <w:sz w:val="21"/>
                <w:szCs w:val="21"/>
                <w:lang w:val="en-US" w:eastAsia="zh-CN" w:bidi="zh-CN"/>
              </w:rPr>
              <w:t>56</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1"/>
                <w:szCs w:val="21"/>
                <w:lang w:val="en-US" w:eastAsia="zh-CN" w:bidi="zh-CN"/>
              </w:rPr>
            </w:pP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根据以上内容，河南省已实施源网荷储一体化项目第一批至第五批次，新乡市有8个项目申报建设，此间无获嘉县区域项目，市场拥有量为零。</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outlineLvl w:val="1"/>
        <w:rPr>
          <w:rFonts w:hint="eastAsia" w:ascii="宋体" w:hAnsi="宋体" w:eastAsia="宋体" w:cs="宋体"/>
          <w:b/>
          <w:bCs/>
          <w:sz w:val="28"/>
          <w:szCs w:val="28"/>
          <w:lang w:val="en-US" w:eastAsia="zh-CN"/>
        </w:rPr>
      </w:pPr>
      <w:bookmarkStart w:id="36" w:name="_Toc18825"/>
      <w:r>
        <w:rPr>
          <w:rFonts w:hint="eastAsia" w:ascii="宋体" w:hAnsi="宋体" w:eastAsia="宋体" w:cs="宋体"/>
          <w:b/>
          <w:bCs/>
          <w:sz w:val="28"/>
          <w:szCs w:val="28"/>
          <w:lang w:val="en-US" w:eastAsia="zh-CN"/>
        </w:rPr>
        <w:t>2.4 项目建设内容、规模及产出</w:t>
      </w:r>
      <w:bookmarkEnd w:id="36"/>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2.4.1 建设原则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项目定位：获嘉县产业集聚区中小企业创业孵化园源网荷储一体化项目定位为新能源综合开发利用项目。集光伏发电、储能调峰及源网荷储于一体，致力于解决企业用电贵的问题，为较大用电需求的企业提供绿色能源，推动获嘉县生态与经济协同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设计理念：利用源网荷储一体化的优势在孵化园区内工业厂房屋顶及闲置场地安装光伏发电设备并配备储能设备进行调峰。使有较大用电需求的企业用上绿色、稳定、便宜、可靠的电力能源，从而降低生产经营成本，从而促进“双碳”战略的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3、规划思路：通过在孵化园区内建设光伏电站及配套储能所产出的绿色电力能源，根据</w:t>
      </w:r>
      <w:r>
        <w:rPr>
          <w:rFonts w:hint="eastAsia" w:ascii="宋体" w:hAnsi="宋体" w:eastAsia="宋体" w:cs="宋体"/>
          <w:b w:val="false"/>
          <w:bCs w:val="false"/>
          <w:sz w:val="28"/>
          <w:szCs w:val="28"/>
          <w:lang w:val="en-US" w:eastAsia="zh-CN"/>
        </w:rPr>
        <w:t>项目建设地为核心点半径20公里内有较大用电需求的企业提供绿色新能源电力</w:t>
      </w:r>
      <w:r>
        <w:rPr>
          <w:rFonts w:hint="eastAsia" w:ascii="宋体" w:hAnsi="宋体" w:eastAsia="宋体" w:cs="宋体"/>
          <w:color w:val="auto"/>
          <w:sz w:val="28"/>
          <w:szCs w:val="28"/>
        </w:rPr>
        <w:t>，帮助用电企业降低生产经营成本。</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4、科学发展的原则，体现数字经济与传统产业融合，坚持可持续发展，注重土地集约利用。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5、高起点、高标准、高效益的原则，启动建设的各项工程一定要服从和服务于总体规划的要求，高起点设计，高标准施工，高效益回报，树精品意识，建样板工程，创一流环境。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6、效益优先的原则，平台建设要有艰苦奋斗的精神，本着少花钱、多办事、办好事的宗旨，精打细算用好每笔资金，集中投入，重点开发，以最小的投入换取最理想的产出。</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2.4.2 发展目标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1、近期目标（2024-2025）：架设光伏，安装储能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本项目近期主要完成光伏电站及储能电站的架设安装，为较大用电需求的企业供应绿色电力能源。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2、远期目标（2026-2036）：形成智能微电网，服务周边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提高发电量，在满足园区内部中小企业用电的同时，向项目周边中小企业开始蔓延，让周边企业也能够享受绿色的电力能源。</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2.4.3 建设内容、规模和产出方案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1、建筑工程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大成包装材料有限公司源网荷储一体化项目分为两期建设，需要在获嘉县产业集聚区创业孵化园区内工业厂房屋顶部署5956kW的分布式光伏发电系统，并配套安装20MW/40MWh用户侧储能设施（包含3MW充换点储能设备），安装5个600kW液冷光伏充电桩，同步实施园区其他相关配套工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为（一期）建设内容，需要在获嘉县产业集聚区创业孵化园区内工业厂房屋顶部署5956kW的分布式光伏发电系统，并配套安装8.5MW/17MWh用户侧储能设施（包含3MW充换点储能设备），安装5个600kW液冷光伏充电桩，同步实施园区其他相关配套工程，利用源网荷储模式为河南大成包装材料有限公司提供绿色电力能源供应；二期将建23MWh储能设施，与一期衔接提升能源调节与保障能力，助力园区能源优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2、光伏储能设备可占用屋顶及闲置空地面积</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项目规划利用获嘉县产业集聚区中小企业创业孵化园项目屋顶面积为31530.09m²，园区内可使用道路区域面积为12267.68m²，合计可使用面积为42807.95m²。房产及按照柔性光伏详细情况如下：</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815"/>
        <w:gridCol w:w="2850"/>
        <w:gridCol w:w="2820"/>
      </w:tblGrid>
      <w:tr>
        <w:trPr>
          <w:trHeight w:val="552" w:hRule="atLeast"/>
          <w:tblHeader/>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b/>
                <w:bCs/>
                <w:sz w:val="21"/>
                <w:szCs w:val="21"/>
              </w:rPr>
            </w:pPr>
            <w:r>
              <w:rPr>
                <w:rFonts w:ascii="宋体" w:hAnsi="宋体" w:eastAsia="宋体" w:cs="宋体"/>
                <w:b/>
                <w:bCs/>
                <w:i w:val="false"/>
                <w:strike w:val="false"/>
                <w:color w:val="000000"/>
                <w:spacing w:val="0"/>
                <w:sz w:val="21"/>
                <w:szCs w:val="21"/>
                <w:u w:val="none"/>
              </w:rPr>
              <w:t>序号</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b/>
                <w:bCs/>
                <w:sz w:val="21"/>
                <w:szCs w:val="21"/>
              </w:rPr>
            </w:pPr>
            <w:r>
              <w:rPr>
                <w:rFonts w:ascii="宋体" w:hAnsi="宋体" w:eastAsia="宋体" w:cs="宋体"/>
                <w:b/>
                <w:bCs/>
                <w:i w:val="false"/>
                <w:strike w:val="false"/>
                <w:color w:val="000000"/>
                <w:spacing w:val="0"/>
                <w:sz w:val="21"/>
                <w:szCs w:val="21"/>
                <w:u w:val="none"/>
              </w:rPr>
              <w:t>名称</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b/>
                <w:bCs/>
                <w:sz w:val="21"/>
                <w:szCs w:val="21"/>
              </w:rPr>
            </w:pPr>
            <w:r>
              <w:rPr>
                <w:rFonts w:ascii="宋体" w:hAnsi="宋体" w:eastAsia="宋体" w:cs="宋体"/>
                <w:b/>
                <w:bCs/>
                <w:i w:val="false"/>
                <w:strike w:val="false"/>
                <w:color w:val="000000"/>
                <w:spacing w:val="0"/>
                <w:sz w:val="21"/>
                <w:szCs w:val="21"/>
                <w:u w:val="none"/>
              </w:rPr>
              <w:t>基底面积(m²)</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b/>
                <w:bCs/>
                <w:sz w:val="21"/>
                <w:szCs w:val="21"/>
              </w:rPr>
            </w:pPr>
            <w:r>
              <w:rPr>
                <w:rFonts w:ascii="宋体" w:hAnsi="宋体" w:eastAsia="宋体" w:cs="宋体"/>
                <w:b/>
                <w:bCs/>
                <w:i w:val="false"/>
                <w:strike w:val="false"/>
                <w:color w:val="000000"/>
                <w:spacing w:val="0"/>
                <w:sz w:val="21"/>
                <w:szCs w:val="21"/>
                <w:u w:val="none"/>
              </w:rPr>
              <w:t>总建筑面积(²)</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sz w:val="21"/>
                <w:szCs w:val="21"/>
              </w:rPr>
            </w:pPr>
            <w:r>
              <w:rPr>
                <w:rFonts w:ascii="宋体" w:hAnsi="宋体" w:eastAsia="宋体" w:cs="宋体"/>
                <w:i w:val="false"/>
                <w:strike w:val="false"/>
                <w:color w:val="000000"/>
                <w:spacing w:val="0"/>
                <w:sz w:val="21"/>
                <w:szCs w:val="21"/>
                <w:u w:val="none"/>
              </w:rPr>
              <w:t>1</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vertAlign w:val="baseline"/>
              </w:rPr>
              <w:t>1#厂房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vertAlign w:val="baseline"/>
              </w:rPr>
              <w:t>2616.38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vertAlign w:val="baseline"/>
              </w:rPr>
              <w:t>5232.76</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sz w:val="21"/>
                <w:szCs w:val="21"/>
              </w:rPr>
            </w:pPr>
            <w:r>
              <w:rPr>
                <w:rFonts w:ascii="宋体" w:hAnsi="宋体" w:eastAsia="宋体" w:cs="宋体"/>
                <w:i w:val="false"/>
                <w:strike w:val="false"/>
                <w:color w:val="000000"/>
                <w:spacing w:val="0"/>
                <w:sz w:val="21"/>
                <w:szCs w:val="21"/>
                <w:u w:val="none"/>
              </w:rPr>
              <w:t>2</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vertAlign w:val="baseline"/>
              </w:rPr>
              <w:t>2#厂房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vertAlign w:val="baseline"/>
              </w:rPr>
              <w:t>3879.37</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vertAlign w:val="baseline"/>
              </w:rPr>
              <w:t>7758.74</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sz w:val="21"/>
                <w:szCs w:val="21"/>
              </w:rPr>
            </w:pPr>
            <w:r>
              <w:rPr>
                <w:rFonts w:ascii="宋体" w:hAnsi="宋体" w:eastAsia="宋体" w:cs="宋体"/>
                <w:i w:val="false"/>
                <w:strike w:val="false"/>
                <w:color w:val="000000"/>
                <w:spacing w:val="0"/>
                <w:sz w:val="21"/>
                <w:szCs w:val="21"/>
                <w:u w:val="none"/>
              </w:rPr>
              <w:t>3</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vertAlign w:val="baseline"/>
              </w:rPr>
              <w:t>5#厂房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vertAlign w:val="baseline"/>
              </w:rPr>
              <w:t>2890.38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vertAlign w:val="baseline"/>
              </w:rPr>
              <w:t>5780.76</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sz w:val="21"/>
                <w:szCs w:val="21"/>
              </w:rPr>
            </w:pPr>
            <w:r>
              <w:rPr>
                <w:rFonts w:ascii="宋体" w:hAnsi="宋体" w:eastAsia="宋体" w:cs="宋体"/>
                <w:i w:val="false"/>
                <w:strike w:val="false"/>
                <w:color w:val="000000"/>
                <w:spacing w:val="0"/>
                <w:sz w:val="21"/>
                <w:szCs w:val="21"/>
                <w:u w:val="none"/>
              </w:rPr>
              <w:t>4</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vertAlign w:val="baseline"/>
              </w:rPr>
              <w:t>6#厂房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vertAlign w:val="baseline"/>
              </w:rPr>
              <w:t>3399.42</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vertAlign w:val="baseline"/>
              </w:rPr>
              <w:t>6798.84</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sz w:val="21"/>
                <w:szCs w:val="21"/>
              </w:rPr>
            </w:pPr>
            <w:r>
              <w:rPr>
                <w:rFonts w:ascii="宋体" w:hAnsi="宋体" w:eastAsia="宋体" w:cs="宋体"/>
                <w:i w:val="false"/>
                <w:strike w:val="false"/>
                <w:color w:val="000000"/>
                <w:spacing w:val="0"/>
                <w:sz w:val="21"/>
                <w:szCs w:val="21"/>
                <w:u w:val="none"/>
              </w:rPr>
              <w:t>5</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vertAlign w:val="baseline"/>
              </w:rPr>
              <w:t>8#厂房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vertAlign w:val="baseline"/>
              </w:rPr>
              <w:t>2890.38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vertAlign w:val="baseline"/>
              </w:rPr>
              <w:t>5780.76</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sz w:val="21"/>
                <w:szCs w:val="21"/>
              </w:rPr>
            </w:pPr>
            <w:r>
              <w:rPr>
                <w:rFonts w:ascii="宋体" w:hAnsi="宋体" w:eastAsia="宋体" w:cs="宋体"/>
                <w:i w:val="false"/>
                <w:strike w:val="false"/>
                <w:color w:val="000000"/>
                <w:spacing w:val="0"/>
                <w:sz w:val="21"/>
                <w:szCs w:val="21"/>
                <w:u w:val="none"/>
              </w:rPr>
              <w:t>6</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vertAlign w:val="baseline"/>
              </w:rPr>
              <w:t>9#厂房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vertAlign w:val="baseline"/>
              </w:rPr>
              <w:t>2890.38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vertAlign w:val="baseline"/>
              </w:rPr>
              <w:t>5780.76</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sz w:val="21"/>
                <w:szCs w:val="21"/>
              </w:rPr>
            </w:pPr>
            <w:r>
              <w:rPr>
                <w:rFonts w:ascii="宋体" w:hAnsi="宋体" w:eastAsia="宋体" w:cs="宋体"/>
                <w:i w:val="false"/>
                <w:strike w:val="false"/>
                <w:color w:val="000000"/>
                <w:spacing w:val="0"/>
                <w:sz w:val="21"/>
                <w:szCs w:val="21"/>
                <w:u w:val="none"/>
              </w:rPr>
              <w:t>7</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vertAlign w:val="baseline"/>
              </w:rPr>
              <w:t>10#厂房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vertAlign w:val="baseline"/>
              </w:rPr>
              <w:t>4321.26</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vertAlign w:val="baseline"/>
              </w:rPr>
              <w:t>4321.26</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sz w:val="21"/>
                <w:szCs w:val="21"/>
              </w:rPr>
            </w:pPr>
            <w:r>
              <w:rPr>
                <w:rFonts w:ascii="宋体" w:hAnsi="宋体" w:eastAsia="宋体" w:cs="宋体"/>
                <w:i w:val="false"/>
                <w:strike w:val="false"/>
                <w:color w:val="000000"/>
                <w:spacing w:val="0"/>
                <w:sz w:val="21"/>
                <w:szCs w:val="21"/>
                <w:u w:val="none"/>
              </w:rPr>
              <w:t>8</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vertAlign w:val="baseline"/>
              </w:rPr>
              <w:t>11#厂房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vertAlign w:val="baseline"/>
              </w:rPr>
              <w:t>4321.26</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vertAlign w:val="baseline"/>
              </w:rPr>
              <w:t>4321.26</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sz w:val="21"/>
                <w:szCs w:val="21"/>
              </w:rPr>
            </w:pPr>
            <w:r>
              <w:rPr>
                <w:rFonts w:ascii="宋体" w:hAnsi="宋体" w:eastAsia="宋体" w:cs="宋体"/>
                <w:i w:val="false"/>
                <w:strike w:val="false"/>
                <w:color w:val="000000"/>
                <w:spacing w:val="0"/>
                <w:sz w:val="21"/>
                <w:szCs w:val="21"/>
                <w:u w:val="none"/>
              </w:rPr>
              <w:t>9</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vertAlign w:val="baseline"/>
              </w:rPr>
              <w:t>12#厂房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vertAlign w:val="baseline"/>
              </w:rPr>
              <w:t>4321.26</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vertAlign w:val="baseline"/>
              </w:rPr>
              <w:t>4321.26</w:t>
            </w:r>
          </w:p>
        </w:tc>
      </w:tr>
      <w:tr>
        <w:trPr>
          <w:trHeight w:val="420" w:hRule="atLeast"/>
        </w:trPr>
        <w:tc>
          <w:tcPr>
            <w:tcW w:w="2790" w:type="dxa"/>
            <w:gridSpan w:val="2"/>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sz w:val="21"/>
                <w:szCs w:val="21"/>
              </w:rPr>
            </w:pPr>
            <w:r>
              <w:rPr>
                <w:rFonts w:ascii="宋体" w:hAnsi="宋体" w:eastAsia="宋体" w:cs="宋体"/>
                <w:i w:val="false"/>
                <w:strike w:val="false"/>
                <w:color w:val="000000"/>
                <w:spacing w:val="0"/>
                <w:sz w:val="21"/>
                <w:szCs w:val="21"/>
                <w:u w:val="none"/>
              </w:rPr>
              <w:t>合计</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vertAlign w:val="baseline"/>
              </w:rPr>
              <w:t>31530.09</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vertAlign w:val="baseline"/>
              </w:rPr>
              <w:t>50096.4</w:t>
            </w:r>
          </w:p>
        </w:tc>
      </w:tr>
      <w:tr>
        <w:trPr>
          <w:trHeight w:val="420" w:hRule="atLeast"/>
        </w:trPr>
        <w:tc>
          <w:tcPr>
            <w:tcW w:w="2790" w:type="dxa"/>
            <w:gridSpan w:val="2"/>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sz w:val="21"/>
                <w:szCs w:val="21"/>
              </w:rPr>
            </w:pPr>
            <w:r>
              <w:rPr>
                <w:rFonts w:ascii="宋体" w:hAnsi="宋体" w:eastAsia="宋体" w:cs="宋体"/>
                <w:i w:val="false"/>
                <w:strike w:val="false"/>
                <w:color w:val="000000"/>
                <w:spacing w:val="0"/>
                <w:sz w:val="21"/>
                <w:szCs w:val="21"/>
                <w:u w:val="none"/>
              </w:rPr>
              <w:t>可使用空闲区域占用面积</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vertAlign w:val="baseline"/>
              </w:rPr>
              <w:t>12267.68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sz w:val="21"/>
                <w:szCs w:val="21"/>
              </w:rPr>
            </w:pPr>
          </w:p>
        </w:tc>
      </w:tr>
      <w:tr>
        <w:trPr>
          <w:trHeight w:val="420" w:hRule="atLeast"/>
        </w:trPr>
        <w:tc>
          <w:tcPr>
            <w:tcW w:w="2790" w:type="dxa"/>
            <w:gridSpan w:val="2"/>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sz w:val="21"/>
                <w:szCs w:val="21"/>
              </w:rPr>
            </w:pPr>
            <w:r>
              <w:rPr>
                <w:rFonts w:ascii="宋体" w:hAnsi="宋体" w:eastAsia="宋体" w:cs="宋体"/>
                <w:i w:val="false"/>
                <w:strike w:val="false"/>
                <w:color w:val="000000"/>
                <w:spacing w:val="0"/>
                <w:sz w:val="21"/>
                <w:szCs w:val="21"/>
                <w:u w:val="none"/>
              </w:rPr>
              <w:t>共合计</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vertAlign w:val="baseline"/>
              </w:rPr>
              <w:t>42807.95</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rPr>
                <w:sz w:val="21"/>
                <w:szCs w:val="21"/>
              </w:rPr>
            </w:pPr>
          </w:p>
        </w:tc>
      </w:tr>
    </w:tbl>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37" w:name="_Toc3599"/>
      <w:r>
        <w:rPr>
          <w:rFonts w:hint="eastAsia" w:ascii="宋体" w:hAnsi="宋体" w:eastAsia="宋体" w:cs="宋体"/>
          <w:b/>
          <w:bCs/>
          <w:sz w:val="28"/>
          <w:szCs w:val="28"/>
          <w:lang w:val="en-US" w:eastAsia="zh-CN"/>
        </w:rPr>
        <w:t>2.5 项目商业模式</w:t>
      </w:r>
      <w:bookmarkEnd w:id="37"/>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2.5.1 商业可行性分析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拥有卓越的商业可行性。基于源网荷储一体化模式，根据项目周边半径20公里内单个用电需求较大的企业。依据企业确切的用电规模来铺设光伏发电装置，充分利用当地充沛的太阳能资源，为企业提供清洁电能。而储能利用峰谷电价差，在用电低谷时段，从国网购入低价电储存起来，此时段电价成本优势显著；待企业进入用电高峰，储能装置即时放电，满足企业激增的用电需求，有效平抑高峰用电压力，确保供电稳定不间断。相较于国网高峰电价，项目以更低价格向企业供电，为企业的生产经营成本减负，极大提升企业竞争力，企业自然乐于合作。项目借此稳定的供需关系保障收益，随着运营成熟，成本可控下降，盈利逐步上扬，商业前景一片光明，有望成为区域能源供应的创新典范。</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2.5.2 融资可行性分析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政策方面，国家层面大力推动能源结构调整与绿色发展，积极鼓励源网荷储一体化建设，为项目指明了方向并营造了宏观政策环境。河南省印发的《河南省加快推进源网荷储一体化实施方案》，明确了项目实施范围、重点任务及保障措施，给予项目清晰的指引和潜在的政策支持。同时，当地政府也可能会出台配套的补贴、税收优惠、专项基金等具体政策，如对新能源发电设施建设给予资金补贴，对项目运营过程中的税费进行减免，设立专门针对源网荷储项目的发展基金等，这些举措将直接降低项目的投资成本与运营风险，增强项目在金融市场的吸引力，使金融机构和投资者基于政策稳定性和优惠力度，更愿意为项目提供融资，提高项目的融资可得性与资金规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现金流方面，直供企业用电需求较大，构成了坚实的现金流基础。项目建成后，通过采用直供的方式向用电企业提供绿色电力输出，结合峰谷电价差利用储能设施套利，以及参与电力辅助服务市场获取收益等多元途径，能够产生稳定、可预测且持续增长的现金流。例如，在用电低谷期储存国网低价电能，在高峰期释放高价卖出，额外赚取差价收益；通过为电网提供调频、调压等辅助服务，获得服务费用。这些稳定的收入流为项目偿还融资贷款本息、维持日常运营以及实现盈利提供了可靠保障，向融资方展示了项目良好的财务可持续性和偿债能力，从而提升项目融资的成功率与融资额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需求供给方面，企业对电力的稳定、可靠、优质供应存在刚性需求，而源网荷储一体化项目能够精准匹配这一需求。项目利用清洁能源发电，结合智能电网调配和储能调节，实现电力的稳定生产与灵活供给，有效应对企业生产过程中的电力需求波动，确保电力供应的及时性与适配性。无论是生产高峰期的高电量需求，还是应对突发停电状况的应急供电，项目都能通过自身的源网荷储系统实现高效保障。这种紧密契合的供需关系，使得项目的电力销售具备高度的稳定性与市场竞争力，为融资提供了稳固的商业逻辑支撑，使投资者相信项目的盈利前景，进而愿意为项目建设与运营提供资金支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市场拥有量方面，获嘉县乃至周边地区能源市场正处于快速发展与变革期，对清洁能源及源网荷储一体化项目的需求日益旺盛。随着区域经济发展、产业升级以及环保意识的增强，用电负荷持续攀升，清洁能源的市场接纳度不断提高。本项目不仅能够“一对一”的满足企业的用电需求，还具备向周边区域拓展市场的潜力，通过扩大电力销售范围和服务领域，增加发电设备，提高电量产出，进一步提升项目的收入水平与市场份额。广阔的市场前景预示着项目具备良好的盈利潜力与长期发展空间，在融资过程中能够向投资者充分展示项目的优势与价值，吸引包括银行贷款、产业投资基金、社会资本等多种渠道的资金流入，为项目的全方位发展提供充足的资金保障，有力推动项目落地实施并达成预期的经济、社会与环境效益，助力获嘉县产业集聚区实现绿色低碳转型与可持续发展。</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2.5.3 项目商业模式创新和综合开发情况分析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ascii="宋体" w:hAnsi="宋体" w:eastAsia="宋体" w:cs="宋体"/>
          <w:i w:val="false"/>
          <w:strike w:val="false"/>
          <w:color w:val="000000"/>
          <w:spacing w:val="0"/>
          <w:sz w:val="28"/>
          <w:u w:val="none"/>
          <w:vertAlign w:val="baseline"/>
        </w:rPr>
      </w:pPr>
      <w:r>
        <w:rPr>
          <w:rFonts w:ascii="宋体" w:hAnsi="宋体" w:eastAsia="宋体" w:cs="宋体"/>
          <w:i w:val="false"/>
          <w:strike w:val="false"/>
          <w:color w:val="000000"/>
          <w:spacing w:val="0"/>
          <w:sz w:val="28"/>
          <w:u w:val="none"/>
          <w:vertAlign w:val="baseline"/>
        </w:rPr>
        <w:t>获嘉县产业集聚区创业孵化园有限公司在源网荷储项目中创新采用合同能源管理模式。获嘉县产业集聚区创业孵化园有限公司负责筹资建设光伏、储能等相关设施，与</w:t>
      </w:r>
      <w:r>
        <w:rPr>
          <w:rFonts w:hint="eastAsia" w:ascii="宋体" w:hAnsi="宋体" w:eastAsia="宋体" w:cs="宋体"/>
          <w:i w:val="false"/>
          <w:strike w:val="false"/>
          <w:color w:val="000000"/>
          <w:spacing w:val="0"/>
          <w:sz w:val="28"/>
          <w:u w:val="none"/>
          <w:vertAlign w:val="baseline"/>
        </w:rPr>
        <w:t>河南大成包装材料有限公司</w:t>
      </w:r>
      <w:r>
        <w:rPr>
          <w:rFonts w:ascii="宋体" w:hAnsi="宋体" w:eastAsia="宋体" w:cs="宋体"/>
          <w:i w:val="false"/>
          <w:strike w:val="false"/>
          <w:color w:val="000000"/>
          <w:spacing w:val="0"/>
          <w:sz w:val="28"/>
          <w:u w:val="none"/>
          <w:vertAlign w:val="baseline"/>
        </w:rPr>
        <w:t>签订合同，在合同期内，通过源网荷储模式为其提供电力。在运营过程中，公司精准监测和分析</w:t>
      </w:r>
      <w:r>
        <w:rPr>
          <w:rFonts w:hint="eastAsia" w:ascii="宋体" w:hAnsi="宋体" w:eastAsia="宋体" w:cs="宋体"/>
          <w:i w:val="false"/>
          <w:strike w:val="false"/>
          <w:color w:val="000000"/>
          <w:spacing w:val="0"/>
          <w:sz w:val="28"/>
          <w:u w:val="none"/>
          <w:vertAlign w:val="baseline"/>
          <w:lang w:val="en-US" w:eastAsia="zh-CN"/>
        </w:rPr>
        <w:t>大成包装</w:t>
      </w:r>
      <w:r>
        <w:rPr>
          <w:rFonts w:ascii="宋体" w:hAnsi="宋体" w:eastAsia="宋体" w:cs="宋体"/>
          <w:i w:val="false"/>
          <w:strike w:val="false"/>
          <w:color w:val="000000"/>
          <w:spacing w:val="0"/>
          <w:sz w:val="28"/>
          <w:u w:val="none"/>
          <w:vertAlign w:val="baseline"/>
        </w:rPr>
        <w:t>的用电数据，利用光伏发电和储能系统的协同运作，满足其用电需求并降低用电成本。</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ascii="宋体" w:hAnsi="宋体" w:eastAsia="宋体" w:cs="宋体"/>
          <w:i w:val="false"/>
          <w:strike w:val="false"/>
          <w:color w:val="000000"/>
          <w:spacing w:val="0"/>
          <w:sz w:val="28"/>
          <w:u w:val="none"/>
          <w:vertAlign w:val="baseline"/>
        </w:rPr>
      </w:pPr>
      <w:r>
        <w:rPr>
          <w:rFonts w:ascii="宋体" w:hAnsi="宋体" w:eastAsia="宋体" w:cs="宋体"/>
          <w:i w:val="false"/>
          <w:strike w:val="false"/>
          <w:color w:val="000000"/>
          <w:spacing w:val="0"/>
          <w:sz w:val="28"/>
          <w:u w:val="none"/>
          <w:vertAlign w:val="baseline"/>
        </w:rPr>
        <w:t>在综合开发层面，项目综合开发采用</w:t>
      </w:r>
      <w:r>
        <w:rPr>
          <w:rFonts w:ascii="宋体" w:hAnsi="宋体" w:eastAsia="宋体" w:cs="宋体"/>
          <w:b/>
          <w:i w:val="false"/>
          <w:strike w:val="false"/>
          <w:color w:val="000000"/>
          <w:spacing w:val="0"/>
          <w:sz w:val="28"/>
          <w:u w:val="none"/>
          <w:vertAlign w:val="baseline"/>
        </w:rPr>
        <w:t>光伏+储能+光储充</w:t>
      </w:r>
      <w:r>
        <w:rPr>
          <w:rFonts w:hint="eastAsia" w:ascii="宋体" w:hAnsi="宋体" w:eastAsia="宋体" w:cs="宋体"/>
          <w:b/>
          <w:i w:val="false"/>
          <w:strike w:val="false"/>
          <w:color w:val="000000"/>
          <w:spacing w:val="0"/>
          <w:sz w:val="28"/>
          <w:u w:val="none"/>
          <w:vertAlign w:val="baseline"/>
        </w:rPr>
        <w:t>换电</w:t>
      </w:r>
      <w:r>
        <w:rPr>
          <w:rFonts w:ascii="宋体" w:hAnsi="宋体" w:eastAsia="宋体" w:cs="宋体"/>
          <w:b/>
          <w:i w:val="false"/>
          <w:strike w:val="false"/>
          <w:color w:val="000000"/>
          <w:spacing w:val="0"/>
          <w:sz w:val="28"/>
          <w:u w:val="none"/>
          <w:vertAlign w:val="baseline"/>
        </w:rPr>
        <w:t>相结合的方式</w:t>
      </w:r>
      <w:r>
        <w:rPr>
          <w:rFonts w:ascii="宋体" w:hAnsi="宋体" w:eastAsia="宋体" w:cs="宋体"/>
          <w:i w:val="false"/>
          <w:strike w:val="false"/>
          <w:color w:val="000000"/>
          <w:spacing w:val="0"/>
          <w:sz w:val="28"/>
          <w:u w:val="none"/>
          <w:vertAlign w:val="baseline"/>
        </w:rPr>
        <w:t>。以光伏发电为基础，将太阳能转化为电能，除直接供给</w:t>
      </w:r>
      <w:r>
        <w:rPr>
          <w:rFonts w:hint="eastAsia" w:ascii="宋体" w:hAnsi="宋体" w:eastAsia="宋体" w:cs="宋体"/>
          <w:i w:val="false"/>
          <w:strike w:val="false"/>
          <w:color w:val="000000"/>
          <w:spacing w:val="0"/>
          <w:sz w:val="28"/>
          <w:u w:val="none"/>
          <w:vertAlign w:val="baseline"/>
        </w:rPr>
        <w:t>大成包装企业</w:t>
      </w:r>
      <w:r>
        <w:rPr>
          <w:rFonts w:ascii="宋体" w:hAnsi="宋体" w:eastAsia="宋体" w:cs="宋体"/>
          <w:i w:val="false"/>
          <w:strike w:val="false"/>
          <w:color w:val="000000"/>
          <w:spacing w:val="0"/>
          <w:sz w:val="28"/>
          <w:u w:val="none"/>
          <w:vertAlign w:val="baseline"/>
        </w:rPr>
        <w:t>使用外，还为</w:t>
      </w:r>
      <w:r>
        <w:rPr>
          <w:rFonts w:hint="eastAsia" w:ascii="宋体" w:hAnsi="宋体" w:eastAsia="宋体" w:cs="宋体"/>
          <w:i w:val="false"/>
          <w:strike w:val="false"/>
          <w:color w:val="000000"/>
          <w:spacing w:val="0"/>
          <w:sz w:val="28"/>
          <w:u w:val="none"/>
          <w:vertAlign w:val="baseline"/>
        </w:rPr>
        <w:t>充电桩供电</w:t>
      </w:r>
      <w:r>
        <w:rPr>
          <w:rFonts w:ascii="宋体" w:hAnsi="宋体" w:eastAsia="宋体" w:cs="宋体"/>
          <w:i w:val="false"/>
          <w:strike w:val="false"/>
          <w:color w:val="000000"/>
          <w:spacing w:val="0"/>
          <w:sz w:val="28"/>
          <w:u w:val="none"/>
          <w:vertAlign w:val="baseline"/>
        </w:rPr>
        <w:t>。</w:t>
      </w:r>
      <w:r>
        <w:rPr>
          <w:rFonts w:hint="eastAsia" w:ascii="宋体" w:hAnsi="宋体" w:eastAsia="宋体" w:cs="宋体"/>
          <w:i w:val="false"/>
          <w:strike w:val="false"/>
          <w:color w:val="000000"/>
          <w:spacing w:val="0"/>
          <w:sz w:val="28"/>
          <w:u w:val="none"/>
          <w:vertAlign w:val="baseline"/>
        </w:rPr>
        <w:t>项目</w:t>
      </w:r>
      <w:r>
        <w:rPr>
          <w:rFonts w:ascii="宋体" w:hAnsi="宋体" w:eastAsia="宋体" w:cs="宋体"/>
          <w:i w:val="false"/>
          <w:strike w:val="false"/>
          <w:color w:val="000000"/>
          <w:spacing w:val="0"/>
          <w:sz w:val="28"/>
          <w:u w:val="none"/>
          <w:vertAlign w:val="baseline"/>
        </w:rPr>
        <w:t>储能系统发挥“削峰填谷”作用，在电力低谷时储存电能，在高峰时段释放电能，平抑电价波动，保障对</w:t>
      </w:r>
      <w:r>
        <w:rPr>
          <w:rFonts w:hint="eastAsia" w:ascii="宋体" w:hAnsi="宋体" w:eastAsia="宋体" w:cs="宋体"/>
          <w:i w:val="false"/>
          <w:strike w:val="false"/>
          <w:color w:val="000000"/>
          <w:spacing w:val="0"/>
          <w:sz w:val="28"/>
          <w:u w:val="none"/>
          <w:vertAlign w:val="baseline"/>
          <w:lang w:val="en-US" w:eastAsia="zh-CN"/>
        </w:rPr>
        <w:t>大成包装</w:t>
      </w:r>
      <w:r>
        <w:rPr>
          <w:rFonts w:ascii="宋体" w:hAnsi="宋体" w:eastAsia="宋体" w:cs="宋体"/>
          <w:i w:val="false"/>
          <w:strike w:val="false"/>
          <w:color w:val="000000"/>
          <w:spacing w:val="0"/>
          <w:sz w:val="28"/>
          <w:u w:val="none"/>
          <w:vertAlign w:val="baseline"/>
        </w:rPr>
        <w:t>的电力稳定供应，降低其用电成本。光储充电桩的设置则进一步拓展了项目的应用场景，一方面满足了</w:t>
      </w:r>
      <w:r>
        <w:rPr>
          <w:rFonts w:hint="eastAsia" w:ascii="宋体" w:hAnsi="宋体" w:eastAsia="宋体" w:cs="宋体"/>
          <w:i w:val="false"/>
          <w:strike w:val="false"/>
          <w:color w:val="000000"/>
          <w:spacing w:val="0"/>
          <w:sz w:val="28"/>
          <w:u w:val="none"/>
          <w:vertAlign w:val="baseline"/>
          <w:lang w:val="en-US" w:eastAsia="zh-CN"/>
        </w:rPr>
        <w:t>大成包装</w:t>
      </w:r>
      <w:r>
        <w:rPr>
          <w:rFonts w:ascii="宋体" w:hAnsi="宋体" w:eastAsia="宋体" w:cs="宋体"/>
          <w:i w:val="false"/>
          <w:strike w:val="false"/>
          <w:color w:val="000000"/>
          <w:spacing w:val="0"/>
          <w:sz w:val="28"/>
          <w:u w:val="none"/>
          <w:vertAlign w:val="baseline"/>
        </w:rPr>
        <w:t>内部及来访人员的新能源汽车充电需求，通过这种综合开发方式，形成了一个高效、循环的能源生态系统，不仅保障了企业的能源供应，还拓展了项目的盈利渠道，提升了项目整体的市场竞争力与可持续发展能力。</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2.5.4 招商策略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z w:val="28"/>
          <w:szCs w:val="28"/>
        </w:rPr>
      </w:pPr>
      <w:r>
        <w:rPr>
          <w:rFonts w:hint="eastAsia" w:ascii="宋体" w:hAnsi="宋体" w:eastAsia="宋体" w:cs="宋体"/>
          <w:snapToGrid/>
          <w:color w:val="auto"/>
          <w:spacing w:val="0"/>
          <w:w w:val="100"/>
          <w:kern w:val="2"/>
          <w:position w:val="0"/>
          <w:sz w:val="28"/>
          <w:szCs w:val="28"/>
          <w:lang w:val="en-US" w:eastAsia="zh-CN" w:bidi="zh-CN"/>
        </w:rPr>
        <w:t>本项目的招商策略围绕绿色电力的销售与推广展开，旨在构建一个稳定且可持续发展的市场体系。我们凭借源网荷储一体化项目所生产的绿色电力，为企业提供清洁、稳定且价格合理的电力解决方案。通过与企业建立紧密的合作关系，深入了解其用电需求和负荷特性，制定个性化的电力供应套餐，不仅助力其降低用电成本，还能提升企业的绿色形象，增强其市场竞争力。在满足企业用电后，我们将目光投向周边企业，利用项目优越的地理位置和完善的电力输送网络，积极拓展外部市场。针对周边企业的用电特点和需求，开展精准营销，宣传绿色电力的优势和可靠性，通过合理的定价策略和优质的服务，吸引周边企业加入，从而提高电力的利用率和项目的整体收益。同时，我们将不断优化电力生产和供应流程，加强储能设施的管理与调配，确保在不同时段和用电需求下，都能为客户提供高质量的电力供应，逐步树立项目在绿色电力市场中的良好口碑和品牌形象，吸引更多企业参与到我们的绿色电力生态系统中，实现项目与客户的互利共赢和共同发展。</w:t>
      </w:r>
    </w:p>
    <w:p>
      <w:pPr>
        <w:snapToGrid w:val="false"/>
        <w:spacing w:before="0" w:after="0" w:line="240" w:lineRule="auto"/>
        <w:ind w:left="0" w:right="0"/>
        <w:jc w:val="left"/>
        <w:rPr/>
      </w:pPr>
    </w:p>
    <w:p>
      <w:pPr>
        <w:rPr>
          <w:rFonts w:ascii="宋体" w:hAnsi="宋体" w:eastAsia="宋体" w:cs="宋体"/>
          <w:b/>
          <w:i w:val="false"/>
          <w:strike w:val="false"/>
          <w:color w:val="000000"/>
          <w:spacing w:val="0"/>
          <w:sz w:val="36"/>
          <w:u w:val="none"/>
          <w:vertAlign w:val="baseline"/>
        </w:rPr>
      </w:pPr>
      <w:r>
        <w:rPr>
          <w:rFonts w:ascii="宋体" w:hAnsi="宋体" w:eastAsia="宋体" w:cs="宋体"/>
          <w:b/>
          <w:i w:val="false"/>
          <w:strike w:val="false"/>
          <w:color w:val="000000"/>
          <w:spacing w:val="0"/>
          <w:sz w:val="36"/>
          <w:u w:val="none"/>
          <w:vertAlign w:val="baseline"/>
        </w:rPr>
        <w:br w:type="page"/>
      </w:r>
    </w:p>
    <w:p>
      <w:pPr>
        <w:keepNext w:val="false"/>
        <w:keepLines w:val="false"/>
        <w:pageBreakBefore w:val="false"/>
        <w:widowControl w:val="false"/>
        <w:kinsoku/>
        <w:wordWrap/>
        <w:overflowPunct/>
        <w:topLinePunct/>
        <w:autoSpaceDE w:val="false"/>
        <w:autoSpaceDN/>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lang w:val="en-US" w:eastAsia="zh-CN"/>
        </w:rPr>
      </w:pPr>
      <w:bookmarkStart w:id="38" w:name="_Toc15267"/>
      <w:bookmarkStart w:id="39" w:name="_Toc27047"/>
      <w:r>
        <w:rPr>
          <w:rFonts w:hint="eastAsia" w:ascii="宋体" w:hAnsi="宋体" w:eastAsia="宋体" w:cs="宋体"/>
          <w:b/>
          <w:bCs/>
          <w:sz w:val="36"/>
          <w:szCs w:val="36"/>
          <w:lang w:val="en-US" w:eastAsia="zh-CN"/>
        </w:rPr>
        <w:t>第三章 项目选址与要素保障</w:t>
      </w:r>
      <w:bookmarkEnd w:id="38"/>
      <w:bookmarkEnd w:id="39"/>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40" w:name="_Toc26467"/>
      <w:bookmarkStart w:id="41" w:name="_Toc12886"/>
      <w:r>
        <w:rPr>
          <w:rFonts w:hint="eastAsia" w:ascii="宋体" w:hAnsi="宋体" w:eastAsia="宋体" w:cs="宋体"/>
          <w:b/>
          <w:bCs/>
          <w:sz w:val="28"/>
          <w:szCs w:val="28"/>
          <w:lang w:val="en-US" w:eastAsia="zh-CN"/>
        </w:rPr>
        <w:t>3.1 项目地址</w:t>
      </w:r>
      <w:bookmarkEnd w:id="40"/>
      <w:bookmarkEnd w:id="41"/>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本项目地址位于新乡市获嘉县</w:t>
      </w:r>
      <w:r>
        <w:rPr>
          <w:rFonts w:ascii="宋体" w:hAnsi="宋体" w:eastAsia="宋体" w:cs="宋体"/>
          <w:i w:val="false"/>
          <w:strike w:val="false"/>
          <w:spacing w:val="0"/>
          <w:sz w:val="28"/>
          <w:u w:val="none"/>
        </w:rPr>
        <w:t>先进制造业开发区梧桐路与安王公路交叉口东南角</w:t>
      </w:r>
      <w:r>
        <w:rPr>
          <w:rFonts w:hint="eastAsia" w:ascii="宋体" w:hAnsi="宋体" w:eastAsia="宋体" w:cs="宋体"/>
          <w:snapToGrid/>
          <w:color w:val="auto"/>
          <w:spacing w:val="0"/>
          <w:w w:val="100"/>
          <w:kern w:val="2"/>
          <w:position w:val="0"/>
          <w:sz w:val="28"/>
          <w:szCs w:val="28"/>
          <w:lang w:val="en-US" w:eastAsia="zh-CN" w:bidi="zh-CN"/>
        </w:rPr>
        <w:t>。项目周边规划有完善的给排水、供电、通讯等配套基础设施，能够满足项目建设及运营期的需要。项目区处于产业园内，且产业园内基本实现了“水、电、路、通讯”四通一平，土地价值升值潜力大。项目区域远离光污染地带、周边500m范围内无强辐射，更无污水处理厂垃圾处理等恶臭场所，项目区地势平坦、阳光充足、自然条件良好，适宜本项目的开发建设。</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42" w:name="_Toc7467"/>
      <w:bookmarkStart w:id="43" w:name="_Toc282"/>
      <w:r>
        <w:rPr>
          <w:rFonts w:hint="eastAsia" w:ascii="宋体" w:hAnsi="宋体" w:eastAsia="宋体" w:cs="宋体"/>
          <w:b/>
          <w:bCs/>
          <w:sz w:val="28"/>
          <w:szCs w:val="28"/>
          <w:lang w:val="en-US" w:eastAsia="zh-CN"/>
        </w:rPr>
        <w:t>3.2 项目建设条件</w:t>
      </w:r>
      <w:bookmarkEnd w:id="42"/>
      <w:bookmarkEnd w:id="43"/>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3.2.1 拟建项目所在区域的自然条件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1、地理位置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新乡市地处中原腹地，河南省北部，地理坐标为东经113°23′～115°01′，北纬34°53′～35°50′，中心位于北纬35°18′，东经113°54′，南临黄河，与郑州市、开封市隔河相望；北依太行，与鹤壁市、安阳市毗邻；西连太极故里焦作市，与晋东南接壤；东接油城濮阳市与鲁西相连，总面积8249平方公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获嘉县位于河南省新乡市西部，东连新乡县，南接原阳县，西邻武陟县、修武县，北与辉县市隔大沙河相望。获嘉县总面积为473.15平方公里，人口约40万。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2、地形、地貌</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位于河南省北部，新乡市西部，北依太行山，南临黄河，地理位置优越，交通便利。县域面积为473平方公里，地势平坦，南北环山，内居平川，海拔在1356米，平均海拔357米左右，农业区平均海拔58790米左右。获嘉县的地形主要是平原，拥有丰富的农业资源，土壤肥沃，气候适宜，是重要的产粮区，同时也是国家优质粮食产业化开发示范县。</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根据《建筑抗震设计规范》（GB50011-2010，2016年版），本工程所在地抗震设防基本烈度为小于6度区，场地抗震设防烈度为6度，设计基本加速度值为0.05g，设计地震分组为第一组。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4、水文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位于河南省北部，属于暖温带大陆性季风气候，其年均无霜期为221.2天，年均降雨量为557.2毫米。该县地处黄河、海河两大流域，境内有多条河流，包括大狮涝河、共产主义渠、大沙河、西孟姜女河、人民胜利渠和武嘉干渠，均由西南向东北流经获嘉县。此外，“南水北调”中线工程紧邻县境，引黄工程完善，因此水资源相对充沛，获嘉县的地下水埋藏较浅，主要由降水入渗和黄河侧渗补充，当前的埋深一般为4—5米。潜水以蒸发为主要排泄方式，水质优良，矿化度小于1克/升，水化学类型是HCO3—Na9K型。水源主要来自地下水、天然渠、文岩渠及地表径流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5、气象</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位于河南省新乡市西部，属于暖温带大陆性季风气候，四季分明，冬寒夏热，秋凉春早，历年平均气温14.6℃，年均无霜期约为221.2天，年均降雨量为557.2毫米，年均降雪日为14.1天，年均日照时数为2058.4小时。7月最热，平均27.3°C；1月最冷，平均0.2°C。从气候条件来看，获嘉县的气候条件有利于农业种植，同时也为居民提供了舒适的生活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6、地震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根据《建筑抗震设施规范》(GB50011-2001)划分，该区域为8度地震烈度区，设计基本地震加速度值为0.2g。</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7、工程地质评价及建议</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拟建项目区未发现诸如岩溶、滑坡、崩塌、塌陷、采空区、地面沉降、地裂等不良地质作用；也未发现影响地基稳定性的古河道、沟浜、孤石及其他人工地下设施等对工程有不利影响的埋藏物。拟建项目区域地层分布连续稳定，承载力高，工程地质条件较好，能够满足项目建设要求。</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3.2.2 交通运输条件</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位于河南省新乡市西部，地理位置优越，交通便利。境内有京广铁路、新焦铁路、菏宝高速贯通，是晋煤外运、南太行旅游的重要通道。南距郑州国际机场80公里、东距京港澳高速20公里，京广铁路、新焦铁路、菏宝高速贯通全境。</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3.2.3 公用工程条件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1、给水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本项目水源为市政自来水，项目区规划周边敷设有市政自来水管网，水量充足，能满足项目用水需要。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2、排水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本项目采用雨、污水分流排放。项目区规划周边敷设有市政雨、污水管网，污水经收集后排入化粪池，之后排入市政污水管网。</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3、供电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区用电涉及二级负荷，为满足二级负荷供电要求，计划从市政的高压站引入二路10KV电源，具体接入点应有上级电力主管部门确定。由建设单位进一步落实，园区内基础设施已布置完成，周边可满足项目的高压电源引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4、燃气</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本项目所需燃气引自市政燃气管网。</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5、通信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城市通讯电缆由周边现有市政道路引入。</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3.2.4 施工条件及公共服务条件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1、建筑材料、设备与劳动力供应条件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程的建设需要大量的建筑材料，例如钢材、水泥、沥青、碎石、砂、石灰以及各类市政管道等。这些材料在获嘉县供应非常丰富，通过正常的市场采购很容易得到满足。工程施工相关的机械设备均为通用设备，各专业工程均有成熟的施工工艺，相关劳动力的市场供应也非常充足。因此工程实施的物资供应条件比较充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2、燃料和动力供应条件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项目施工主要机械燃料分为汽油、柴油，以及新能源电力，本项目施工地点在县区周边，施工机械所需燃料在市区附近就能够得到补充。燃料及动力供应条件充足。</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44" w:name="_Toc28200"/>
      <w:bookmarkStart w:id="45" w:name="_Toc10443"/>
      <w:r>
        <w:rPr>
          <w:rFonts w:hint="eastAsia" w:ascii="宋体" w:hAnsi="宋体" w:eastAsia="宋体" w:cs="宋体"/>
          <w:b/>
          <w:bCs/>
          <w:sz w:val="28"/>
          <w:szCs w:val="28"/>
          <w:lang w:val="en-US" w:eastAsia="zh-CN"/>
        </w:rPr>
        <w:t>3.3 要素保障分析</w:t>
      </w:r>
      <w:bookmarkEnd w:id="44"/>
      <w:bookmarkEnd w:id="45"/>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3.3.1 土地要素保障和规划审批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ascii="宋体" w:hAnsi="宋体" w:eastAsia="宋体" w:cs="宋体"/>
          <w:i w:val="false"/>
          <w:strike w:val="false"/>
          <w:spacing w:val="0"/>
          <w:sz w:val="28"/>
          <w:u w:val="none"/>
        </w:rPr>
        <w:t>本项目将光伏及储能设备安装于已建设的土地上，充分利用现有土地资源，无需额外占用新土地，因此，在土地要素保障方面无需进行额外的审批流程</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3.3.2 资源环境要素保障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1、该项目所在地处于县区周边，市政生活用水保障充足。项目运营后所需水资源能够得到保障。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2、该项目建设涉及少量的施工粉尘，经过施工保护措施，可以基本消除对大气环境的影响。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3、该项目施工全部在既有建筑土地上进行，不涉及森林、草皮等植被破坏，生态承载能力及保障条件充分。</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4、该项目运营后由自身光伏供电及国网供电，当地电网供电充足，涉及碳排放强度和污染减排指标控制要求。</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3.3.3 保障指标分析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位于河南省新乡市获嘉县，项目所处区位交通良好，自然条件优越，区域内的供水、供电、通讯、原材料、人力等各项基础设施完善，为该项目的建设提供了充分保障，项目建于此有很大优势，便于项目的推广和运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color w:val="auto"/>
          <w:spacing w:val="0"/>
          <w:w w:val="100"/>
          <w:kern w:val="2"/>
          <w:position w:val="0"/>
          <w:sz w:val="28"/>
          <w:szCs w:val="28"/>
          <w:lang w:val="en-US" w:eastAsia="zh-CN" w:bidi="ar-SA"/>
        </w:rPr>
      </w:pPr>
      <w:r>
        <w:rPr>
          <w:rFonts w:hint="eastAsia" w:ascii="宋体" w:hAnsi="宋体" w:eastAsia="宋体" w:cs="宋体"/>
          <w:snapToGrid/>
          <w:color w:val="auto"/>
          <w:spacing w:val="0"/>
          <w:w w:val="100"/>
          <w:kern w:val="2"/>
          <w:position w:val="0"/>
          <w:sz w:val="28"/>
          <w:szCs w:val="28"/>
          <w:lang w:val="en-US" w:eastAsia="zh-CN" w:bidi="zh-CN"/>
        </w:rPr>
        <w:t>故综上所述，该项目的建设条件是可行的。</w:t>
      </w:r>
      <w:r>
        <w:rPr>
          <w:rFonts w:hint="eastAsia" w:ascii="宋体" w:hAnsi="宋体" w:eastAsia="宋体" w:cs="宋体"/>
          <w:color w:val="auto"/>
          <w:spacing w:val="0"/>
          <w:w w:val="100"/>
          <w:kern w:val="2"/>
          <w:position w:val="0"/>
          <w:sz w:val="28"/>
          <w:szCs w:val="28"/>
          <w:lang w:val="en-US" w:eastAsia="zh-CN" w:bidi="ar-SA"/>
        </w:rPr>
        <w:br w:type="page"/>
      </w:r>
    </w:p>
    <w:p>
      <w:pPr>
        <w:keepNext w:val="false"/>
        <w:keepLines w:val="false"/>
        <w:pageBreakBefore w:val="false"/>
        <w:widowControl w:val="false"/>
        <w:kinsoku/>
        <w:wordWrap/>
        <w:overflowPunct/>
        <w:topLinePunct/>
        <w:autoSpaceDE w:val="false"/>
        <w:autoSpaceDN/>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lang w:val="en-US" w:eastAsia="zh-CN"/>
        </w:rPr>
      </w:pPr>
      <w:bookmarkStart w:id="46" w:name="_Toc3039"/>
      <w:bookmarkStart w:id="47" w:name="_Toc2672"/>
      <w:r>
        <w:rPr>
          <w:rFonts w:hint="eastAsia" w:ascii="宋体" w:hAnsi="宋体" w:eastAsia="宋体" w:cs="宋体"/>
          <w:b/>
          <w:bCs/>
          <w:sz w:val="36"/>
          <w:szCs w:val="36"/>
          <w:lang w:val="en-US" w:eastAsia="zh-CN"/>
        </w:rPr>
        <w:t>第四章 项目建设方案</w:t>
      </w:r>
      <w:bookmarkEnd w:id="46"/>
      <w:bookmarkEnd w:id="47"/>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48" w:name="_Toc2467"/>
      <w:bookmarkStart w:id="49" w:name="_Toc23882"/>
      <w:r>
        <w:rPr>
          <w:rFonts w:hint="eastAsia" w:ascii="宋体" w:hAnsi="宋体" w:eastAsia="宋体" w:cs="宋体"/>
          <w:b/>
          <w:bCs/>
          <w:sz w:val="28"/>
          <w:szCs w:val="28"/>
          <w:lang w:val="en-US" w:eastAsia="zh-CN"/>
        </w:rPr>
        <w:t>4.1 技术方案</w:t>
      </w:r>
      <w:bookmarkEnd w:id="48"/>
      <w:bookmarkEnd w:id="49"/>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after="157" w:afterLines="50" w:line="360" w:lineRule="auto"/>
        <w:ind w:left="0" w:right="0" w:firstLine="560" w:firstLineChars="200"/>
        <w:jc w:val="both"/>
        <w:textAlignment w:val="baseline"/>
        <w:rPr>
          <w:rFonts w:ascii="宋体" w:hAnsi="宋体" w:eastAsia="宋体" w:cs="宋体"/>
          <w:i w:val="false"/>
          <w:strike w:val="false"/>
          <w:color w:val="000000"/>
          <w:spacing w:val="0"/>
          <w:sz w:val="28"/>
          <w:u w:val="none"/>
          <w:vertAlign w:val="baseline"/>
        </w:rPr>
      </w:pPr>
      <w:r>
        <w:rPr>
          <w:rFonts w:ascii="宋体" w:hAnsi="宋体" w:eastAsia="宋体" w:cs="宋体"/>
          <w:i w:val="false"/>
          <w:strike w:val="false"/>
          <w:color w:val="000000"/>
          <w:spacing w:val="0"/>
          <w:sz w:val="28"/>
          <w:u w:val="none"/>
          <w:vertAlign w:val="baseline"/>
        </w:rPr>
        <w:t>本项目主要建设内</w:t>
      </w:r>
      <w:r>
        <w:rPr>
          <w:rFonts w:hint="eastAsia" w:ascii="宋体" w:hAnsi="宋体" w:eastAsia="宋体" w:cs="宋体"/>
          <w:i w:val="false"/>
          <w:strike w:val="false"/>
          <w:color w:val="000000"/>
          <w:spacing w:val="0"/>
          <w:sz w:val="28"/>
          <w:u w:val="none"/>
          <w:vertAlign w:val="baseline"/>
          <w:lang w:eastAsia="zh-CN"/>
        </w:rPr>
        <w:t>容为</w:t>
      </w:r>
      <w:r>
        <w:rPr>
          <w:rFonts w:ascii="宋体" w:hAnsi="宋体" w:eastAsia="宋体" w:cs="宋体"/>
          <w:i w:val="false"/>
          <w:strike w:val="false"/>
          <w:color w:val="000000"/>
          <w:spacing w:val="0"/>
          <w:sz w:val="28"/>
          <w:u w:val="none"/>
          <w:vertAlign w:val="baseline"/>
        </w:rPr>
        <w:t>分布式</w:t>
      </w:r>
      <w:r>
        <w:rPr>
          <w:rFonts w:hint="eastAsia" w:ascii="宋体" w:hAnsi="宋体" w:eastAsia="宋体" w:cs="宋体"/>
          <w:i w:val="false"/>
          <w:strike w:val="false"/>
          <w:color w:val="000000"/>
          <w:spacing w:val="0"/>
          <w:sz w:val="28"/>
          <w:u w:val="none"/>
          <w:vertAlign w:val="baseline"/>
          <w:lang w:val="en-US" w:eastAsia="zh-CN"/>
        </w:rPr>
        <w:t>光伏发电设备及储能设备</w:t>
      </w:r>
      <w:r>
        <w:rPr>
          <w:rFonts w:ascii="宋体" w:hAnsi="宋体" w:eastAsia="宋体" w:cs="宋体"/>
          <w:i w:val="false"/>
          <w:strike w:val="false"/>
          <w:color w:val="000000"/>
          <w:spacing w:val="0"/>
          <w:sz w:val="28"/>
          <w:u w:val="none"/>
          <w:vertAlign w:val="baseline"/>
        </w:rPr>
        <w:t>，项目不涉及生产方法、生产工艺技术。在建设方面，河南省具有</w:t>
      </w:r>
      <w:r>
        <w:rPr>
          <w:rFonts w:hint="eastAsia" w:ascii="宋体" w:hAnsi="宋体" w:eastAsia="宋体" w:cs="宋体"/>
          <w:i w:val="false"/>
          <w:strike w:val="false"/>
          <w:color w:val="000000"/>
          <w:spacing w:val="0"/>
          <w:sz w:val="28"/>
          <w:u w:val="none"/>
          <w:vertAlign w:val="baseline"/>
          <w:lang w:eastAsia="zh-CN"/>
        </w:rPr>
        <w:t>实力</w:t>
      </w:r>
      <w:r>
        <w:rPr>
          <w:rFonts w:ascii="宋体" w:hAnsi="宋体" w:eastAsia="宋体" w:cs="宋体"/>
          <w:i w:val="false"/>
          <w:strike w:val="false"/>
          <w:color w:val="000000"/>
          <w:spacing w:val="0"/>
          <w:sz w:val="28"/>
          <w:u w:val="none"/>
          <w:vertAlign w:val="baseline"/>
        </w:rPr>
        <w:t>且经验丰富的设计单位和施工单位众多，项目建设方面成熟的生产工艺，工艺成熟、可靠性强。</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4.1.1 技术方案的选用原则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在充分考虑经济条件和管理水平以及生产过程中人流、物流、信息流的合理顺畅，优先选用安全可靠、技术先进、工艺成熟、投资省、占地少、运行费用低、操作管理方便的工艺。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1、立足企业技术资源优势和企业整体优势。</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2、综合考虑企业的整体发展规划。</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3、突出产品及技术优势，以安全环保为核心进行设计。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4、优先选择清洁工艺，注重节能节水环保。</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5、符合国家的有关资源、产业政策。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6、先进技术与合理投资相结合，工艺的先进性与实际应用的可行性相结合。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对于项目生产技术方案的选用，遵循“技术上先进可行，经济上合理有利，综合利用资源”的进步原则，采用先进的集散型控制系统，由计算机统一控制整个生产线的各工艺参数，使产品质量稳定在高水平上，同时可降低物料的消耗。严格按行业规范要求组织生产经营活动，有效控制产品质量，为广大顾客提供优质的产品和良好的服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8、在工艺设备的配置上，依据节能的原则，选用新型节能型设备，根据有利于环境保护的原则，优先选用环境保护型设备，满足该项目所制定的产品方案的要求。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9、根据该项目的产品方案，所选用的工艺流程能够满足该项目产品的要求，同时，加强员工技术培训，严格质量管理，严格按照工艺流程和技术要求进行操作，提高产品合格率。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10、遵循“高起点、优质量、专业化、经济规模”的建设原则。积极采用新技术、新工艺和高效率专用设备，使用高质量的原辅材料，稳定和提高产品质量，制造高附加值的产品，不断提高企业的市场竞争力。</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11、项目建设贯彻“三同时”的原则，注重环境保护、职业安全卫生、消防及节能等各项措施的落实。</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50" w:name="_Toc12497"/>
      <w:bookmarkStart w:id="51" w:name="_Toc14225"/>
      <w:r>
        <w:rPr>
          <w:rFonts w:hint="eastAsia" w:ascii="宋体" w:hAnsi="宋体" w:eastAsia="宋体" w:cs="宋体"/>
          <w:b/>
          <w:bCs/>
          <w:sz w:val="28"/>
          <w:szCs w:val="28"/>
          <w:lang w:val="en-US" w:eastAsia="zh-CN"/>
        </w:rPr>
        <w:t>4.2 设备方案</w:t>
      </w:r>
      <w:bookmarkEnd w:id="50"/>
      <w:bookmarkEnd w:id="51"/>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4.2.1 设备配置原则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设备方案选择依据使用功能确定，应该满足以下基本要求：主要设备方案与拟定建设规模相适应，以最大限度满足项目投产后生产要求；主要设备之间、主要设备与辅助设备之间的能力相互配套；设备质量、性能成熟，以保证生产的稳定性和产品质量；设备选择在保证性能前提下，力求经济合理；选用设备应符合国家和有关部门颁布的相关技术标准要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为适应该项目生产需要，确保产品的质量，增强生产的可操作手段，必须完整配置各种技术装备，该项目设备应选择国内外现有的先进、成熟、可靠的设备，因此，在主设备选型上应遵循以下原则：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1、主要设备选型的原则应与选择的项目建设规模、产品方案相适应，满足项目的要求，可获得最大效益。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3、提高连续化、大型化程序，降低劳动强度，提高劳动生产率。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4、降低原材料、水、电单耗，满足环境保护要求。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5、强调设备的可靠性、成熟性，保证生产和质量稳定。不允许将不成熟或未经生产考验的设备用于建设方案设计。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6、符合政府或专门机构发布的技术标准要求。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7、在满足机械功能和生产过程的条件下，力求经济合理（含用料、制造、操作和维护保养），尽可能立足于国内市场。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8、主要设备及辅助设备之间应相互配套。</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4.2.2 设计方案与主要设备（含软件）的规格、数量和性能参数等</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firstLine="550"/>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1、光伏组件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光伏组件选型原则光伏组件是可以将光能转化为电能的设备，是光伏系统中的核心组成部分，它的优劣将直接影响到整套光伏系统的效率和运转，本项目使用的光伏组件均采用国内一线品牌A级组件。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采用隆基高效单晶N型640W组件；组件采用应用密排电池技术，组件效率提升至23.7%。应用多主栅（MBB）技术，能够缩短主栅上50%以上的电流传导距离，降低电池的内阻损失。主栅变细变窄减少遮光，有效受光面积更大。圆形焊带折射更多的光照，光学利用率更高。叠加使用切半电池技术，半片电池独特的电路设计可帮助电阻损耗降至全片组件的1/4，输出功率提升2%以上。切半设计降低组件发热量，更低的工作温度能够提升单瓦发电量。同时，切半组件特殊的并串结构，可减少组件纵向排布引发阴影遮挡导致的发电量损失。同时，MBB多主栅技术在高辐照地区具备更高的发电能力。</w:t>
      </w:r>
    </w:p>
    <w:p>
      <w:pPr>
        <w:ind w:firstLine="0" w:firstLineChars="0"/>
        <w:rPr/>
      </w:pPr>
      <w:r>
        <w:rPr/>
        <w:drawing>
          <wp:inline distT="0" distB="0" distL="0" distR="0">
            <wp:extent cx="5274310" cy="3992880"/>
            <wp:effectExtent l="0" t="0" r="0" b="0"/>
            <wp:docPr id="14" name="picture" descr="descript"/>
            <wp:cNvGraphicFramePr/>
            <a:graphic>
              <a:graphicData uri="http://schemas.openxmlformats.org/drawingml/2006/picture">
                <pic:pic>
                  <pic:nvPicPr>
                    <pic:cNvPr id="15" name="picture" descr="descript"/>
                    <pic:cNvPicPr/>
                  </pic:nvPicPr>
                  <pic:blipFill>
                    <a:blip r:embed="rId11"/>
                    <a:stretch>
                      <a:fillRect/>
                    </a:stretch>
                  </pic:blipFill>
                  <pic:spPr>
                    <a:xfrm>
                      <a:off x="0" y="0"/>
                      <a:ext cx="5274310" cy="3993514"/>
                    </a:xfrm>
                    <a:prstGeom prst="rect">
                      <a:avLst/>
                    </a:prstGeom>
                  </pic:spPr>
                </pic:pic>
              </a:graphicData>
            </a:graphic>
          </wp:inline>
        </w:drawing>
      </w:r>
    </w:p>
    <w:p>
      <w:pPr>
        <w:ind w:firstLine="0" w:firstLineChars="0"/>
        <w:rPr/>
      </w:pPr>
    </w:p>
    <w:p>
      <w:pPr>
        <w:ind w:firstLine="0" w:firstLineChars="0"/>
        <w:rPr/>
      </w:pPr>
      <w:r>
        <w:rPr/>
        <w:drawing>
          <wp:inline distT="0" distB="0" distL="0" distR="0">
            <wp:extent cx="5274310" cy="2757170"/>
            <wp:effectExtent l="0" t="0" r="0" b="0"/>
            <wp:docPr id="17" name="picture" descr="descript"/>
            <wp:cNvGraphicFramePr/>
            <a:graphic>
              <a:graphicData uri="http://schemas.openxmlformats.org/drawingml/2006/picture">
                <pic:pic>
                  <pic:nvPicPr>
                    <pic:cNvPr id="18" name="picture" descr="descript"/>
                    <pic:cNvPicPr/>
                  </pic:nvPicPr>
                  <pic:blipFill>
                    <a:blip r:embed="rId12"/>
                    <a:stretch>
                      <a:fillRect/>
                    </a:stretch>
                  </pic:blipFill>
                  <pic:spPr>
                    <a:xfrm>
                      <a:off x="0" y="0"/>
                      <a:ext cx="5274310" cy="2757539"/>
                    </a:xfrm>
                    <a:prstGeom prst="rect">
                      <a:avLst/>
                    </a:prstGeom>
                  </pic:spPr>
                </pic:pic>
              </a:graphicData>
            </a:graphic>
          </wp:inline>
        </w:drawing>
      </w:r>
    </w:p>
    <w:p>
      <w:pPr>
        <w:ind w:firstLine="0" w:firstLineChars="0"/>
        <w:rPr/>
      </w:pP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jc w:val="center"/>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图4-1光伏组件参数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2、逆变器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光伏并网逆变器是将光伏组件输出的直流电转换为交流电，是光伏发电系统中的关键设备，对于提高光伏系统的效率和可靠性具有举足轻重的作用。光伏并网逆变器的选型主要应考虑以下几个问题：</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性能可靠，效率高：光伏发电系统目前的发电成本较高，如果在发电过程中逆变器自身消耗能量过多或逆变失效，必然导致总发电量的损失和系统经济性下降，因此要求逆变器可靠、效率高，并能根据光伏组件当前的运行状况输出最大功率（MPPT）。</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（2）要求直流输入电压有较宽的适应范围：由于太阳电池的端电压随负载和日照强度而变化，这就要求逆变电源必须在较大的直流输入电压范围内保证正常工作，并保证交流输出电压稳定。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（3）具有保护功能：并网逆变器还应具有交流过压、欠压保护，超频、欠频保护，高温保护，交流及直流的过流保护，直流过压保护，防孤岛保护等保护功能。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波形畸变小，功率因数高：当大型光伏发电系统并网运行时，为避免对公共电网的电力污染，要求逆变电源输出正弦波，电流波形必须与外电网一致，波形畸变小于5%，高次谐波含量小于3%，功率因数接近于1。</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（5）监控和数据采集：逆变器应有多种通讯接口进行数据采集并发送到远控室，其控制器还应有模拟输入端口与外部传感器相连，以测量日照和温度等数据，便于整个电站数据处理分析。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3、换电储能系统设备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采用可插拔换电模组的YSY-96户用储能系统，具有储能电站和换电设施两种业态，将单一的储能场景由光储充转变为光储充换，提升储能的价值空间，利用换电给商业用户提高效率，创造出更多的利益价值构建出储能换电新业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420" w:firstLineChars="200"/>
        <w:jc w:val="center"/>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drawing>
          <wp:inline distT="0" distB="0" distL="114300" distR="114300">
            <wp:extent cx="2667635" cy="3917315"/>
            <wp:effectExtent l="0" t="0" r="18415" b="6985"/>
            <wp:docPr id="20" name="图片 2"/>
            <wp:cNvGraphicFramePr>
              <a:graphicFrameLocks noChangeAspect="true"/>
            </wp:cNvGraphicFramePr>
            <a:graphic>
              <a:graphicData uri="http://schemas.openxmlformats.org/drawingml/2006/picture">
                <pic:pic>
                  <pic:nvPicPr>
                    <pic:cNvPr id="21" name="图片 2"/>
                    <pic:cNvPicPr>
                      <a:picLocks noChangeAspect="true"/>
                    </pic:cNvPicPr>
                  </pic:nvPicPr>
                  <pic:blipFill>
                    <a:blip r:embed="rId13"/>
                    <a:srcRect/>
                    <a:stretch>
                      <a:fillRect/>
                    </a:stretch>
                  </pic:blipFill>
                  <pic:spPr>
                    <a:xfrm>
                      <a:off x="0" y="0"/>
                      <a:ext cx="2667635" cy="3917315"/>
                    </a:xfrm>
                    <a:prstGeom prst="rect">
                      <a:avLst/>
                    </a:prstGeom>
                    <a:noFill/>
                    <a:ln>
                      <a:noFill/>
                    </a:ln>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jc w:val="center"/>
        <w:textAlignment w:val="baseline"/>
        <w:outlineLvl w:val="9"/>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YSY-96户用储能系统参数表</w:t>
      </w:r>
    </w:p>
    <w:tbl>
      <w:tblPr>
        <w:tblStyle w:val="000016"/>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490"/>
        <w:gridCol w:w="4069"/>
      </w:tblGrid>
      <w:tr>
        <w:trPr>
          <w:trHeight w:val="476" w:hRule="atLeast"/>
          <w:tblHeader/>
          <w:jc w:val="center"/>
        </w:trPr>
        <w:tc>
          <w:tcPr>
            <w:tcW w:w="2490"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b/>
                <w:bCs/>
                <w:sz w:val="21"/>
                <w:szCs w:val="21"/>
              </w:rPr>
            </w:pPr>
            <w:r>
              <w:rPr>
                <w:rFonts w:hint="eastAsia" w:ascii="宋体" w:hAnsi="宋体" w:eastAsia="宋体" w:cs="宋体"/>
                <w:b/>
                <w:bCs/>
                <w:i w:val="false"/>
                <w:iCs w:val="false"/>
                <w:snapToGrid w:val="false"/>
                <w:color w:val="000000"/>
                <w:kern w:val="0"/>
                <w:sz w:val="21"/>
                <w:szCs w:val="21"/>
                <w:u w:val="none"/>
                <w:lang w:val="en-US" w:eastAsia="zh-CN" w:bidi="ar"/>
              </w:rPr>
              <w:t>参数类别</w:t>
            </w:r>
          </w:p>
        </w:tc>
        <w:tc>
          <w:tcPr>
            <w:tcW w:w="4069"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b/>
                <w:bCs/>
                <w:sz w:val="21"/>
                <w:szCs w:val="21"/>
              </w:rPr>
            </w:pPr>
            <w:r>
              <w:rPr>
                <w:rFonts w:hint="eastAsia" w:ascii="宋体" w:hAnsi="宋体" w:eastAsia="宋体" w:cs="宋体"/>
                <w:b/>
                <w:bCs/>
                <w:i w:val="false"/>
                <w:iCs w:val="false"/>
                <w:snapToGrid w:val="false"/>
                <w:color w:val="000000"/>
                <w:kern w:val="0"/>
                <w:sz w:val="21"/>
                <w:szCs w:val="21"/>
                <w:u w:val="none"/>
                <w:lang w:val="en-US" w:eastAsia="zh-CN" w:bidi="ar"/>
              </w:rPr>
              <w:t>参数值</w:t>
            </w:r>
          </w:p>
        </w:tc>
      </w:tr>
      <w:tr>
        <w:trPr>
          <w:trHeight w:val="523" w:hRule="atLeast"/>
          <w:jc w:val="center"/>
        </w:trPr>
        <w:tc>
          <w:tcPr>
            <w:tcW w:w="2490"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输入功率</w:t>
            </w:r>
          </w:p>
        </w:tc>
        <w:tc>
          <w:tcPr>
            <w:tcW w:w="4069"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3.6kW\220ac</w:t>
            </w:r>
          </w:p>
        </w:tc>
      </w:tr>
      <w:tr>
        <w:trPr>
          <w:trHeight w:val="465" w:hRule="atLeast"/>
          <w:jc w:val="center"/>
        </w:trPr>
        <w:tc>
          <w:tcPr>
            <w:tcW w:w="2490"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输出功率</w:t>
            </w:r>
          </w:p>
        </w:tc>
        <w:tc>
          <w:tcPr>
            <w:tcW w:w="4069"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3.3kW\230ac</w:t>
            </w:r>
          </w:p>
        </w:tc>
      </w:tr>
      <w:tr>
        <w:trPr>
          <w:trHeight w:val="503" w:hRule="atLeast"/>
          <w:jc w:val="center"/>
        </w:trPr>
        <w:tc>
          <w:tcPr>
            <w:tcW w:w="2490"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系统总容量</w:t>
            </w:r>
          </w:p>
        </w:tc>
        <w:tc>
          <w:tcPr>
            <w:tcW w:w="4069"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lang w:val="en-US"/>
              </w:rPr>
            </w:pPr>
            <w:r>
              <w:rPr>
                <w:rFonts w:hint="eastAsia" w:ascii="宋体" w:hAnsi="宋体" w:eastAsia="宋体" w:cs="宋体"/>
                <w:i w:val="false"/>
                <w:iCs w:val="false"/>
                <w:snapToGrid w:val="false"/>
                <w:color w:val="000000"/>
                <w:kern w:val="0"/>
                <w:sz w:val="21"/>
                <w:szCs w:val="21"/>
                <w:u w:val="none"/>
                <w:lang w:val="en-US" w:eastAsia="zh-CN" w:bidi="ar"/>
              </w:rPr>
              <w:t>15kwh</w:t>
            </w:r>
          </w:p>
        </w:tc>
      </w:tr>
      <w:tr>
        <w:trPr>
          <w:trHeight w:val="484" w:hRule="atLeast"/>
          <w:jc w:val="center"/>
        </w:trPr>
        <w:tc>
          <w:tcPr>
            <w:tcW w:w="2490"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可拔插电池</w:t>
            </w:r>
          </w:p>
        </w:tc>
        <w:tc>
          <w:tcPr>
            <w:tcW w:w="4069"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lang w:val="en-US" w:eastAsia="zh-CN"/>
              </w:rPr>
            </w:pPr>
            <w:r>
              <w:rPr>
                <w:rFonts w:hint="eastAsia" w:ascii="宋体" w:hAnsi="宋体" w:eastAsia="宋体" w:cs="宋体"/>
                <w:i w:val="false"/>
                <w:iCs w:val="false"/>
                <w:snapToGrid w:val="false"/>
                <w:color w:val="000000"/>
                <w:kern w:val="0"/>
                <w:sz w:val="21"/>
                <w:szCs w:val="21"/>
                <w:u w:val="none"/>
                <w:lang w:val="en-US" w:eastAsia="zh-CN" w:bidi="ar"/>
              </w:rPr>
              <w:t>15pcs</w:t>
            </w:r>
          </w:p>
        </w:tc>
      </w:tr>
      <w:tr>
        <w:trPr>
          <w:trHeight w:val="484" w:hRule="atLeast"/>
          <w:jc w:val="center"/>
        </w:trPr>
        <w:tc>
          <w:tcPr>
            <w:tcW w:w="2490"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产品尺寸(W×D×H)</w:t>
            </w:r>
          </w:p>
        </w:tc>
        <w:tc>
          <w:tcPr>
            <w:tcW w:w="4069"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600*600*1600mm</w:t>
            </w:r>
          </w:p>
        </w:tc>
      </w:tr>
      <w:tr>
        <w:trPr>
          <w:trHeight w:val="494" w:hRule="atLeast"/>
          <w:jc w:val="center"/>
        </w:trPr>
        <w:tc>
          <w:tcPr>
            <w:tcW w:w="2490"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安装方式</w:t>
            </w:r>
          </w:p>
        </w:tc>
        <w:tc>
          <w:tcPr>
            <w:tcW w:w="4069"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落地式</w:t>
            </w:r>
          </w:p>
        </w:tc>
      </w:tr>
      <w:tr>
        <w:trPr>
          <w:trHeight w:val="484" w:hRule="atLeast"/>
          <w:jc w:val="center"/>
        </w:trPr>
        <w:tc>
          <w:tcPr>
            <w:tcW w:w="2490"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冷却方式</w:t>
            </w:r>
          </w:p>
        </w:tc>
        <w:tc>
          <w:tcPr>
            <w:tcW w:w="4069"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风冷</w:t>
            </w:r>
          </w:p>
        </w:tc>
      </w:tr>
      <w:tr>
        <w:trPr>
          <w:trHeight w:val="484" w:hRule="atLeast"/>
          <w:jc w:val="center"/>
        </w:trPr>
        <w:tc>
          <w:tcPr>
            <w:tcW w:w="2490"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电池模块</w:t>
            </w:r>
          </w:p>
        </w:tc>
        <w:tc>
          <w:tcPr>
            <w:tcW w:w="4069"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标准电池模块可热插拔</w:t>
            </w:r>
          </w:p>
        </w:tc>
      </w:tr>
      <w:tr>
        <w:trPr>
          <w:trHeight w:val="513" w:hRule="atLeast"/>
          <w:jc w:val="center"/>
        </w:trPr>
        <w:tc>
          <w:tcPr>
            <w:tcW w:w="2490"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通讯方式</w:t>
            </w:r>
          </w:p>
        </w:tc>
        <w:tc>
          <w:tcPr>
            <w:tcW w:w="4069"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系统离网或并网可选，有线宽带\WIFI\BLE</w:t>
            </w:r>
          </w:p>
        </w:tc>
      </w:tr>
      <w:tr>
        <w:trPr>
          <w:trHeight w:val="484" w:hRule="atLeast"/>
          <w:jc w:val="center"/>
        </w:trPr>
        <w:tc>
          <w:tcPr>
            <w:tcW w:w="2490"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重量</w:t>
            </w:r>
          </w:p>
        </w:tc>
        <w:tc>
          <w:tcPr>
            <w:tcW w:w="4069"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258kg</w:t>
            </w: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420" w:firstLineChars="200"/>
        <w:jc w:val="center"/>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drawing>
          <wp:inline distT="0" distB="0" distL="114300" distR="114300">
            <wp:extent cx="2635885" cy="2318385"/>
            <wp:effectExtent l="0" t="0" r="12065" b="5715"/>
            <wp:docPr id="23" name="图片 3"/>
            <wp:cNvGraphicFramePr>
              <a:graphicFrameLocks noChangeAspect="true"/>
            </wp:cNvGraphicFramePr>
            <a:graphic>
              <a:graphicData uri="http://schemas.openxmlformats.org/drawingml/2006/picture">
                <pic:pic>
                  <pic:nvPicPr>
                    <pic:cNvPr id="24" name="图片 3"/>
                    <pic:cNvPicPr>
                      <a:picLocks noChangeAspect="true"/>
                    </pic:cNvPicPr>
                  </pic:nvPicPr>
                  <pic:blipFill>
                    <a:blip r:embed="rId14"/>
                    <a:srcRect/>
                    <a:stretch>
                      <a:fillRect/>
                    </a:stretch>
                  </pic:blipFill>
                  <pic:spPr>
                    <a:xfrm>
                      <a:off x="0" y="0"/>
                      <a:ext cx="2635885" cy="2318385"/>
                    </a:xfrm>
                    <a:prstGeom prst="rect">
                      <a:avLst/>
                    </a:prstGeom>
                    <a:noFill/>
                    <a:ln>
                      <a:noFill/>
                    </a:ln>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jc w:val="center"/>
        <w:textAlignment w:val="baseline"/>
        <w:outlineLvl w:val="9"/>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标准锂电池模块参数表</w:t>
      </w:r>
    </w:p>
    <w:tbl>
      <w:tblPr>
        <w:tblStyle w:val="0000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4069"/>
      </w:tblGrid>
      <w:tr>
        <w:trPr>
          <w:trHeight w:val="476" w:hRule="atLeast"/>
          <w:tblHeader/>
          <w:jc w:val="center"/>
        </w:trPr>
        <w:tc>
          <w:tcPr>
            <w:tcW w:w="2490" w:type="dxa"/>
            <w:tcBorders>
              <w:top w:val="single" w:color="000000" w:sz="2" w:space="0"/>
              <w:left w:val="single" w:color="000000" w:sz="2" w:space="0"/>
              <w:bottom w:val="single" w:color="000000" w:sz="2" w:space="0"/>
              <w:right w:val="single" w:color="000000" w:sz="2"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b/>
                <w:bCs/>
                <w:sz w:val="21"/>
                <w:szCs w:val="21"/>
              </w:rPr>
            </w:pPr>
            <w:r>
              <w:rPr>
                <w:rFonts w:hint="eastAsia" w:ascii="宋体" w:hAnsi="宋体" w:eastAsia="宋体" w:cs="宋体"/>
                <w:b/>
                <w:bCs/>
                <w:i w:val="false"/>
                <w:iCs w:val="false"/>
                <w:snapToGrid w:val="false"/>
                <w:color w:val="000000"/>
                <w:kern w:val="0"/>
                <w:sz w:val="21"/>
                <w:szCs w:val="21"/>
                <w:u w:val="none"/>
                <w:lang w:val="en-US" w:eastAsia="zh-CN" w:bidi="ar"/>
              </w:rPr>
              <w:t>参数类别</w:t>
            </w:r>
          </w:p>
        </w:tc>
        <w:tc>
          <w:tcPr>
            <w:tcW w:w="4069" w:type="dxa"/>
            <w:tcBorders>
              <w:top w:val="single" w:color="000000" w:sz="2" w:space="0"/>
              <w:left w:val="single" w:color="000000" w:sz="2" w:space="0"/>
              <w:bottom w:val="single" w:color="000000" w:sz="2" w:space="0"/>
              <w:right w:val="single" w:color="000000" w:sz="2"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b/>
                <w:bCs/>
                <w:sz w:val="21"/>
                <w:szCs w:val="21"/>
              </w:rPr>
            </w:pPr>
            <w:r>
              <w:rPr>
                <w:rFonts w:hint="eastAsia" w:ascii="宋体" w:hAnsi="宋体" w:eastAsia="宋体" w:cs="宋体"/>
                <w:b/>
                <w:bCs/>
                <w:i w:val="false"/>
                <w:iCs w:val="false"/>
                <w:snapToGrid w:val="false"/>
                <w:color w:val="000000"/>
                <w:kern w:val="0"/>
                <w:sz w:val="21"/>
                <w:szCs w:val="21"/>
                <w:u w:val="none"/>
                <w:lang w:val="en-US" w:eastAsia="zh-CN" w:bidi="ar"/>
              </w:rPr>
              <w:t>参数值</w:t>
            </w:r>
          </w:p>
        </w:tc>
      </w:tr>
      <w:tr>
        <w:trPr>
          <w:trHeight w:val="523" w:hRule="atLeast"/>
          <w:jc w:val="center"/>
        </w:trPr>
        <w:tc>
          <w:tcPr>
            <w:tcW w:w="2490" w:type="dxa"/>
            <w:tcBorders>
              <w:top w:val="single" w:color="000000" w:sz="2" w:space="0"/>
              <w:left w:val="single" w:color="000000" w:sz="2" w:space="0"/>
              <w:bottom w:val="single" w:color="000000" w:sz="2" w:space="0"/>
              <w:right w:val="single" w:color="000000" w:sz="2"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sz w:val="21"/>
                <w:szCs w:val="21"/>
              </w:rPr>
              <w:t>额定电压</w:t>
            </w:r>
          </w:p>
        </w:tc>
        <w:tc>
          <w:tcPr>
            <w:tcW w:w="4069" w:type="dxa"/>
            <w:tcBorders>
              <w:top w:val="single" w:color="000000" w:sz="2" w:space="0"/>
              <w:left w:val="single" w:color="000000" w:sz="2" w:space="0"/>
              <w:bottom w:val="single" w:color="000000" w:sz="2" w:space="0"/>
              <w:right w:val="single" w:color="000000" w:sz="2"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sz w:val="21"/>
                <w:szCs w:val="21"/>
              </w:rPr>
              <w:t>48 Vdc</w:t>
            </w:r>
          </w:p>
        </w:tc>
      </w:tr>
      <w:tr>
        <w:trPr>
          <w:trHeight w:val="465" w:hRule="atLeast"/>
          <w:jc w:val="center"/>
        </w:trPr>
        <w:tc>
          <w:tcPr>
            <w:tcW w:w="2490" w:type="dxa"/>
            <w:tcBorders>
              <w:top w:val="single" w:color="000000" w:sz="2" w:space="0"/>
              <w:left w:val="single" w:color="000000" w:sz="2" w:space="0"/>
              <w:bottom w:val="single" w:color="000000" w:sz="2" w:space="0"/>
              <w:right w:val="single" w:color="000000" w:sz="2"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sz w:val="21"/>
                <w:szCs w:val="21"/>
              </w:rPr>
              <w:t>额定容量</w:t>
            </w:r>
          </w:p>
        </w:tc>
        <w:tc>
          <w:tcPr>
            <w:tcW w:w="4069" w:type="dxa"/>
            <w:tcBorders>
              <w:top w:val="single" w:color="000000" w:sz="2" w:space="0"/>
              <w:left w:val="single" w:color="000000" w:sz="2" w:space="0"/>
              <w:bottom w:val="single" w:color="000000" w:sz="2" w:space="0"/>
              <w:right w:val="single" w:color="000000" w:sz="2"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sz w:val="21"/>
                <w:szCs w:val="21"/>
              </w:rPr>
              <w:t>24 AH</w:t>
            </w:r>
          </w:p>
        </w:tc>
      </w:tr>
      <w:tr>
        <w:trPr>
          <w:trHeight w:val="503" w:hRule="atLeast"/>
          <w:jc w:val="center"/>
        </w:trPr>
        <w:tc>
          <w:tcPr>
            <w:tcW w:w="2490" w:type="dxa"/>
            <w:tcBorders>
              <w:top w:val="single" w:color="000000" w:sz="2" w:space="0"/>
              <w:left w:val="single" w:color="000000" w:sz="2" w:space="0"/>
              <w:bottom w:val="single" w:color="000000" w:sz="2" w:space="0"/>
              <w:right w:val="single" w:color="000000" w:sz="2"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额定功率</w:t>
            </w:r>
          </w:p>
        </w:tc>
        <w:tc>
          <w:tcPr>
            <w:tcW w:w="4069" w:type="dxa"/>
            <w:tcBorders>
              <w:top w:val="single" w:color="000000" w:sz="2" w:space="0"/>
              <w:left w:val="single" w:color="000000" w:sz="2" w:space="0"/>
              <w:bottom w:val="single" w:color="000000" w:sz="2" w:space="0"/>
              <w:right w:val="single" w:color="000000" w:sz="2"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1kW</w:t>
            </w:r>
          </w:p>
        </w:tc>
      </w:tr>
      <w:tr>
        <w:trPr>
          <w:trHeight w:val="484" w:hRule="atLeast"/>
          <w:jc w:val="center"/>
        </w:trPr>
        <w:tc>
          <w:tcPr>
            <w:tcW w:w="2490" w:type="dxa"/>
            <w:tcBorders>
              <w:top w:val="single" w:color="000000" w:sz="2" w:space="0"/>
              <w:left w:val="single" w:color="000000" w:sz="2" w:space="0"/>
              <w:bottom w:val="single" w:color="000000" w:sz="2" w:space="0"/>
              <w:right w:val="single" w:color="000000" w:sz="2"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sz w:val="21"/>
                <w:szCs w:val="21"/>
              </w:rPr>
              <w:t>输出电压范围</w:t>
            </w:r>
          </w:p>
        </w:tc>
        <w:tc>
          <w:tcPr>
            <w:tcW w:w="4069" w:type="dxa"/>
            <w:tcBorders>
              <w:top w:val="single" w:color="000000" w:sz="2" w:space="0"/>
              <w:left w:val="single" w:color="000000" w:sz="2" w:space="0"/>
              <w:bottom w:val="single" w:color="000000" w:sz="2" w:space="0"/>
              <w:right w:val="single" w:color="000000" w:sz="2"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58.1－39.2Vdc</w:t>
            </w:r>
          </w:p>
        </w:tc>
      </w:tr>
      <w:tr>
        <w:trPr>
          <w:trHeight w:val="484" w:hRule="atLeast"/>
          <w:jc w:val="center"/>
        </w:trPr>
        <w:tc>
          <w:tcPr>
            <w:tcW w:w="2490" w:type="dxa"/>
            <w:tcBorders>
              <w:top w:val="single" w:color="000000" w:sz="2" w:space="0"/>
              <w:left w:val="single" w:color="000000" w:sz="2" w:space="0"/>
              <w:bottom w:val="single" w:color="000000" w:sz="2" w:space="0"/>
              <w:right w:val="single" w:color="000000" w:sz="2"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sz w:val="21"/>
                <w:szCs w:val="21"/>
              </w:rPr>
              <w:t>最大放电电流</w:t>
            </w:r>
          </w:p>
        </w:tc>
        <w:tc>
          <w:tcPr>
            <w:tcW w:w="4069" w:type="dxa"/>
            <w:tcBorders>
              <w:top w:val="single" w:color="000000" w:sz="2" w:space="0"/>
              <w:left w:val="single" w:color="000000" w:sz="2" w:space="0"/>
              <w:bottom w:val="single" w:color="000000" w:sz="2" w:space="0"/>
              <w:right w:val="single" w:color="000000" w:sz="2"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sz w:val="21"/>
                <w:szCs w:val="21"/>
              </w:rPr>
              <w:t>50A</w:t>
            </w:r>
          </w:p>
        </w:tc>
      </w:tr>
      <w:tr>
        <w:trPr>
          <w:trHeight w:val="494" w:hRule="atLeast"/>
          <w:jc w:val="center"/>
        </w:trPr>
        <w:tc>
          <w:tcPr>
            <w:tcW w:w="2490" w:type="dxa"/>
            <w:tcBorders>
              <w:top w:val="single" w:color="000000" w:sz="2" w:space="0"/>
              <w:left w:val="single" w:color="000000" w:sz="2" w:space="0"/>
              <w:bottom w:val="single" w:color="000000" w:sz="2" w:space="0"/>
              <w:right w:val="single" w:color="000000" w:sz="2"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通讯方式</w:t>
            </w:r>
          </w:p>
        </w:tc>
        <w:tc>
          <w:tcPr>
            <w:tcW w:w="4069" w:type="dxa"/>
            <w:tcBorders>
              <w:top w:val="single" w:color="000000" w:sz="2" w:space="0"/>
              <w:left w:val="single" w:color="000000" w:sz="2" w:space="0"/>
              <w:bottom w:val="single" w:color="000000" w:sz="2" w:space="0"/>
              <w:right w:val="single" w:color="000000" w:sz="2"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BLE</w:t>
            </w:r>
          </w:p>
        </w:tc>
      </w:tr>
      <w:tr>
        <w:trPr>
          <w:trHeight w:val="484" w:hRule="atLeast"/>
          <w:jc w:val="center"/>
        </w:trPr>
        <w:tc>
          <w:tcPr>
            <w:tcW w:w="2490" w:type="dxa"/>
            <w:tcBorders>
              <w:top w:val="single" w:color="000000" w:sz="2" w:space="0"/>
              <w:left w:val="single" w:color="000000" w:sz="2" w:space="0"/>
              <w:bottom w:val="single" w:color="000000" w:sz="2" w:space="0"/>
              <w:right w:val="single" w:color="000000" w:sz="2"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sz w:val="21"/>
                <w:szCs w:val="21"/>
              </w:rPr>
              <w:t>结构尺寸</w:t>
            </w:r>
          </w:p>
        </w:tc>
        <w:tc>
          <w:tcPr>
            <w:tcW w:w="4069" w:type="dxa"/>
            <w:tcBorders>
              <w:top w:val="single" w:color="000000" w:sz="2" w:space="0"/>
              <w:left w:val="single" w:color="000000" w:sz="2" w:space="0"/>
              <w:bottom w:val="single" w:color="000000" w:sz="2" w:space="0"/>
              <w:right w:val="single" w:color="000000" w:sz="2"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290*165*140 mm</w:t>
            </w:r>
          </w:p>
        </w:tc>
      </w:tr>
      <w:tr>
        <w:trPr>
          <w:trHeight w:val="484" w:hRule="atLeast"/>
          <w:jc w:val="center"/>
        </w:trPr>
        <w:tc>
          <w:tcPr>
            <w:tcW w:w="2490" w:type="dxa"/>
            <w:tcBorders>
              <w:top w:val="single" w:color="000000" w:sz="2" w:space="0"/>
              <w:left w:val="single" w:color="000000" w:sz="2" w:space="0"/>
              <w:bottom w:val="single" w:color="000000" w:sz="2" w:space="0"/>
              <w:right w:val="single" w:color="000000" w:sz="2"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重量</w:t>
            </w:r>
          </w:p>
        </w:tc>
        <w:tc>
          <w:tcPr>
            <w:tcW w:w="4069" w:type="dxa"/>
            <w:tcBorders>
              <w:top w:val="single" w:color="000000" w:sz="2" w:space="0"/>
              <w:left w:val="single" w:color="000000" w:sz="2" w:space="0"/>
              <w:bottom w:val="single" w:color="000000" w:sz="2" w:space="0"/>
              <w:right w:val="single" w:color="000000" w:sz="2"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lang w:val="en-US"/>
              </w:rPr>
            </w:pPr>
            <w:r>
              <w:rPr>
                <w:rFonts w:hint="eastAsia" w:ascii="宋体" w:hAnsi="宋体" w:eastAsia="宋体" w:cs="宋体"/>
                <w:i w:val="false"/>
                <w:iCs w:val="false"/>
                <w:snapToGrid w:val="false"/>
                <w:color w:val="000000"/>
                <w:kern w:val="0"/>
                <w:sz w:val="21"/>
                <w:szCs w:val="21"/>
                <w:u w:val="none"/>
                <w:lang w:val="en-US" w:eastAsia="zh-CN" w:bidi="ar"/>
              </w:rPr>
              <w:t>8.5kg</w:t>
            </w:r>
          </w:p>
        </w:tc>
      </w:tr>
    </w:tbl>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新获冷链储能换电站建设内容：以新乡国家骨干冷链枢纽仓为中心沿新获公路向东至人民西路，向西经县城同盟大道、健康路、行政大街、文圣路、中山路在县城东南西北中均匀分布建设站点，共计16个光、储、充、换站点。服务于冷链“最后一公里”配送（移动冷柜换电），两轮电动车与三轮电动车换电，以及电动汽车的快速充电业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4、充电桩选型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Chars="0"/>
        <w:jc w:val="center"/>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drawing>
          <wp:inline distT="0" distB="0" distL="114300" distR="114300">
            <wp:extent cx="3295650" cy="3209925"/>
            <wp:effectExtent l="0" t="0" r="0" b="9525"/>
            <wp:docPr id="26" name="图片 12" descr="1749272124640"/>
            <wp:cNvGraphicFramePr>
              <a:graphicFrameLocks noChangeAspect="true"/>
            </wp:cNvGraphicFramePr>
            <a:graphic>
              <a:graphicData uri="http://schemas.openxmlformats.org/drawingml/2006/picture">
                <pic:pic>
                  <pic:nvPicPr>
                    <pic:cNvPr id="27" name="图片 12" descr="1749272124640"/>
                    <pic:cNvPicPr>
                      <a:picLocks noChangeAspect="true"/>
                    </pic:cNvPicPr>
                  </pic:nvPicPr>
                  <pic:blipFill>
                    <a:blip r:embed="rId15"/>
                    <a:srcRect/>
                    <a:stretch>
                      <a:fillRect/>
                    </a:stretch>
                  </pic:blipFill>
                  <pic:spPr>
                    <a:xfrm>
                      <a:off x="0" y="0"/>
                      <a:ext cx="3295650" cy="3209925"/>
                    </a:xfrm>
                    <a:prstGeom prst="rect">
                      <a:avLst/>
                    </a:prstGeom>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jc w:val="center"/>
        <w:textAlignment w:val="baseline"/>
        <w:outlineLvl w:val="9"/>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600kW充电桩样式图</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jc w:val="center"/>
        <w:textAlignment w:val="baseline"/>
        <w:outlineLvl w:val="9"/>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600kW超充桩参数表</w:t>
      </w:r>
    </w:p>
    <w:tbl>
      <w:tblPr>
        <w:tblStyle w:val="000016"/>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048"/>
        <w:gridCol w:w="3511"/>
      </w:tblGrid>
      <w:tr>
        <w:trPr>
          <w:trHeight w:val="476" w:hRule="atLeast"/>
          <w:tblHeader/>
          <w:jc w:val="center"/>
        </w:trPr>
        <w:tc>
          <w:tcPr>
            <w:tcW w:w="3048"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b/>
                <w:bCs/>
                <w:sz w:val="21"/>
                <w:szCs w:val="21"/>
              </w:rPr>
            </w:pPr>
            <w:r>
              <w:rPr>
                <w:rFonts w:hint="eastAsia" w:ascii="宋体" w:hAnsi="宋体" w:eastAsia="宋体" w:cs="宋体"/>
                <w:b/>
                <w:bCs/>
                <w:i w:val="false"/>
                <w:iCs w:val="false"/>
                <w:snapToGrid w:val="false"/>
                <w:color w:val="000000"/>
                <w:kern w:val="0"/>
                <w:sz w:val="21"/>
                <w:szCs w:val="21"/>
                <w:u w:val="none"/>
                <w:lang w:val="en-US" w:eastAsia="zh-CN" w:bidi="ar"/>
              </w:rPr>
              <w:t>参数类别</w:t>
            </w:r>
          </w:p>
        </w:tc>
        <w:tc>
          <w:tcPr>
            <w:tcW w:w="3511"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b/>
                <w:bCs/>
                <w:sz w:val="21"/>
                <w:szCs w:val="21"/>
              </w:rPr>
            </w:pPr>
            <w:r>
              <w:rPr>
                <w:rFonts w:hint="eastAsia" w:ascii="宋体" w:hAnsi="宋体" w:eastAsia="宋体" w:cs="宋体"/>
                <w:b/>
                <w:bCs/>
                <w:i w:val="false"/>
                <w:iCs w:val="false"/>
                <w:snapToGrid w:val="false"/>
                <w:color w:val="000000"/>
                <w:kern w:val="0"/>
                <w:sz w:val="21"/>
                <w:szCs w:val="21"/>
                <w:u w:val="none"/>
                <w:lang w:val="en-US" w:eastAsia="zh-CN" w:bidi="ar"/>
              </w:rPr>
              <w:t>参数值</w:t>
            </w:r>
          </w:p>
        </w:tc>
      </w:tr>
      <w:tr>
        <w:trPr>
          <w:trHeight w:val="523" w:hRule="atLeast"/>
          <w:jc w:val="center"/>
        </w:trPr>
        <w:tc>
          <w:tcPr>
            <w:tcW w:w="3048"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充电单元</w:t>
            </w:r>
          </w:p>
        </w:tc>
        <w:tc>
          <w:tcPr>
            <w:tcW w:w="3511"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超充终端</w:t>
            </w:r>
          </w:p>
        </w:tc>
      </w:tr>
      <w:tr>
        <w:trPr>
          <w:trHeight w:val="465" w:hRule="atLeast"/>
          <w:jc w:val="center"/>
        </w:trPr>
        <w:tc>
          <w:tcPr>
            <w:tcW w:w="3048"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单枪最大功率（需车辆支持）</w:t>
            </w:r>
          </w:p>
        </w:tc>
        <w:tc>
          <w:tcPr>
            <w:tcW w:w="3511"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600kW</w:t>
            </w:r>
          </w:p>
        </w:tc>
      </w:tr>
      <w:tr>
        <w:trPr>
          <w:trHeight w:val="503" w:hRule="atLeast"/>
          <w:jc w:val="center"/>
        </w:trPr>
        <w:tc>
          <w:tcPr>
            <w:tcW w:w="3048"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充电枪数量</w:t>
            </w:r>
          </w:p>
        </w:tc>
        <w:tc>
          <w:tcPr>
            <w:tcW w:w="3511"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1</w:t>
            </w:r>
          </w:p>
        </w:tc>
      </w:tr>
      <w:tr>
        <w:trPr>
          <w:trHeight w:val="484" w:hRule="atLeast"/>
          <w:jc w:val="center"/>
        </w:trPr>
        <w:tc>
          <w:tcPr>
            <w:tcW w:w="3048"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枪线长度</w:t>
            </w:r>
          </w:p>
        </w:tc>
        <w:tc>
          <w:tcPr>
            <w:tcW w:w="3511"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3.5m</w:t>
            </w:r>
          </w:p>
        </w:tc>
      </w:tr>
      <w:tr>
        <w:trPr>
          <w:trHeight w:val="484" w:hRule="atLeast"/>
          <w:jc w:val="center"/>
        </w:trPr>
        <w:tc>
          <w:tcPr>
            <w:tcW w:w="3048"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产品尺寸(W×D×H)</w:t>
            </w:r>
          </w:p>
        </w:tc>
        <w:tc>
          <w:tcPr>
            <w:tcW w:w="3511"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500mm×280mm×1444mm</w:t>
            </w:r>
          </w:p>
        </w:tc>
      </w:tr>
      <w:tr>
        <w:trPr>
          <w:trHeight w:val="494" w:hRule="atLeast"/>
          <w:jc w:val="center"/>
        </w:trPr>
        <w:tc>
          <w:tcPr>
            <w:tcW w:w="3048"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安装方式</w:t>
            </w:r>
          </w:p>
        </w:tc>
        <w:tc>
          <w:tcPr>
            <w:tcW w:w="3511"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落地式</w:t>
            </w:r>
          </w:p>
        </w:tc>
      </w:tr>
      <w:tr>
        <w:trPr>
          <w:trHeight w:val="484" w:hRule="atLeast"/>
          <w:jc w:val="center"/>
        </w:trPr>
        <w:tc>
          <w:tcPr>
            <w:tcW w:w="3048"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冷却方式</w:t>
            </w:r>
          </w:p>
        </w:tc>
        <w:tc>
          <w:tcPr>
            <w:tcW w:w="3511"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液冷</w:t>
            </w:r>
          </w:p>
        </w:tc>
      </w:tr>
      <w:tr>
        <w:trPr>
          <w:trHeight w:val="484" w:hRule="atLeast"/>
          <w:jc w:val="center"/>
        </w:trPr>
        <w:tc>
          <w:tcPr>
            <w:tcW w:w="3048"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输出电压</w:t>
            </w:r>
          </w:p>
        </w:tc>
        <w:tc>
          <w:tcPr>
            <w:tcW w:w="3511"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200~1000V DC</w:t>
            </w:r>
          </w:p>
        </w:tc>
      </w:tr>
      <w:tr>
        <w:trPr>
          <w:trHeight w:val="513" w:hRule="atLeast"/>
          <w:jc w:val="center"/>
        </w:trPr>
        <w:tc>
          <w:tcPr>
            <w:tcW w:w="3048"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单枪最大电流</w:t>
            </w:r>
          </w:p>
        </w:tc>
        <w:tc>
          <w:tcPr>
            <w:tcW w:w="3511"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600A</w:t>
            </w:r>
          </w:p>
        </w:tc>
      </w:tr>
      <w:tr>
        <w:trPr>
          <w:trHeight w:val="484" w:hRule="atLeast"/>
          <w:jc w:val="center"/>
        </w:trPr>
        <w:tc>
          <w:tcPr>
            <w:tcW w:w="3048"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工作温度</w:t>
            </w:r>
          </w:p>
        </w:tc>
        <w:tc>
          <w:tcPr>
            <w:tcW w:w="3511"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-30~+55℃(55℃以上限功率输出)</w:t>
            </w:r>
          </w:p>
        </w:tc>
      </w:tr>
      <w:tr>
        <w:trPr>
          <w:trHeight w:val="494" w:hRule="atLeast"/>
          <w:jc w:val="center"/>
        </w:trPr>
        <w:tc>
          <w:tcPr>
            <w:tcW w:w="3048"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存储温度</w:t>
            </w:r>
          </w:p>
        </w:tc>
        <w:tc>
          <w:tcPr>
            <w:tcW w:w="3511"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-40~+75℃</w:t>
            </w:r>
          </w:p>
        </w:tc>
      </w:tr>
      <w:tr>
        <w:trPr>
          <w:trHeight w:val="484" w:hRule="atLeast"/>
          <w:jc w:val="center"/>
        </w:trPr>
        <w:tc>
          <w:tcPr>
            <w:tcW w:w="3048"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最高海拔高度</w:t>
            </w:r>
          </w:p>
        </w:tc>
        <w:tc>
          <w:tcPr>
            <w:tcW w:w="3511"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≤2000m</w:t>
            </w:r>
          </w:p>
        </w:tc>
      </w:tr>
      <w:tr>
        <w:trPr>
          <w:trHeight w:val="484" w:hRule="atLeast"/>
          <w:jc w:val="center"/>
        </w:trPr>
        <w:tc>
          <w:tcPr>
            <w:tcW w:w="3048"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相对湿度</w:t>
            </w:r>
          </w:p>
        </w:tc>
        <w:tc>
          <w:tcPr>
            <w:tcW w:w="3511"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5%～95%RH,无冷凝</w:t>
            </w:r>
          </w:p>
        </w:tc>
      </w:tr>
      <w:tr>
        <w:trPr>
          <w:trHeight w:val="484" w:hRule="atLeast"/>
          <w:jc w:val="center"/>
        </w:trPr>
        <w:tc>
          <w:tcPr>
            <w:tcW w:w="3048"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噪声</w:t>
            </w:r>
          </w:p>
        </w:tc>
        <w:tc>
          <w:tcPr>
            <w:tcW w:w="3511"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≤60dB</w:t>
            </w:r>
          </w:p>
        </w:tc>
      </w:tr>
      <w:tr>
        <w:trPr>
          <w:trHeight w:val="523" w:hRule="atLeast"/>
          <w:jc w:val="center"/>
        </w:trPr>
        <w:tc>
          <w:tcPr>
            <w:tcW w:w="3048"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防护等级</w:t>
            </w:r>
          </w:p>
        </w:tc>
        <w:tc>
          <w:tcPr>
            <w:tcW w:w="3511"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IP54</w:t>
            </w:r>
          </w:p>
        </w:tc>
      </w:tr>
      <w:tr>
        <w:trPr>
          <w:trHeight w:val="484" w:hRule="atLeast"/>
          <w:jc w:val="center"/>
        </w:trPr>
        <w:tc>
          <w:tcPr>
            <w:tcW w:w="3048"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认证和报告</w:t>
            </w:r>
          </w:p>
        </w:tc>
        <w:tc>
          <w:tcPr>
            <w:tcW w:w="3511"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CNAS,CMA</w:t>
            </w:r>
          </w:p>
        </w:tc>
      </w:tr>
      <w:tr>
        <w:trPr>
          <w:trHeight w:val="484" w:hRule="atLeast"/>
          <w:jc w:val="center"/>
        </w:trPr>
        <w:tc>
          <w:tcPr>
            <w:tcW w:w="3048"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设计标准</w:t>
            </w:r>
          </w:p>
        </w:tc>
        <w:tc>
          <w:tcPr>
            <w:tcW w:w="3511"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GB/T18487.1-2015、NB/T33001-2018、NB/T33008.1-2018、GB/T27930-2015、JJG1149-2022</w:t>
            </w:r>
          </w:p>
        </w:tc>
      </w:tr>
      <w:tr>
        <w:trPr>
          <w:trHeight w:val="484" w:hRule="atLeast"/>
          <w:jc w:val="center"/>
        </w:trPr>
        <w:tc>
          <w:tcPr>
            <w:tcW w:w="3048"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安全防护</w:t>
            </w:r>
          </w:p>
        </w:tc>
        <w:tc>
          <w:tcPr>
            <w:tcW w:w="3511"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过压保护、短路保护、保护接地连续性检测、过温保护、急停保护、漏电保护、绝缘检测、开门保护、停电保护、接触器粘连保护、低液位告警</w:t>
            </w:r>
          </w:p>
        </w:tc>
      </w:tr>
      <w:tr>
        <w:trPr>
          <w:trHeight w:val="484" w:hRule="atLeast"/>
          <w:jc w:val="center"/>
        </w:trPr>
        <w:tc>
          <w:tcPr>
            <w:tcW w:w="3048"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启动方式</w:t>
            </w:r>
          </w:p>
        </w:tc>
        <w:tc>
          <w:tcPr>
            <w:tcW w:w="3511"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扫码/刷卡/VIN（可选）</w:t>
            </w:r>
          </w:p>
        </w:tc>
      </w:tr>
      <w:tr>
        <w:trPr>
          <w:trHeight w:val="575" w:hRule="atLeast"/>
          <w:jc w:val="center"/>
        </w:trPr>
        <w:tc>
          <w:tcPr>
            <w:tcW w:w="3048"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显示方式</w:t>
            </w:r>
          </w:p>
        </w:tc>
        <w:tc>
          <w:tcPr>
            <w:tcW w:w="3511"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4.3寸触摸屏（可选）</w:t>
            </w:r>
          </w:p>
        </w:tc>
      </w:tr>
      <w:tr>
        <w:trPr>
          <w:trHeight w:val="575" w:hRule="atLeast"/>
          <w:jc w:val="center"/>
        </w:trPr>
        <w:tc>
          <w:tcPr>
            <w:tcW w:w="3048"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网络连接</w:t>
            </w:r>
          </w:p>
        </w:tc>
        <w:tc>
          <w:tcPr>
            <w:tcW w:w="3511"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以太网/4G/Wi-Fi</w:t>
            </w:r>
          </w:p>
        </w:tc>
      </w:tr>
      <w:tr>
        <w:trPr>
          <w:trHeight w:val="455" w:hRule="atLeast"/>
          <w:jc w:val="center"/>
        </w:trPr>
        <w:tc>
          <w:tcPr>
            <w:tcW w:w="3048"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终端/整流柜通讯协议</w:t>
            </w:r>
          </w:p>
        </w:tc>
        <w:tc>
          <w:tcPr>
            <w:tcW w:w="3511"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CAN总线</w:t>
            </w:r>
          </w:p>
        </w:tc>
      </w:tr>
      <w:tr>
        <w:trPr>
          <w:trHeight w:val="503" w:hRule="atLeast"/>
          <w:jc w:val="center"/>
        </w:trPr>
        <w:tc>
          <w:tcPr>
            <w:tcW w:w="3048"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终端/平台通讯协议</w:t>
            </w:r>
          </w:p>
        </w:tc>
        <w:tc>
          <w:tcPr>
            <w:tcW w:w="3511" w:type="dxa"/>
            <w:tcBorders>
              <w:tl2br w:val="nil"/>
              <w:tr2bl w:val="nil"/>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OCPP 1.6/OCPP 2.0.1</w:t>
            </w: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超高功率输出：支持双枪同充与并充功能，双枪模式下最大输出功率可600KW，单枪最大输出电流达600A，满足大容量电池快速充电需求。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快速补电：针对工程机械、重卡等大容量电池，可在30分钟内实现快速补电，显著提升运营效率。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智能兼容：支持VIN码充电、预约充电，兼容云快充、蔚景云、特来电、小桔等主流运营平台，确保充电服务广泛覆盖。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柔性功率调配：可根据实际需求灵活调配功率，支持向下不同功率段定制，满足多样化充电场景。</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液冷技术：配备7.5米液冷枪线，高效散热，确保设备在高功率下稳定运行。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严苛环境适应：通过国内型式试验及海外CE标准测试，支持-30℃至50℃宽温范围运行，极寒地区可适配加热单元，确保设备稳定使用。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多接口定制：支持国标、美标、欧标等多种充电接口定制，适配智能机械手自动插拔枪，实现无人自动充电。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高可靠性：经过严格的高低温冲击测试，确保设备在极端环境下稳定运行，满足全球市场需求。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5、充电桩适配性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600kW充电桩服务中大型车辆，为增加项目的适配性，项目准备布局充电桩丰富充电服务类型，具体按项目需求确定。</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4.2.3 光伏发电系统接入技术方案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在建筑屋顶采用光伏组件平铺安装形式。拟采用640Wp单晶N型光伏组件，尺寸2382*1134mm，共计可安装光伏组件约11168块，直流侧装机容量7.14752MWp，暂按容配比不超过1.2考虑，交流侧容量约5.956MW。</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由于项目交流侧容量小于6MW，故采用1个10kV接入点进行考虑，逆变器经升压箱变升压至10kV后，就近接入10kV电网，接入点距离项目地约2km。最终以电力公司审定的接入系统报告为准。接入电缆拟采用地埋方式。对于电缆型集电线路采用直埋敷设，暂采用铝合金三芯铠装电缆，主要原则是沿着道路敷设，便于敷设检修维护</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4.2.4 系统防雷接地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（1）太阳能光伏组件与金属屋面及建筑物主体避雷系统做可靠连接，能够有效地将入侵雷电导入大地。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（2）所有布置的线槽金属外壳与建筑物主体接地系作可靠接地连接，起到有效防雷和消减雷电影响。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（3）太阳能电池直流侧均采用防雷电涌保护器，起到防雷击保护作用。针对沿直流输入线侵入的感应雷在太阳电池方阵的汇线盒内进行一级防雷保护，安装防雷过电压浪涌保护器，起到保护光伏系统作用。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（4）逆变器交流输出侧逆变器具有防雷、过压、欠压、漏电等各种保护功能，起到防雷击保护作用；同时逆变器交流输出与外部公共电网并接，外部公共电网的防雷系统起到有效保护。</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4.2.5 光伏发电系统配置清单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规划光伏装机容量5956KW，光伏系统具体配置清单如下：</w:t>
      </w:r>
    </w:p>
    <w:tbl>
      <w:tblPr>
        <w:tblStyle w:val="000016"/>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793"/>
        <w:gridCol w:w="4747"/>
        <w:gridCol w:w="1473"/>
        <w:gridCol w:w="1492"/>
      </w:tblGrid>
      <w:tr>
        <w:trPr>
          <w:trHeight w:val="681" w:hRule="atLeast"/>
          <w:tblHeader/>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sz w:val="21"/>
                <w:szCs w:val="21"/>
              </w:rPr>
            </w:pPr>
            <w:r>
              <w:rPr>
                <w:rFonts w:hint="eastAsia" w:ascii="宋体" w:hAnsi="宋体" w:eastAsia="宋体" w:cs="宋体"/>
                <w:b/>
                <w:bCs/>
                <w:sz w:val="21"/>
                <w:szCs w:val="21"/>
              </w:rPr>
              <w:t>编号</w:t>
            </w: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sz w:val="21"/>
                <w:szCs w:val="21"/>
              </w:rPr>
            </w:pPr>
            <w:r>
              <w:rPr>
                <w:rFonts w:hint="eastAsia" w:ascii="宋体" w:hAnsi="宋体" w:eastAsia="宋体" w:cs="宋体"/>
                <w:b/>
                <w:bCs/>
                <w:sz w:val="21"/>
                <w:szCs w:val="21"/>
              </w:rPr>
              <w:t>工程或名称</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sz w:val="21"/>
                <w:szCs w:val="21"/>
              </w:rPr>
            </w:pPr>
            <w:r>
              <w:rPr>
                <w:rFonts w:hint="eastAsia" w:ascii="宋体" w:hAnsi="宋体" w:eastAsia="宋体" w:cs="宋体"/>
                <w:b/>
                <w:bCs/>
                <w:sz w:val="21"/>
                <w:szCs w:val="21"/>
              </w:rPr>
              <w:t>单位</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sz w:val="21"/>
                <w:szCs w:val="21"/>
              </w:rPr>
            </w:pPr>
            <w:r>
              <w:rPr>
                <w:rFonts w:hint="eastAsia" w:ascii="宋体" w:hAnsi="宋体" w:eastAsia="宋体" w:cs="宋体"/>
                <w:b/>
                <w:bCs/>
                <w:sz w:val="21"/>
                <w:szCs w:val="21"/>
              </w:rPr>
              <w:t>数量</w:t>
            </w:r>
          </w:p>
        </w:tc>
      </w:tr>
      <w:tr>
        <w:trPr>
          <w:trHeight w:val="45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设备及安装工程</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（一）</w:t>
            </w: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发电厂设备及安装工程</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一</w:t>
            </w: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光伏组件</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单晶N型640Wp单晶N型双玻</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块</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11168</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MC4连接器</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套</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610</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组串式逆变器100kW，1100V</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台</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30</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组串式逆变器110kW，1100V</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台</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27</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逆变器安装支架</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套</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57</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二</w:t>
            </w: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接入部分</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10kV并网柜KYN28A-12</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面</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1</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开关站一次舱出线、计量、PT、进线、SVG、站用变</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座</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1</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开关站二次舱</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座</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1</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SVG成套设备</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套</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1</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接入系统报告</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项</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1</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直埋线缆</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km</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2</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三</w:t>
            </w: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光伏专用升压</w:t>
            </w:r>
          </w:p>
          <w:p>
            <w:pPr>
              <w:widowControl w:val="false"/>
              <w:jc w:val="center"/>
              <w:rPr>
                <w:rFonts w:hint="eastAsia" w:ascii="宋体" w:hAnsi="宋体" w:eastAsia="宋体" w:cs="宋体"/>
                <w:sz w:val="21"/>
                <w:szCs w:val="21"/>
              </w:rPr>
            </w:pPr>
            <w:r>
              <w:rPr>
                <w:rFonts w:hint="eastAsia" w:ascii="宋体" w:hAnsi="宋体" w:eastAsia="宋体" w:cs="宋体"/>
                <w:sz w:val="21"/>
                <w:szCs w:val="21"/>
              </w:rPr>
              <w:t>变</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箱式变电站SCB14-1600kVA,Dy11，Uk=6%，10±2x2.5%/0.4kV,高压柜、低压柜、站用电源柜、不间断电源柜</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台</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3</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箱式变电站SCB14-1250kVA,Dy11，Uk=6%，10±2x2.5%/0.4kV,高压柜、低压柜、站用电源柜、不间断电源柜</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台</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1</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四</w:t>
            </w: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电缆、桥架及保护管</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光伏专用电缆PV1-F-1x4</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米</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66850</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0.4kV交流电力电缆</w:t>
            </w:r>
          </w:p>
          <w:p>
            <w:pPr>
              <w:widowControl w:val="false"/>
              <w:jc w:val="center"/>
              <w:rPr>
                <w:rFonts w:hint="eastAsia" w:ascii="宋体" w:hAnsi="宋体" w:eastAsia="宋体" w:cs="宋体"/>
                <w:sz w:val="21"/>
                <w:szCs w:val="21"/>
              </w:rPr>
            </w:pPr>
            <w:r>
              <w:rPr>
                <w:rFonts w:hint="eastAsia" w:ascii="宋体" w:hAnsi="宋体" w:eastAsia="宋体" w:cs="宋体"/>
                <w:sz w:val="21"/>
                <w:szCs w:val="21"/>
              </w:rPr>
              <w:t>ZC-YJV22-0.6/1kV-3x120+1x70</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米</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8950</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10kV交流电力电缆</w:t>
            </w:r>
          </w:p>
          <w:p>
            <w:pPr>
              <w:widowControl w:val="false"/>
              <w:jc w:val="center"/>
              <w:rPr>
                <w:rFonts w:hint="eastAsia" w:ascii="宋体" w:hAnsi="宋体" w:eastAsia="宋体" w:cs="宋体"/>
                <w:sz w:val="21"/>
                <w:szCs w:val="21"/>
              </w:rPr>
            </w:pPr>
            <w:r>
              <w:rPr>
                <w:rFonts w:hint="eastAsia" w:ascii="宋体" w:hAnsi="宋体" w:eastAsia="宋体" w:cs="宋体"/>
                <w:sz w:val="21"/>
                <w:szCs w:val="21"/>
              </w:rPr>
              <w:t>ZC-YJLV22-8.7/15kV-3x240</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米</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2500</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0.4kV交流电缆终端头户内</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套</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104</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10kV交流电缆终端头户内，</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套</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4</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室外桥架400×200</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米</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350</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室外桥架200×200</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米</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600</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室外桥架100×100</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米</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2500</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金属软管DN25</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米</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750</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金塑软管DN80</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米</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1050</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热镀锌钢管SC150</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米</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800</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热镀锌钢管SC100</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米</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500</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热镀锌钢管SC80</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米</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400</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电缆井</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个</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10</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五</w:t>
            </w: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防雷及接地</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水平接地体50×5mm热镀</w:t>
            </w:r>
          </w:p>
          <w:p>
            <w:pPr>
              <w:widowControl w:val="false"/>
              <w:jc w:val="center"/>
              <w:rPr>
                <w:rFonts w:hint="eastAsia" w:ascii="宋体" w:hAnsi="宋体" w:eastAsia="宋体" w:cs="宋体"/>
                <w:sz w:val="21"/>
                <w:szCs w:val="21"/>
              </w:rPr>
            </w:pPr>
            <w:r>
              <w:rPr>
                <w:rFonts w:hint="eastAsia" w:ascii="宋体" w:hAnsi="宋体" w:eastAsia="宋体" w:cs="宋体"/>
                <w:sz w:val="21"/>
                <w:szCs w:val="21"/>
              </w:rPr>
              <w:t>锌扁钢</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米</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2233</w:t>
            </w:r>
          </w:p>
          <w:p>
            <w:pPr>
              <w:widowControl w:val="false"/>
              <w:jc w:val="center"/>
              <w:rPr>
                <w:rFonts w:hint="eastAsia" w:ascii="宋体" w:hAnsi="宋体" w:eastAsia="宋体" w:cs="宋体"/>
                <w:sz w:val="21"/>
                <w:szCs w:val="21"/>
              </w:rPr>
            </w:pPr>
            <w:r>
              <w:rPr>
                <w:rFonts w:hint="eastAsia" w:ascii="宋体" w:hAnsi="宋体" w:eastAsia="宋体" w:cs="宋体"/>
                <w:sz w:val="21"/>
                <w:szCs w:val="21"/>
              </w:rPr>
              <w:t>6</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垂直接地体L 50×50×5镀</w:t>
            </w:r>
          </w:p>
          <w:p>
            <w:pPr>
              <w:widowControl w:val="false"/>
              <w:jc w:val="center"/>
              <w:rPr>
                <w:rFonts w:hint="eastAsia" w:ascii="宋体" w:hAnsi="宋体" w:eastAsia="宋体" w:cs="宋体"/>
                <w:sz w:val="21"/>
                <w:szCs w:val="21"/>
              </w:rPr>
            </w:pPr>
            <w:r>
              <w:rPr>
                <w:rFonts w:hint="eastAsia" w:ascii="宋体" w:hAnsi="宋体" w:eastAsia="宋体" w:cs="宋体"/>
                <w:sz w:val="21"/>
                <w:szCs w:val="21"/>
              </w:rPr>
              <w:t>锌角钢</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根</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64</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接地线BVR-1×4mmm2</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米</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1117</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接地线BVR-1×6mmm2</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米</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1525</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接地线BVR-1×16mmm2</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米</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1720</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六</w:t>
            </w: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防火封堵</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防火堵料LK-ZH-D</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kg</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300</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防火涂料LK-ZH-T</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kg</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150</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磷酸铵盐干粉灭火器</w:t>
            </w:r>
          </w:p>
          <w:p>
            <w:pPr>
              <w:widowControl w:val="false"/>
              <w:jc w:val="center"/>
              <w:rPr>
                <w:rFonts w:hint="eastAsia" w:ascii="宋体" w:hAnsi="宋体" w:eastAsia="宋体" w:cs="宋体"/>
                <w:sz w:val="21"/>
                <w:szCs w:val="21"/>
              </w:rPr>
            </w:pPr>
            <w:r>
              <w:rPr>
                <w:rFonts w:hint="eastAsia" w:ascii="宋体" w:hAnsi="宋体" w:eastAsia="宋体" w:cs="宋体"/>
                <w:sz w:val="21"/>
                <w:szCs w:val="21"/>
              </w:rPr>
              <w:t>MF/ABC4</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具</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34</w:t>
            </w:r>
          </w:p>
        </w:tc>
      </w:tr>
      <w:tr>
        <w:trPr>
          <w:trHeight w:val="476" w:hRule="atLeast"/>
          <w:jc w:val="center"/>
        </w:trPr>
        <w:tc>
          <w:tcPr>
            <w:tcW w:w="79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p>
        </w:tc>
        <w:tc>
          <w:tcPr>
            <w:tcW w:w="4747"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消防灭火器箱</w:t>
            </w:r>
          </w:p>
        </w:tc>
        <w:tc>
          <w:tcPr>
            <w:tcW w:w="1473"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个</w:t>
            </w:r>
          </w:p>
        </w:tc>
        <w:tc>
          <w:tcPr>
            <w:tcW w:w="1492"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sz w:val="21"/>
                <w:szCs w:val="21"/>
              </w:rPr>
            </w:pPr>
            <w:r>
              <w:rPr>
                <w:rFonts w:hint="eastAsia" w:ascii="宋体" w:hAnsi="宋体" w:eastAsia="宋体" w:cs="宋体"/>
                <w:sz w:val="21"/>
                <w:szCs w:val="21"/>
              </w:rPr>
              <w:t>17</w:t>
            </w: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left="0" w:leftChars="0" w:firstLine="0" w:firstLineChars="0"/>
        <w:textAlignment w:val="baseline"/>
        <w:rPr>
          <w:rFonts w:hint="eastAsia" w:ascii="宋体" w:hAnsi="宋体" w:eastAsia="宋体" w:cs="宋体"/>
          <w:b/>
          <w:bCs w:val="false"/>
          <w:i w:val="false"/>
          <w:iCs w:val="false"/>
          <w:caps w:val="false"/>
          <w:smallCaps w:val="false"/>
          <w:strike w:val="false"/>
          <w:dstrike w:val="false"/>
          <w:vanish w:val="false"/>
          <w:color w:val="auto"/>
          <w:spacing w:val="0"/>
          <w:kern w:val="0"/>
          <w:position w:val="0"/>
          <w:sz w:val="28"/>
          <w:szCs w:val="28"/>
          <w:u w:val="none"/>
          <w:vertAlign w:val="baseline"/>
          <w:lang w:val="en-US" w:eastAsia="zh-CN" w:bidi="ar-SA"/>
        </w:rPr>
      </w:pPr>
      <w:r>
        <w:rPr>
          <w:rFonts w:hint="eastAsia" w:ascii="宋体" w:hAnsi="宋体" w:eastAsia="宋体" w:cs="宋体"/>
          <w:b/>
          <w:bCs/>
          <w:sz w:val="28"/>
          <w:szCs w:val="28"/>
          <w:lang w:val="en-US" w:eastAsia="zh-CN"/>
        </w:rPr>
        <w:t>4.2.6 光伏支架设计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bookmarkStart w:id="52" w:name="OLE_LINK147"/>
      <w:r>
        <w:rPr>
          <w:rFonts w:hint="eastAsia" w:ascii="宋体" w:hAnsi="宋体" w:eastAsia="宋体" w:cs="宋体"/>
          <w:snapToGrid/>
          <w:color w:val="auto"/>
          <w:spacing w:val="0"/>
          <w:w w:val="100"/>
          <w:kern w:val="2"/>
          <w:position w:val="0"/>
          <w:sz w:val="28"/>
          <w:szCs w:val="28"/>
          <w:lang w:val="en-US" w:eastAsia="zh-CN" w:bidi="zh-CN"/>
        </w:rPr>
        <w:t>光伏导轨设计依据《光伏发电站设计规范》GB50797-2012进行设计，风荷载、雪荷载和温度荷载按现行国家标准《建筑结构荷载规范》GB50009中25年一遇的荷载数值取值。支架风荷载体形系数取1.3。屋面光伏电站不考虑地震作用，位移计算采用各荷载分项系数均应取为1.0；承载力计算时，荷载分项系数按下表采用。</w:t>
      </w:r>
    </w:p>
    <w:p>
      <w:pPr>
        <w:ind w:left="0" w:leftChars="0" w:firstLine="0" w:firstLineChars="0"/>
        <w:rPr/>
      </w:pPr>
      <w:r>
        <w:rPr/>
        <w:drawing>
          <wp:inline distT="0" distB="0" distL="0" distR="0">
            <wp:extent cx="5429250" cy="1562100"/>
            <wp:effectExtent l="0" t="0" r="11430" b="7620"/>
            <wp:docPr id="29" name="图片 17"/>
            <wp:cNvGraphicFramePr>
              <a:graphicFrameLocks noChangeAspect="true"/>
            </wp:cNvGraphicFramePr>
            <a:graphic>
              <a:graphicData uri="http://schemas.openxmlformats.org/drawingml/2006/picture">
                <pic:pic>
                  <pic:nvPicPr>
                    <pic:cNvPr id="30" name="图片 17"/>
                    <pic:cNvPicPr>
                      <a:picLocks noChangeAspect="true" noChangeArrowheads="true"/>
                    </pic:cNvPicPr>
                  </pic:nvPicPr>
                  <pic:blipFill>
                    <a:blip r:embed="rId16"/>
                    <a:srcRect/>
                    <a:stretch>
                      <a:fillRect/>
                    </a:stretch>
                  </pic:blipFill>
                  <pic:spPr>
                    <a:xfrm>
                      <a:off x="0" y="0"/>
                      <a:ext cx="5429250" cy="1562100"/>
                    </a:xfrm>
                    <a:prstGeom prst="rect">
                      <a:avLst/>
                    </a:prstGeom>
                    <a:noFill/>
                    <a:ln w="9525" cmpd="sng">
                      <a:noFill/>
                      <a:miter lim="800000"/>
                      <a:headEnd/>
                      <a:tailEnd/>
                    </a:ln>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设计时采用25年一遇平均最大风速作为计算依据，确保支架系统安全、稳定。支架设计时考虑恒载0.5kN/㎡(组件不同，重量不同)，雪荷载0.52kN/㎡。支架受力设计的主要影响因素为风荷载，在各种荷载组合下，支架应满足规范对强度、刚度、稳定等各项指标要求。本工程设计风荷载取自当地气象资料中的多年最大风速换算风压与建筑结构荷载规范中地区基本风压的较大值。风速与风压关系式为Wk=S²/1600。</w:t>
      </w:r>
      <w:bookmarkEnd w:id="52"/>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电池板组件支撑系统安装施工固定支架结构形式为：将导轨固定在彩钢瓦上，将组件通过压块固定在导轨上。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屋顶支架安装示意图如下所示：</w:t>
      </w:r>
    </w:p>
    <w:p>
      <w:pPr>
        <w:pStyle w:val="00000c"/>
        <w:ind w:left="0" w:leftChars="0" w:firstLine="0" w:firstLineChars="0"/>
        <w:jc w:val="center"/>
        <w:rPr/>
      </w:pPr>
      <w:r>
        <w:rPr>
          <w:kern w:val="0"/>
        </w:rPr>
        <w:drawing>
          <wp:inline distT="0" distB="0" distL="0" distR="0">
            <wp:extent cx="5457825" cy="2438400"/>
            <wp:effectExtent l="0" t="0" r="13335" b="0"/>
            <wp:docPr id="32" name="图片 38" descr="说明: F:\胡高志\其他\国强和新扬子\新扬子照片\新扬子项目施工照片\20141024IMG_20141024_143624.jpg"/>
            <wp:cNvGraphicFramePr>
              <a:graphicFrameLocks noChangeAspect="true"/>
            </wp:cNvGraphicFramePr>
            <a:graphic>
              <a:graphicData uri="http://schemas.openxmlformats.org/drawingml/2006/picture">
                <pic:pic>
                  <pic:nvPicPr>
                    <pic:cNvPr id="33" name="图片 38" descr="说明: F:\胡高志\其他\国强和新扬子\新扬子照片\新扬子项目施工照片\20141024IMG_20141024_143624.jpg"/>
                    <pic:cNvPicPr>
                      <a:picLocks noChangeAspect="true" noChangeArrowheads="true"/>
                    </pic:cNvPicPr>
                  </pic:nvPicPr>
                  <pic:blipFill>
                    <a:blip r:embed="rId17"/>
                    <a:srcRect t="7372"/>
                    <a:stretch>
                      <a:fillRect/>
                    </a:stretch>
                  </pic:blipFill>
                  <pic:spPr>
                    <a:xfrm>
                      <a:off x="0" y="0"/>
                      <a:ext cx="5457825" cy="2438400"/>
                    </a:xfrm>
                    <a:prstGeom prst="rect">
                      <a:avLst/>
                    </a:prstGeom>
                    <a:noFill/>
                    <a:ln w="9525" cmpd="sng">
                      <a:noFill/>
                      <a:miter lim="800000"/>
                      <a:headEnd/>
                      <a:tailEnd/>
                    </a:ln>
                    <a:effectLst/>
                  </pic:spPr>
                </pic:pic>
              </a:graphicData>
            </a:graphic>
          </wp:inline>
        </w:drawing>
      </w:r>
    </w:p>
    <w:p>
      <w:pPr>
        <w:autoSpaceDE w:val="false"/>
        <w:autoSpaceDN w:val="false"/>
        <w:adjustRightInd w:val="false"/>
        <w:ind w:left="0" w:leftChars="0" w:firstLine="0" w:firstLineChars="0"/>
        <w:jc w:val="center"/>
        <w:rPr>
          <w:kern w:val="0"/>
          <w:sz w:val="24"/>
          <w:szCs w:val="24"/>
        </w:rPr>
      </w:pPr>
      <w:r>
        <w:rPr>
          <w:rFonts w:hint="eastAsia"/>
          <w:kern w:val="0"/>
          <w:sz w:val="24"/>
          <w:szCs w:val="24"/>
        </w:rPr>
        <w:drawing>
          <wp:inline distT="0" distB="0" distL="0" distR="0">
            <wp:extent cx="5514975" cy="3429000"/>
            <wp:effectExtent l="0" t="0" r="1905" b="0"/>
            <wp:docPr id="35" name="图片 35" descr="3f955fae02b5dd92c794a23cec89e73"/>
            <wp:cNvGraphicFramePr>
              <a:graphicFrameLocks noChangeAspect="true"/>
            </wp:cNvGraphicFramePr>
            <a:graphic>
              <a:graphicData uri="http://schemas.openxmlformats.org/drawingml/2006/picture">
                <pic:pic>
                  <pic:nvPicPr>
                    <pic:cNvPr id="36" name="图片 35" descr="3f955fae02b5dd92c794a23cec89e73"/>
                    <pic:cNvPicPr>
                      <a:picLocks noChangeAspect="true" noChangeArrowheads="true"/>
                    </pic:cNvPicPr>
                  </pic:nvPicPr>
                  <pic:blipFill>
                    <a:blip r:embed="rId18" cstate="print"/>
                    <a:srcRect/>
                    <a:stretch>
                      <a:fillRect/>
                    </a:stretch>
                  </pic:blipFill>
                  <pic:spPr>
                    <a:xfrm>
                      <a:off x="0" y="0"/>
                      <a:ext cx="5514975" cy="3429000"/>
                    </a:xfrm>
                    <a:prstGeom prst="rect">
                      <a:avLst/>
                    </a:prstGeom>
                    <a:noFill/>
                    <a:ln w="9525" cmpd="sng">
                      <a:noFill/>
                      <a:miter lim="800000"/>
                      <a:headEnd/>
                      <a:tailEnd/>
                    </a:ln>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jc w:val="center"/>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以上是安装后的效果图</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53" w:name="_Toc30608"/>
      <w:bookmarkStart w:id="54" w:name="_Toc10826"/>
      <w:bookmarkStart w:id="55" w:name="_Toc21934"/>
      <w:bookmarkStart w:id="56" w:name="_Toc16810"/>
      <w:r>
        <w:rPr>
          <w:rFonts w:hint="eastAsia" w:ascii="宋体" w:hAnsi="宋体" w:eastAsia="宋体" w:cs="宋体"/>
          <w:b/>
          <w:bCs/>
          <w:sz w:val="28"/>
          <w:szCs w:val="28"/>
          <w:lang w:val="en-US" w:eastAsia="zh-CN"/>
        </w:rPr>
        <w:t>4.3 储能系统配置方案</w:t>
      </w:r>
      <w:bookmarkEnd w:id="53"/>
      <w:bookmarkEnd w:id="54"/>
      <w:bookmarkEnd w:id="55"/>
      <w:bookmarkEnd w:id="56"/>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4.3.1 设计方案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规划在园区内设置变电站一座，项目总体容量为10MW/20MWh，由4个2.50MW/5.00MWh独立集装箱式储能单元构成。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同时配套提升园区绿化景观及增加充电桩工程。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该储能方案采用CATL280AH磷酸铁锂储能电池，具有“能量密度高，循环寿命长，系统设计高度集成化”的出色储能效益，其系统内部集成储能电池、BMS、温控、消防和照明等子系统，并集成在一个40尺的标准预制舱中。</w:t>
      </w:r>
    </w:p>
    <w:p>
      <w:pPr>
        <w:ind w:left="0" w:leftChars="0" w:firstLine="0" w:firstLineChars="0"/>
        <w:jc w:val="center"/>
        <w:rPr>
          <w:rFonts w:ascii="宋体" w:hAnsi="宋体"/>
        </w:rPr>
      </w:pPr>
      <w:r>
        <w:rPr>
          <w:rFonts w:ascii="宋体" w:hAnsi="宋体"/>
        </w:rPr>
        <w:drawing>
          <wp:inline distT="0" distB="0" distL="0" distR="0">
            <wp:extent cx="5288280" cy="3667760"/>
            <wp:effectExtent l="0" t="0" r="0" b="5080"/>
            <wp:docPr id="38" name="图片 3" descr="C:\Users\Administrator\Documents\WeChat Files\wxid_6xj7tm83ftvi21\FileStorage\Temp\1684392748248.png"/>
            <wp:cNvGraphicFramePr>
              <a:graphicFrameLocks noChangeAspect="true"/>
            </wp:cNvGraphicFramePr>
            <a:graphic>
              <a:graphicData uri="http://schemas.openxmlformats.org/drawingml/2006/picture">
                <pic:pic>
                  <pic:nvPicPr>
                    <pic:cNvPr id="39" name="图片 3" descr="C:\Users\Administrator\Documents\WeChat Files\wxid_6xj7tm83ftvi21\FileStorage\Temp\1684392748248.png"/>
                    <pic:cNvPicPr>
                      <a:picLocks noChangeAspect="true" noChangeArrowheads="true"/>
                    </pic:cNvPicPr>
                  </pic:nvPicPr>
                  <pic:blipFill>
                    <a:blip r:embed="rId19" cstate="print"/>
                    <a:srcRect/>
                    <a:stretch>
                      <a:fillRect/>
                    </a:stretch>
                  </pic:blipFill>
                  <pic:spPr>
                    <a:xfrm>
                      <a:off x="0" y="0"/>
                      <a:ext cx="5288865" cy="3668233"/>
                    </a:xfrm>
                    <a:prstGeom prst="rect">
                      <a:avLst/>
                    </a:prstGeom>
                    <a:noFill/>
                    <a:ln w="9525">
                      <a:noFill/>
                      <a:miter lim="800000"/>
                      <a:headEnd/>
                      <a:tailEnd/>
                    </a:ln>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4.3.2 电池集装箱组成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集装箱采用内维护方式，分为电池和PCS两个舱室放置，整个储能系统容量为5</w:t>
      </w:r>
      <w:r>
        <w:rPr>
          <w:rFonts w:ascii="宋体" w:hAnsi="宋体" w:eastAsia="宋体" w:cs="宋体"/>
          <w:i w:val="false"/>
          <w:strike w:val="false"/>
          <w:spacing w:val="0"/>
          <w:sz w:val="28"/>
          <w:u w:val="none"/>
        </w:rPr>
        <w:t>000KWH</w:t>
      </w:r>
      <w:r>
        <w:rPr>
          <w:rFonts w:hint="eastAsia" w:ascii="宋体" w:hAnsi="宋体" w:eastAsia="宋体" w:cs="宋体"/>
          <w:snapToGrid/>
          <w:color w:val="auto"/>
          <w:spacing w:val="0"/>
          <w:w w:val="100"/>
          <w:kern w:val="2"/>
          <w:position w:val="0"/>
          <w:sz w:val="28"/>
          <w:szCs w:val="28"/>
          <w:lang w:val="en-US" w:eastAsia="zh-CN" w:bidi="zh-CN"/>
        </w:rPr>
        <w:t>，共有4个电池簇单元，包含电池模组、高压控制盒、电池架、BMS及高低压连接线束等放置于集装箱内。其中，电池组采用模块化设计，每个电池组为1P16S。每个电池组配置一个电池管理单元（BMU），对单体电池的电压、温度等参数进行检测；每一个电池簇由15个电池模组串联组成，共1P240S，单个电池系统由10个电池簇并联组成，共10P240S。</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4.3.3 集装箱消防方案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电池箱内采取了一套手自动一体消防系统。该消防系统由火灾报警控制器/气体灭火控制盘、复合型气体探测器、声光报警器、警铃、放气指示灯、手动紧急启/停按钮、业务箱灭火装置（含灭火剂储存瓶、电磁驱动装置、压力信号器）、业务箱配套件（喷头、高压软管）、供电箱灭火装置（含灭火剂储存瓶、电磁驱动装置、压力信号器）组成。</w:t>
      </w:r>
    </w:p>
    <w:p>
      <w:pPr>
        <w:ind w:firstLine="550"/>
        <w:jc w:val="center"/>
        <w:rPr>
          <w:spacing w:val="-3"/>
        </w:rPr>
      </w:pPr>
      <w:r>
        <w:rPr>
          <w:spacing w:val="-3"/>
        </w:rPr>
        <w:drawing>
          <wp:inline distT="0" distB="0" distL="0" distR="0">
            <wp:extent cx="4086225" cy="5465445"/>
            <wp:effectExtent l="0" t="0" r="13335" b="5715"/>
            <wp:docPr id="41" name="图片 5" descr="C:\Users\Administrator\Documents\WeChat Files\wxid_6xj7tm83ftvi21\FileStorage\Temp\1684393210985.png"/>
            <wp:cNvGraphicFramePr>
              <a:graphicFrameLocks noChangeAspect="true"/>
            </wp:cNvGraphicFramePr>
            <a:graphic>
              <a:graphicData uri="http://schemas.openxmlformats.org/drawingml/2006/picture">
                <pic:pic>
                  <pic:nvPicPr>
                    <pic:cNvPr id="42" name="图片 5" descr="C:\Users\Administrator\Documents\WeChat Files\wxid_6xj7tm83ftvi21\FileStorage\Temp\1684393210985.png"/>
                    <pic:cNvPicPr>
                      <a:picLocks noChangeAspect="true" noChangeArrowheads="true"/>
                    </pic:cNvPicPr>
                  </pic:nvPicPr>
                  <pic:blipFill>
                    <a:blip r:embed="rId20" cstate="print"/>
                    <a:srcRect/>
                    <a:stretch>
                      <a:fillRect/>
                    </a:stretch>
                  </pic:blipFill>
                  <pic:spPr>
                    <a:xfrm>
                      <a:off x="0" y="0"/>
                      <a:ext cx="4088029" cy="5468402"/>
                    </a:xfrm>
                    <a:prstGeom prst="rect">
                      <a:avLst/>
                    </a:prstGeom>
                    <a:noFill/>
                    <a:ln w="9525">
                      <a:noFill/>
                      <a:miter lim="800000"/>
                      <a:headEnd/>
                      <a:tailEnd/>
                    </a:ln>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4.3.4 BMS系统概述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电池管理系统主要由总控单元（三级架构）（BAU）、主控单元（BCU）、从控单元（BMU）以及相应的线束组成，系统具有功能覆盖广，体积小，抗干扰性能强，安全可靠等特点。</w:t>
      </w:r>
    </w:p>
    <w:p>
      <w:pPr>
        <w:ind w:firstLine="0" w:firstLineChars="0"/>
        <w:jc w:val="center"/>
        <w:rPr/>
      </w:pPr>
      <w:r>
        <w:rPr/>
        <w:drawing>
          <wp:inline distT="0" distB="0" distL="0" distR="0">
            <wp:extent cx="4413250" cy="2846705"/>
            <wp:effectExtent l="0" t="0" r="6350" b="3175"/>
            <wp:docPr id="44" name="图片 4" descr="C:\Users\Administrator\Documents\WeChat Files\wxid_6xj7tm83ftvi21\FileStorage\Temp\1684393137472.png"/>
            <wp:cNvGraphicFramePr>
              <a:graphicFrameLocks noChangeAspect="true"/>
            </wp:cNvGraphicFramePr>
            <a:graphic>
              <a:graphicData uri="http://schemas.openxmlformats.org/drawingml/2006/picture">
                <pic:pic>
                  <pic:nvPicPr>
                    <pic:cNvPr id="45" name="图片 4" descr="C:\Users\Administrator\Documents\WeChat Files\wxid_6xj7tm83ftvi21\FileStorage\Temp\1684393137472.png"/>
                    <pic:cNvPicPr>
                      <a:picLocks noChangeAspect="true" noChangeArrowheads="true"/>
                    </pic:cNvPicPr>
                  </pic:nvPicPr>
                  <pic:blipFill>
                    <a:blip r:embed="rId21"/>
                    <a:srcRect/>
                    <a:stretch>
                      <a:fillRect/>
                    </a:stretch>
                  </pic:blipFill>
                  <pic:spPr>
                    <a:xfrm>
                      <a:off x="0" y="0"/>
                      <a:ext cx="4436086" cy="2862026"/>
                    </a:xfrm>
                    <a:prstGeom prst="rect">
                      <a:avLst/>
                    </a:prstGeom>
                    <a:noFill/>
                    <a:ln w="9525">
                      <a:noFill/>
                      <a:miter lim="800000"/>
                      <a:headEnd/>
                      <a:tailEnd/>
                    </a:ln>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4.3.5 EMS系统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能量管理系统是储能电站的重要组成部分，它为微电网调度控制中心提供数据管理、监视、控制和优化，保障储能系统的稳定高效运行。能量管理系统为储能系统内部每个能源控制器提供功率和电压设定点；确保满足系统中热负荷、电负荷需求；确保系统满足与主网系统之间的运行协议；尽可能使能源消耗与系统损耗最小；提供系统故障情况下孤岛运行与重合闸的逻辑与控制方法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本储能系统中，EMS通讯拓扑分为三层结构：云监控、本地监控、协调控制；底层设备：1台500kW储能变流器、电池管理系统（BMS）、环境监测设备、消防系统、空调或门禁系统等均接入监控系统。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云监控：WEB展示、手机APP展示、报表数据分析、电池数据全景分析。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本地监控：本地展示、控制策略、自动逻辑、自动手动控制、历史数据报表、视频接入。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现场控制：通讯接入PCS、BMS、消防、空调控制，关键设备保护。</w:t>
      </w:r>
    </w:p>
    <w:p>
      <w:pPr>
        <w:ind w:left="0" w:leftChars="0" w:firstLine="0" w:firstLineChars="0"/>
        <w:jc w:val="center"/>
        <w:rPr/>
      </w:pPr>
      <w:r>
        <w:rPr/>
        <w:drawing>
          <wp:inline distT="0" distB="0" distL="0" distR="0">
            <wp:extent cx="4819650" cy="2595880"/>
            <wp:effectExtent l="0" t="0" r="11430" b="10160"/>
            <wp:docPr id="47" name="图片 6" descr="C:\Users\Administrator\Documents\WeChat Files\wxid_6xj7tm83ftvi21\FileStorage\Temp\1684393292552(1).png"/>
            <wp:cNvGraphicFramePr>
              <a:graphicFrameLocks noChangeAspect="true"/>
            </wp:cNvGraphicFramePr>
            <a:graphic>
              <a:graphicData uri="http://schemas.openxmlformats.org/drawingml/2006/picture">
                <pic:pic>
                  <pic:nvPicPr>
                    <pic:cNvPr id="48" name="图片 6" descr="C:\Users\Administrator\Documents\WeChat Files\wxid_6xj7tm83ftvi21\FileStorage\Temp\1684393292552(1).png"/>
                    <pic:cNvPicPr>
                      <a:picLocks noChangeAspect="true" noChangeArrowheads="true"/>
                    </pic:cNvPicPr>
                  </pic:nvPicPr>
                  <pic:blipFill>
                    <a:blip r:embed="rId22"/>
                    <a:srcRect r="6523"/>
                    <a:stretch>
                      <a:fillRect/>
                    </a:stretch>
                  </pic:blipFill>
                  <pic:spPr>
                    <a:xfrm>
                      <a:off x="0" y="0"/>
                      <a:ext cx="4839663" cy="2606898"/>
                    </a:xfrm>
                    <a:prstGeom prst="rect">
                      <a:avLst/>
                    </a:prstGeom>
                    <a:noFill/>
                    <a:ln w="9525">
                      <a:noFill/>
                      <a:miter lim="800000"/>
                      <a:headEnd/>
                      <a:tailEnd/>
                    </a:ln>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bookmarkStart w:id="57" w:name="_Toc17748"/>
      <w:bookmarkStart w:id="58" w:name="_Toc20518"/>
      <w:r>
        <w:rPr>
          <w:rFonts w:hint="eastAsia" w:ascii="宋体" w:hAnsi="宋体" w:eastAsia="宋体" w:cs="宋体"/>
          <w:b/>
          <w:bCs/>
          <w:sz w:val="28"/>
          <w:szCs w:val="28"/>
          <w:lang w:val="en-US" w:eastAsia="zh-CN"/>
        </w:rPr>
        <w:t>4.3.6 光伏储能系统一次单线图</w:t>
      </w:r>
      <w:bookmarkEnd w:id="57"/>
      <w:bookmarkEnd w:id="58"/>
    </w:p>
    <w:p>
      <w:pPr>
        <w:ind w:firstLine="0" w:firstLineChars="0"/>
        <w:jc w:val="center"/>
        <w:rPr/>
      </w:pPr>
      <w:r>
        <w:rPr/>
        <w:drawing>
          <wp:inline distT="0" distB="0" distL="0" distR="0">
            <wp:extent cx="4828540" cy="2784475"/>
            <wp:effectExtent l="0" t="0" r="0" b="0"/>
            <wp:docPr id="50" name="picture" descr="descript"/>
            <wp:cNvGraphicFramePr/>
            <a:graphic>
              <a:graphicData uri="http://schemas.openxmlformats.org/drawingml/2006/picture">
                <pic:pic>
                  <pic:nvPicPr>
                    <pic:cNvPr id="51" name="picture" descr="descript"/>
                    <pic:cNvPicPr/>
                  </pic:nvPicPr>
                  <pic:blipFill>
                    <a:blip r:embed="rId23"/>
                    <a:srcRect l="5054" t="13681" r="3430" b="10842"/>
                    <a:stretch>
                      <a:fillRect/>
                    </a:stretch>
                  </pic:blipFill>
                  <pic:spPr>
                    <a:xfrm>
                      <a:off x="0" y="0"/>
                      <a:ext cx="4829154" cy="2784980"/>
                    </a:xfrm>
                    <a:prstGeom prst="rect">
                      <a:avLst/>
                    </a:prstGeom>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bookmarkStart w:id="59" w:name="_Toc11139"/>
      <w:bookmarkStart w:id="60" w:name="_Toc25380"/>
      <w:r>
        <w:rPr>
          <w:rFonts w:hint="eastAsia" w:ascii="宋体" w:hAnsi="宋体" w:eastAsia="宋体" w:cs="宋体"/>
          <w:b/>
          <w:bCs/>
          <w:sz w:val="28"/>
          <w:szCs w:val="28"/>
          <w:lang w:val="en-US" w:eastAsia="zh-CN"/>
        </w:rPr>
        <w:t>4.3.7 电缆、导线的选型及敷设</w:t>
      </w:r>
      <w:bookmarkEnd w:id="59"/>
      <w:bookmarkEnd w:id="60"/>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组串至逆变器的线缆采用PV-F-1x4，直流1000V光伏专用电缆，沿支架横梁敷设至桥架，无横梁的地方穿UPVC管敷设；当同一个逆变器的组串不在同一排时，前后排组串的线缆穿UPVC管至逆变器。逆变器至并网柜的电气线缆采用ZC-YJV22-1.6/3.3kV交联聚乙烯绝缘聚氯乙烯护套电力电缆经桥架敷设至地面后再直埋或穿管进入并网柜，并在进线处做好防火封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直流电缆、动力电缆与控制电缆之间应尽可能分开或分隔敷设。</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61" w:name="_Toc16259"/>
      <w:bookmarkStart w:id="62" w:name="_Toc25664"/>
      <w:r>
        <w:rPr>
          <w:rFonts w:hint="eastAsia" w:ascii="宋体" w:hAnsi="宋体" w:eastAsia="宋体" w:cs="宋体"/>
          <w:b/>
          <w:bCs/>
          <w:sz w:val="28"/>
          <w:szCs w:val="28"/>
          <w:lang w:val="en-US" w:eastAsia="zh-CN"/>
        </w:rPr>
        <w:t>4.4 建设管理方案</w:t>
      </w:r>
      <w:bookmarkEnd w:id="61"/>
      <w:bookmarkEnd w:id="62"/>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4.4.1 项目组织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为确保项目的建设能够顺利的进行、顺利实施，尽快的投入运营，早日的发挥其重要的价值所在，务必切实加强领导，做好项目的前期准备工作，确保项目的工程质量与进度的完善。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本项目在建设期间，由建设单位组建建设领导小组，有效地负责项目的组织、协调与管理，并负责控制项目建设的进度、质量和投资。项目指挥部下设办公室、工程管理部、物资供应部、计划财务部等职能部门。</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4.4.2 项目管理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1、建设期管理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确保工程建设的顺利进行，由主管单位和建设单位成立本项目建设领导小组，切实加强对建设工程项目的领导，“领导小组”内各职能部门都能密切协调配合，做到目标、项目、资金、人员、责任、监督“六落实”并采取有力措施，层层签订责任状，确保项目的顺利实施，并收到预期效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整个项目建设要严格执行项目法人制、招投标制、质量监督管理制和工程合同制。要牢固树立“质量第一”的思想，严格把住各个环节的质量关，对项目的资金要做到专款专用，专户储存，封闭使用，严禁资金的挪用，确保项目资金的及时足额到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领导小组负责项目设计、施工和监理的招投标、协调计划落实和工程项目的监督管理、项目的监督检查、资金的落实，确保本项目按期顺利完成，其具体工作如下：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（1）实行招标投标制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对项目勘察设计、施工、监理以及与工程建设有关的设备、主要材料等的采购，面向社会进行公开招标，以达到提高工程质量，降低成本的目的。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（2）实行工程质量终身责任制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对项目建设工程质量负主要责任的领导、对参建单位的领导人和直接责任人，实行工程质量终身负责制度。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（3）实行工程监理制度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项目建设过程中，聘请有资质的监理单位和人员，对项目建设进行监理，抓好工程进度，提高工程质量，降低成本。</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（4）严格按照基本建设程序办事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项目建设过程中，同级审计部门会同纪检监察部门应对建设项目随时进行审计和监督，本项目也应该接受计划、审计等部门和社会舆论的监督，建成后按照有关规定进行严格的竣工验收。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（5）严格项目资金管理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要强化项目区建设专项资金的管理，实行封闭运行的财务管理机制，将建设项目分户建卡，实行专账管理、专款专用，根据项目所需的设备、材料和人工费用按验收凭证经检查、验收后进入预算或结算程序，严禁挪用和挤占。</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2、运营期管理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运营管理包括节能与节水管理、耗材管理、绿化管理、垃圾管理四方面内容：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（1）节能与节水管理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本项目需制定节能和节水管理模式，对厂区内所使用的资源如水、电等进行监控管理的措施，建立完善的节能和节水管理机制。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（2）耗材管理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设备、管道的布置应方便维修、改造和更换；属于公共使用功能的设备、管道应设置在公共部位，以便日常维护和更换。建立耗材管理制度，主要包括建立建筑、设备、系统的维护制度，减少因维修带来的材料消耗，使用各类绿色建筑材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（3）绿化管理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对绿化用水进行计量，建立完善节水型灌溉系统。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（4）垃圾管理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在项目管理阶段制定一套垃圾管理制度，对生活垃圾进行分类收集，以便于相关垃圾处理单位改造利用。</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4.4.3 实施进度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本项目可行性研究报告批准后，建设单位严格按照国家对建设工程的有关规定，积极开展工作。本项目实施主要包括以下五个部分：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1、前期工作：可研报告编制及批复、准备设计资料、土地征用及补偿等。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2、设计工作：建设场地勘察和工程设计等。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3、施工准备：落实协作关系及场地平整。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4、工程施工：进行总图及工程施工。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5、竣工验收：交工验收。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为加快建设进度，缩短建设工期，各阶段工作应尽量提前进行，允许有一定程度交叉。依据项目确定的规划设计方案，项目的建设工期拟定为0.5年。</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jc w:val="center"/>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表4-4项目实施进度计划表</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i w:val="false"/>
          <w:iCs w:val="false"/>
          <w:snapToGrid w:val="false"/>
          <w:color w:val="000000"/>
          <w:kern w:val="0"/>
          <w:sz w:val="21"/>
          <w:szCs w:val="21"/>
          <w:u w:val="none"/>
          <w:lang w:val="en-US" w:eastAsia="zh-CN" w:bidi="ar"/>
        </w:rPr>
        <w:drawing>
          <wp:inline distT="0" distB="0" distL="0" distR="0">
            <wp:extent cx="5274310" cy="2315210"/>
            <wp:effectExtent l="0" t="0" r="0" b="0"/>
            <wp:docPr id="53" name="picture" descr="descript"/>
            <wp:cNvGraphicFramePr/>
            <a:graphic>
              <a:graphicData uri="http://schemas.openxmlformats.org/drawingml/2006/picture">
                <pic:pic>
                  <pic:nvPicPr>
                    <pic:cNvPr id="54" name="picture" descr="descript"/>
                    <pic:cNvPicPr/>
                  </pic:nvPicPr>
                  <pic:blipFill>
                    <a:blip r:embed="rId24"/>
                    <a:stretch>
                      <a:fillRect/>
                    </a:stretch>
                  </pic:blipFill>
                  <pic:spPr>
                    <a:xfrm>
                      <a:off x="0" y="0"/>
                      <a:ext cx="5274310" cy="2315551"/>
                    </a:xfrm>
                    <a:prstGeom prst="rect">
                      <a:avLst/>
                    </a:prstGeom>
                  </pic:spPr>
                </pic:pic>
              </a:graphicData>
            </a:graphic>
          </wp:inline>
        </w:drawing>
      </w:r>
      <w:r>
        <w:rPr>
          <w:rFonts w:hint="eastAsia" w:ascii="宋体" w:hAnsi="宋体" w:eastAsia="宋体" w:cs="宋体"/>
          <w:b/>
          <w:bCs/>
          <w:sz w:val="28"/>
          <w:szCs w:val="28"/>
          <w:lang w:val="en-US" w:eastAsia="zh-CN"/>
        </w:rPr>
        <w:t>4.4.4 项目招投标</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4.4.4.1 招标原则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1、公开原则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公开原则，即要求招标投标活动必须保证充分的透明度，招标投标程序、投标人的资格条件、评标标准和方法、评标和中标结果等信息要公开，保证每个投标人能够获得相同信息，公平参与投标竞争并依法维护自身的合法权益。同时招标投标活动的公开透明，也为当事人、行政和社会监督提供了条件。公开是公平、公正的基础和前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2、公平原则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公平原则，即要求招标人在招标投标各程序环节中一视同仁地给予潜在投标人或者投标人平等竞争的机会，并使其享有同等的权利和义务。例如，招标人不得在资格预审文件和招标文件中含有倾向性内容或者以不合理的条件限制和排斥潜在投标人；不得对潜在投标人或者投标人采取不同的资格审查或者评标标准，依法必须进行招标的项目不得以特定行政区域或者特定行业的业绩、奖项作为评标加分条件或者中标条件等。公平原则主要体现在两个方面:一方面，机会均等，即潜在投标人具有均等的投标竞争机会；另一方面，各方权利义务平等，即招标人和所有投标人之间权利义务均衡并合理承担民事责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3、公正原则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公正原则，即要求招标人必须依法设定科学、合理和统一的程序、方法和标准，并严格据此接受和客观评审投标文件，真正择优确定中标人，不倾向、不歧视、不排斥，保证各投标人的合法平等权益。为此，招标投标法及其配套规定对招标、投标、开标、评标、中标、签订合同等作了相关规定，以保证招标投标的程序、方法、标准、权益及其实体结果的公正。例如，评标委员会必须按照招标文件事先确定并公开的评标标准和方法客观评审投标文件和推荐中标候选人，并明确否决投标的法定情形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4、诚实信用原则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诚实信用原则，即要求招标投标各方当事人在招标投标活动和履行合同中应当以守法、诚实、守信、善意的意识和态度行使权利和履行义务，不得故意隐瞒真相或者弄虚作假，不得串标、围标和恶意竞争，不能言而无信甚至背信弃义，在追求自己合法利益的同时不得损害他人的合法利益和社会利益，依法维护双方利益以及与社会利益的平衡。诚实信用是市场经济的基石和民事活动的基本原则。</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4.4.4.2 招标依据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《中华人民共和国建筑法》；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《中华人民共和国招标投标法》；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河南省招投标有关规定。</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4.4.4.4 招标条件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《工程建设项目施工招标投标办法》第八条中规定：依法必须招标的工程建设项目，应当具备下列条件才能进行施工招标：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1、招标人已经依法成立。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2、初步设计及概算应当履行审批手续的，已经批准。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3、有相应资金或资金来源已经落实。</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4、有招标所需的设计图纸及技术资料。</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4.4.4.5 招标程序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1、项目招标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本项目招标活动具体程序如下：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（1）本项目按照国家有关规定先履行项目审批手续，取得批准后进行公开招标。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（2）招标人在国家指定媒体发布招标公告。公告应当载明招标人名称和地址，招标项目的性质、数量、实施地点和时间以及获取招标文件的办法等事项。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（3）本项目的招标文件应当包括招标项目的技术要求、对投标人资格审查的标准，投标报价要求和评标标准等所有实质性要求和条件以及拟签订合同的主要条款。</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（4）组织潜在投标人踏勘项目现场。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（5）项目招标文件开始发出之日起至投标人提交投标文件截止之日，最短不得少于二十日。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2、项目投标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（1）本项目投标人应当具备承担招标项目的能力，并应按照招标文件的要求编制投标文件。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（2）投标文件的内容应当包括拟派出的项目负责人与主要技术人员的简历、业绩和拟用于完成招标项目的机械设备清单等。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（3）投标人应当在招标文件要求提交投标文件的截止时间前，将投标文件送达投标地点。投标人少于三个的，招标人应当依照本办法重新招标。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（4）投标人拟在中标后将中标项目的部分非主体、非关键性工作进行分包的，应当在投标文件中载明。</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（5）投标人不得相互串通投标报价，不得排挤其他投标人的公平竞争，不得损害招标人或其他投标人的合法权益。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（6）投标人不得以低于成本的报价投标，也不得以他人名义投标或者以其他方式弄虚作假、骗取中标。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3、开标、评标和中标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（1）开标由委托的招标代理机构主持，在招标文件确定的提交投标文件截止时间的同一时间及预先确定的地点，邀请所有投标人参加。</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评标由招标人依法组建的评标委员会负责。评标委员会由五人以上单数组成，其中技术、经济等方面的专家不得少于成员总数的三分之二。专家应当是从事相关领域工作满八年并具有高级职称或具有同等专业水平，对工程项目有较深入的研究，并且职业道德良好，与投标单位无任何利害关系。评标委员会成员应当客观、公正地履行职务，遵守职业道德，对提出的评审意见承担个人责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（3）中标人确定后，招标人向中标人发出中标通知书，该通知书具有法律效力，若中标人放弃中标项目，应当承担法律责任。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自中标通知书发出30日之内，按照招标文件和中标人的投标文件，招标人和中标人签订书面合同。中标人应当按照合同履行义务，完成中标项目。中标人不得向他人转包中标项目，也不得将中标项目肢解后分别向他人转包。</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4.4.4.6 招标方案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本项目所涉及的所有建设项目均按规定要求实施招标，委托有资质的招标单位组织实施，采用公开招标方式，实行合理低价中标的原则，杜绝一切漏洞，保证项目顺利进行，达到项目的最初预期和效益。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1、招标范围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本项目招标范围包括项目的勘察、设计、建安工程施工、设备采购、工程监理等。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2、招标组织形式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根据法律法规规定，本项目拟采取委托招标形式。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3、招标方式本项目的勘察设计、工程监理、建筑施工及安装工程、设备的采购拟采用的招标方式进行公开，择优选择勘察设计单位、建筑安装公司、工程监理公司和设备供货商。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具体招标方案如下所示：</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jc w:val="center"/>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表4-5项目招投标一览表</w:t>
      </w:r>
    </w:p>
    <w:tbl>
      <w:tblPr>
        <w:tblStyle w:val="00000a"/>
        <w:tblW w:w="0" w:type="auto"/>
        <w:tblInd w:w="-79"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315"/>
        <w:gridCol w:w="900"/>
        <w:gridCol w:w="951"/>
        <w:gridCol w:w="886"/>
        <w:gridCol w:w="891"/>
        <w:gridCol w:w="889"/>
        <w:gridCol w:w="890"/>
        <w:gridCol w:w="1109"/>
        <w:gridCol w:w="886"/>
      </w:tblGrid>
      <w:tr>
        <w:trPr>
          <w:trHeight w:val="575" w:hRule="atLeast"/>
        </w:trPr>
        <w:tc>
          <w:tcPr>
            <w:tcW w:w="1315" w:type="dxa"/>
            <w:vMerge w:val="restart"/>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分项</w:t>
            </w:r>
          </w:p>
        </w:tc>
        <w:tc>
          <w:tcPr>
            <w:tcW w:w="1851" w:type="dxa"/>
            <w:gridSpan w:val="2"/>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招标范围</w:t>
            </w:r>
          </w:p>
        </w:tc>
        <w:tc>
          <w:tcPr>
            <w:tcW w:w="1777" w:type="dxa"/>
            <w:gridSpan w:val="2"/>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招标组织形式</w:t>
            </w:r>
          </w:p>
        </w:tc>
        <w:tc>
          <w:tcPr>
            <w:tcW w:w="1779" w:type="dxa"/>
            <w:gridSpan w:val="2"/>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招标方式</w:t>
            </w:r>
          </w:p>
        </w:tc>
        <w:tc>
          <w:tcPr>
            <w:tcW w:w="1109" w:type="dxa"/>
            <w:vMerge w:val="restart"/>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不采用招标方式</w:t>
            </w:r>
          </w:p>
        </w:tc>
        <w:tc>
          <w:tcPr>
            <w:tcW w:w="886" w:type="dxa"/>
            <w:vMerge w:val="restart"/>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投资概算</w:t>
            </w:r>
          </w:p>
          <w:p>
            <w:pPr>
              <w:jc w:val="center"/>
              <w:rPr>
                <w:rFonts w:hint="eastAsia" w:ascii="宋体" w:hAnsi="宋体" w:eastAsia="宋体" w:cs="宋体"/>
                <w:b/>
                <w:bCs/>
                <w:sz w:val="21"/>
                <w:szCs w:val="21"/>
              </w:rPr>
            </w:pPr>
            <w:r>
              <w:rPr>
                <w:rFonts w:hint="eastAsia" w:ascii="宋体" w:hAnsi="宋体" w:eastAsia="宋体" w:cs="宋体"/>
                <w:b/>
                <w:bCs/>
                <w:sz w:val="21"/>
                <w:szCs w:val="21"/>
              </w:rPr>
              <w:t>（万元）</w:t>
            </w:r>
          </w:p>
        </w:tc>
      </w:tr>
      <w:tr>
        <w:trPr>
          <w:trHeight w:val="610" w:hRule="atLeast"/>
        </w:trPr>
        <w:tc>
          <w:tcPr>
            <w:tcW w:w="1315" w:type="dxa"/>
            <w:vMerge w:val="continue"/>
            <w:tcBorders>
              <w:tl2br w:val="nil"/>
              <w:tr2bl w:val="nil"/>
            </w:tcBorders>
            <w:vAlign w:val="center"/>
          </w:tcPr>
          <w:p>
            <w:pPr>
              <w:jc w:val="center"/>
              <w:rPr>
                <w:rFonts w:hint="eastAsia" w:ascii="宋体" w:hAnsi="宋体" w:eastAsia="宋体" w:cs="宋体"/>
                <w:sz w:val="21"/>
                <w:szCs w:val="21"/>
              </w:rPr>
            </w:pPr>
          </w:p>
        </w:tc>
        <w:tc>
          <w:tcPr>
            <w:tcW w:w="900" w:type="dxa"/>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全部招标</w:t>
            </w:r>
          </w:p>
        </w:tc>
        <w:tc>
          <w:tcPr>
            <w:tcW w:w="951" w:type="dxa"/>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部分招标</w:t>
            </w:r>
          </w:p>
        </w:tc>
        <w:tc>
          <w:tcPr>
            <w:tcW w:w="886" w:type="dxa"/>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自行招标</w:t>
            </w:r>
          </w:p>
        </w:tc>
        <w:tc>
          <w:tcPr>
            <w:tcW w:w="891" w:type="dxa"/>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委托招标</w:t>
            </w:r>
          </w:p>
        </w:tc>
        <w:tc>
          <w:tcPr>
            <w:tcW w:w="889" w:type="dxa"/>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公开招标</w:t>
            </w:r>
          </w:p>
        </w:tc>
        <w:tc>
          <w:tcPr>
            <w:tcW w:w="890" w:type="dxa"/>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邀请招标</w:t>
            </w:r>
          </w:p>
        </w:tc>
        <w:tc>
          <w:tcPr>
            <w:tcW w:w="1109" w:type="dxa"/>
            <w:vMerge w:val="continue"/>
            <w:tcBorders>
              <w:tl2br w:val="nil"/>
              <w:tr2bl w:val="nil"/>
            </w:tcBorders>
            <w:vAlign w:val="center"/>
          </w:tcPr>
          <w:p>
            <w:pPr>
              <w:jc w:val="center"/>
              <w:rPr>
                <w:rFonts w:hint="eastAsia" w:ascii="宋体" w:hAnsi="宋体" w:eastAsia="宋体" w:cs="宋体"/>
                <w:sz w:val="21"/>
                <w:szCs w:val="21"/>
              </w:rPr>
            </w:pPr>
          </w:p>
        </w:tc>
        <w:tc>
          <w:tcPr>
            <w:tcW w:w="886" w:type="dxa"/>
            <w:vMerge w:val="continue"/>
            <w:tcBorders>
              <w:tl2br w:val="nil"/>
              <w:tr2bl w:val="nil"/>
            </w:tcBorders>
            <w:vAlign w:val="center"/>
          </w:tcPr>
          <w:p>
            <w:pPr>
              <w:jc w:val="center"/>
              <w:rPr>
                <w:rFonts w:hint="eastAsia" w:ascii="宋体" w:hAnsi="宋体" w:eastAsia="宋体" w:cs="宋体"/>
                <w:sz w:val="21"/>
                <w:szCs w:val="21"/>
              </w:rPr>
            </w:pPr>
          </w:p>
        </w:tc>
      </w:tr>
      <w:tr>
        <w:trPr>
          <w:trHeight w:val="760" w:hRule="atLeast"/>
        </w:trPr>
        <w:tc>
          <w:tcPr>
            <w:tcW w:w="1315"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勘察</w:t>
            </w:r>
          </w:p>
        </w:tc>
        <w:tc>
          <w:tcPr>
            <w:tcW w:w="900"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c>
          <w:tcPr>
            <w:tcW w:w="891"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tcBorders>
              <w:tl2br w:val="nil"/>
              <w:tr2bl w:val="nil"/>
            </w:tcBorders>
            <w:vAlign w:val="center"/>
          </w:tcPr>
          <w:p>
            <w:pPr>
              <w:jc w:val="center"/>
              <w:rPr>
                <w:rFonts w:hint="eastAsia" w:ascii="宋体" w:hAnsi="宋体" w:eastAsia="宋体" w:cs="宋体"/>
                <w:sz w:val="21"/>
                <w:szCs w:val="21"/>
              </w:rPr>
            </w:pPr>
          </w:p>
        </w:tc>
        <w:tc>
          <w:tcPr>
            <w:tcW w:w="1109"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r>
      <w:tr>
        <w:trPr>
          <w:trHeight w:val="760" w:hRule="atLeast"/>
        </w:trPr>
        <w:tc>
          <w:tcPr>
            <w:tcW w:w="1315"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设计</w:t>
            </w:r>
          </w:p>
        </w:tc>
        <w:tc>
          <w:tcPr>
            <w:tcW w:w="900"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c>
          <w:tcPr>
            <w:tcW w:w="891"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tcBorders>
              <w:tl2br w:val="nil"/>
              <w:tr2bl w:val="nil"/>
            </w:tcBorders>
            <w:vAlign w:val="center"/>
          </w:tcPr>
          <w:p>
            <w:pPr>
              <w:jc w:val="center"/>
              <w:rPr>
                <w:rFonts w:hint="eastAsia" w:ascii="宋体" w:hAnsi="宋体" w:eastAsia="宋体" w:cs="宋体"/>
                <w:sz w:val="21"/>
                <w:szCs w:val="21"/>
              </w:rPr>
            </w:pPr>
          </w:p>
        </w:tc>
        <w:tc>
          <w:tcPr>
            <w:tcW w:w="1109"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r>
      <w:tr>
        <w:trPr>
          <w:trHeight w:val="760" w:hRule="atLeast"/>
        </w:trPr>
        <w:tc>
          <w:tcPr>
            <w:tcW w:w="1315"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施工</w:t>
            </w:r>
          </w:p>
        </w:tc>
        <w:tc>
          <w:tcPr>
            <w:tcW w:w="900"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c>
          <w:tcPr>
            <w:tcW w:w="891"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tcBorders>
              <w:tl2br w:val="nil"/>
              <w:tr2bl w:val="nil"/>
            </w:tcBorders>
            <w:vAlign w:val="center"/>
          </w:tcPr>
          <w:p>
            <w:pPr>
              <w:jc w:val="center"/>
              <w:rPr>
                <w:rFonts w:hint="eastAsia" w:ascii="宋体" w:hAnsi="宋体" w:eastAsia="宋体" w:cs="宋体"/>
                <w:sz w:val="21"/>
                <w:szCs w:val="21"/>
              </w:rPr>
            </w:pPr>
          </w:p>
        </w:tc>
        <w:tc>
          <w:tcPr>
            <w:tcW w:w="1109"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r>
      <w:tr>
        <w:trPr>
          <w:trHeight w:val="760" w:hRule="atLeast"/>
        </w:trPr>
        <w:tc>
          <w:tcPr>
            <w:tcW w:w="1315"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工程监理</w:t>
            </w:r>
          </w:p>
        </w:tc>
        <w:tc>
          <w:tcPr>
            <w:tcW w:w="900"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c>
          <w:tcPr>
            <w:tcW w:w="891"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tcBorders>
              <w:tl2br w:val="nil"/>
              <w:tr2bl w:val="nil"/>
            </w:tcBorders>
            <w:vAlign w:val="center"/>
          </w:tcPr>
          <w:p>
            <w:pPr>
              <w:jc w:val="center"/>
              <w:rPr>
                <w:rFonts w:hint="eastAsia" w:ascii="宋体" w:hAnsi="宋体" w:eastAsia="宋体" w:cs="宋体"/>
                <w:sz w:val="21"/>
                <w:szCs w:val="21"/>
              </w:rPr>
            </w:pPr>
          </w:p>
        </w:tc>
        <w:tc>
          <w:tcPr>
            <w:tcW w:w="1109"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r>
      <w:tr>
        <w:trPr>
          <w:trHeight w:val="760" w:hRule="atLeast"/>
        </w:trPr>
        <w:tc>
          <w:tcPr>
            <w:tcW w:w="1315"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重要购置及</w:t>
            </w:r>
          </w:p>
          <w:p>
            <w:pPr>
              <w:jc w:val="center"/>
              <w:rPr>
                <w:rFonts w:hint="eastAsia" w:ascii="宋体" w:hAnsi="宋体" w:eastAsia="宋体" w:cs="宋体"/>
                <w:sz w:val="21"/>
                <w:szCs w:val="21"/>
              </w:rPr>
            </w:pPr>
            <w:r>
              <w:rPr>
                <w:rFonts w:hint="eastAsia" w:ascii="宋体" w:hAnsi="宋体" w:eastAsia="宋体" w:cs="宋体"/>
                <w:sz w:val="21"/>
                <w:szCs w:val="21"/>
              </w:rPr>
              <w:t>材料</w:t>
            </w:r>
          </w:p>
        </w:tc>
        <w:tc>
          <w:tcPr>
            <w:tcW w:w="900"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c>
          <w:tcPr>
            <w:tcW w:w="891"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tcBorders>
              <w:tl2br w:val="nil"/>
              <w:tr2bl w:val="nil"/>
            </w:tcBorders>
            <w:vAlign w:val="center"/>
          </w:tcPr>
          <w:p>
            <w:pPr>
              <w:jc w:val="center"/>
              <w:rPr>
                <w:rFonts w:hint="eastAsia" w:ascii="宋体" w:hAnsi="宋体" w:eastAsia="宋体" w:cs="宋体"/>
                <w:sz w:val="21"/>
                <w:szCs w:val="21"/>
              </w:rPr>
            </w:pPr>
          </w:p>
        </w:tc>
        <w:tc>
          <w:tcPr>
            <w:tcW w:w="1109"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r>
      <w:tr>
        <w:trPr>
          <w:trHeight w:val="760" w:hRule="atLeast"/>
        </w:trPr>
        <w:tc>
          <w:tcPr>
            <w:tcW w:w="1315"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其他</w:t>
            </w:r>
          </w:p>
        </w:tc>
        <w:tc>
          <w:tcPr>
            <w:tcW w:w="900" w:type="dxa"/>
            <w:tcBorders>
              <w:tl2br w:val="nil"/>
              <w:tr2bl w:val="nil"/>
            </w:tcBorders>
            <w:vAlign w:val="center"/>
          </w:tcPr>
          <w:p>
            <w:pPr>
              <w:jc w:val="center"/>
              <w:rPr>
                <w:rFonts w:hint="eastAsia" w:ascii="宋体" w:hAnsi="宋体" w:eastAsia="宋体" w:cs="宋体"/>
                <w:sz w:val="21"/>
                <w:szCs w:val="21"/>
              </w:rPr>
            </w:pPr>
          </w:p>
        </w:tc>
        <w:tc>
          <w:tcPr>
            <w:tcW w:w="951"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c>
          <w:tcPr>
            <w:tcW w:w="891" w:type="dxa"/>
            <w:tcBorders>
              <w:tl2br w:val="nil"/>
              <w:tr2bl w:val="nil"/>
            </w:tcBorders>
            <w:vAlign w:val="center"/>
          </w:tcPr>
          <w:p>
            <w:pPr>
              <w:jc w:val="center"/>
              <w:rPr>
                <w:rFonts w:hint="eastAsia" w:ascii="宋体" w:hAnsi="宋体" w:eastAsia="宋体" w:cs="宋体"/>
                <w:sz w:val="21"/>
                <w:szCs w:val="21"/>
              </w:rPr>
            </w:pPr>
          </w:p>
        </w:tc>
        <w:tc>
          <w:tcPr>
            <w:tcW w:w="889" w:type="dxa"/>
            <w:tcBorders>
              <w:tl2br w:val="nil"/>
              <w:tr2bl w:val="nil"/>
            </w:tcBorders>
            <w:vAlign w:val="center"/>
          </w:tcPr>
          <w:p>
            <w:pPr>
              <w:jc w:val="center"/>
              <w:rPr>
                <w:rFonts w:hint="eastAsia" w:ascii="宋体" w:hAnsi="宋体" w:eastAsia="宋体" w:cs="宋体"/>
                <w:sz w:val="21"/>
                <w:szCs w:val="21"/>
              </w:rPr>
            </w:pPr>
          </w:p>
        </w:tc>
        <w:tc>
          <w:tcPr>
            <w:tcW w:w="890" w:type="dxa"/>
            <w:tcBorders>
              <w:tl2br w:val="nil"/>
              <w:tr2bl w:val="nil"/>
            </w:tcBorders>
            <w:vAlign w:val="center"/>
          </w:tcPr>
          <w:p>
            <w:pPr>
              <w:jc w:val="center"/>
              <w:rPr>
                <w:rFonts w:hint="eastAsia" w:ascii="宋体" w:hAnsi="宋体" w:eastAsia="宋体" w:cs="宋体"/>
                <w:sz w:val="21"/>
                <w:szCs w:val="21"/>
              </w:rPr>
            </w:pPr>
          </w:p>
        </w:tc>
        <w:tc>
          <w:tcPr>
            <w:tcW w:w="1109"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86" w:type="dxa"/>
            <w:tcBorders>
              <w:tl2br w:val="nil"/>
              <w:tr2bl w:val="nil"/>
            </w:tcBorders>
            <w:vAlign w:val="center"/>
          </w:tcPr>
          <w:p>
            <w:pPr>
              <w:jc w:val="center"/>
              <w:rPr>
                <w:rFonts w:hint="eastAsia" w:ascii="宋体" w:hAnsi="宋体" w:eastAsia="宋体" w:cs="宋体"/>
                <w:sz w:val="21"/>
                <w:szCs w:val="21"/>
              </w:rPr>
            </w:pPr>
          </w:p>
        </w:tc>
      </w:tr>
    </w:tbl>
    <w:p>
      <w:pPr>
        <w:keepNext w:val="false"/>
        <w:keepLines w:val="false"/>
        <w:pageBreakBefore w:val="false"/>
        <w:widowControl w:val="false"/>
        <w:numPr>
          <w:ilvl w:val="0"/>
          <w:numId w:val="0"/>
        </w:numPr>
        <w:kinsoku/>
        <w:wordWrap/>
        <w:overflowPunct/>
        <w:topLinePunct w:val="false"/>
        <w:autoSpaceDE/>
        <w:autoSpaceDN/>
        <w:bidi w:val="false"/>
        <w:adjustRightInd/>
        <w:snapToGrid/>
        <w:spacing w:before="313" w:beforeLines="100" w:after="313" w:afterLines="100" w:line="360" w:lineRule="auto"/>
        <w:jc w:val="center"/>
        <w:textAlignment w:val="auto"/>
        <w:outlineLvl w:val="9"/>
        <w:rPr>
          <w:rFonts w:hint="eastAsia" w:ascii="宋体" w:hAnsi="宋体" w:eastAsia="宋体" w:cs="宋体"/>
          <w:b/>
          <w:bCs/>
          <w:spacing w:val="0"/>
          <w:w w:val="100"/>
          <w:position w:val="0"/>
          <w:sz w:val="36"/>
          <w:szCs w:val="36"/>
          <w:lang w:val="en-US" w:eastAsia="zh-CN"/>
        </w:rPr>
      </w:pPr>
      <w:bookmarkStart w:id="63" w:name="_Toc9558"/>
      <w:bookmarkStart w:id="64" w:name="_Toc16701"/>
      <w:r>
        <w:rPr>
          <w:rFonts w:hint="eastAsia" w:ascii="宋体" w:hAnsi="宋体" w:eastAsia="宋体" w:cs="宋体"/>
          <w:b/>
          <w:bCs/>
          <w:spacing w:val="0"/>
          <w:w w:val="100"/>
          <w:position w:val="0"/>
          <w:sz w:val="36"/>
          <w:szCs w:val="36"/>
          <w:lang w:val="en-US" w:eastAsia="zh-CN"/>
        </w:rPr>
        <w:br w:type="page"/>
      </w:r>
    </w:p>
    <w:p>
      <w:pPr>
        <w:keepNext w:val="false"/>
        <w:keepLines w:val="false"/>
        <w:pageBreakBefore w:val="false"/>
        <w:widowControl w:val="false"/>
        <w:kinsoku/>
        <w:wordWrap/>
        <w:overflowPunct/>
        <w:topLinePunct/>
        <w:autoSpaceDE w:val="false"/>
        <w:autoSpaceDN/>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lang w:val="en-US" w:eastAsia="zh-CN"/>
        </w:rPr>
      </w:pPr>
      <w:bookmarkStart w:id="65" w:name="_Toc20189"/>
      <w:bookmarkStart w:id="66" w:name="_Toc22215"/>
      <w:r>
        <w:rPr>
          <w:rFonts w:hint="eastAsia" w:ascii="宋体" w:hAnsi="宋体" w:eastAsia="宋体" w:cs="宋体"/>
          <w:b/>
          <w:bCs/>
          <w:sz w:val="36"/>
          <w:szCs w:val="36"/>
          <w:lang w:val="en-US" w:eastAsia="zh-CN"/>
        </w:rPr>
        <w:t>第五章 项目运营方案</w:t>
      </w:r>
      <w:bookmarkEnd w:id="63"/>
      <w:bookmarkEnd w:id="64"/>
      <w:bookmarkEnd w:id="65"/>
      <w:bookmarkEnd w:id="66"/>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67" w:name="_Toc30709"/>
      <w:bookmarkStart w:id="68" w:name="_Toc22922"/>
      <w:r>
        <w:rPr>
          <w:rFonts w:hint="eastAsia" w:ascii="宋体" w:hAnsi="宋体" w:eastAsia="宋体" w:cs="宋体"/>
          <w:b/>
          <w:bCs/>
          <w:sz w:val="28"/>
          <w:szCs w:val="28"/>
          <w:lang w:val="en-US" w:eastAsia="zh-CN"/>
        </w:rPr>
        <w:t>5.1 运营方案</w:t>
      </w:r>
      <w:bookmarkEnd w:id="67"/>
      <w:bookmarkEnd w:id="68"/>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5.1.1 发展战略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运营服务发展战略聚焦于打造全方位、高品质、智能化的源网荷储一体化运营服务体系，以满足不断增长的能源需求和日益提升的客户期望。首先，在能源供应方面，持续优化电源结构，提高清洁能源发电效率和稳定性，确保电力的持续可靠输出；同时，强化电网的智能化运维管理，运用先进的监测技术和数据分析手段，实时掌握电网运行状态，快速响应并解决故障问题，保障电力传输的安全高效。其次，针对用户侧，提供个性化的能源服务方案，深入了解不同用户的用电特性和需求，通过智能电表、控制系统等技术手段，帮助用户实现精细化的能源管理，如制定合理的用电计划、参与需求侧响应等，从而降低用户用电成本，提升能源使用效率。再者，充分发挥储能系统的调节作用，不仅在平抑电力波动、保障电能质量方面发挥关键效能，还积极参与电力辅助服务市场，挖掘储能的多重价值。此外，注重人才培养和技术创新，打造一支专业的运营服务团队，持续引进和研发先进的源网荷储技术，不断提升项目的运营管理水平和市场竞争力，以长期稳定的优质服务赢得客户信赖，树立行业标杆形象，推动项目在源网荷储领域的可持续发展，为能源转型和绿色发展贡献力量。</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5.1.2 项目运营服务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1、发展方向</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运营服务将朝着智能化、高效化、定制化方向发展。在智能化上，引入先进的物联网、大数据与人工智能技术，对源网荷储各环节进行实时监测与精准调控，实现设备的智能运维和故障的自动诊断修复，提升系统整体运行效率与可靠性；高效化方面，通过优化能源调度策略，减少传输损耗，充分发挥储能的调峰填谷作用，确保能源在不同时段的合理分配与高效利用，降低运营成本；定制化则专注于满足不同用户的多样化需求，依据用户的用电习惯、生产特性等，为其量身打造能源管理方案，提供节能建议与技术支持，提升用户的能源使用效益与满意度，增强项目在市场中的竞争力，推动源网荷储一体化运营服务向更高水平迈进，更好地适应能源发展新趋势。</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5.1.3 维护维修方案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1、设备维护方案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（1）定期检查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建立定期检查机制，对生产设备进行定期的检查和维护，发现设备的问题及时处理，减少生产故障的发生。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（2）维护记录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建立设备维护记录系统，记录每台设备的维护情况，便于日后的跟踪和管理。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（3）设备保养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定期对设备进行保养，及时更换磨损部件，加油加润，确保设备的正常运行。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（4）人员培训</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对维护人员进行培训，提高其技能和知识水平，使其能够更好地进行设备维护和保养工作。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2、设备维修方案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（1）技术支持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建立技术支持渠道，与设备生产厂家建立联系，及时获取技术支持和解决方案，保证设备的正常运行。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（2）维修团队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建立专业的维修团队，由资深维修人员组成，能够及时、有效地解决设备故障。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（3）维修备件库</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建立维修备件库，存放常用的维修备件，便于快速更换，加快修复设备的速度。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（4）原因分析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对设备故障进行原因分析，找出故障的根本原因，从而采取有针对性的措施，防止故障再次发生。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建立科学的设备维护维修方案，通过人工监控和自动化工具，及时发现和解决可能存在的问题，确保设备的正常运行。同时，建立完善的管理和监督体系，确保方案实施的效果。</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5.1.4 运营服务方案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default" w:ascii="宋体" w:hAnsi="宋体" w:eastAsia="宋体" w:cs="宋体"/>
          <w:snapToGrid/>
          <w:color w:val="auto"/>
          <w:spacing w:val="0"/>
          <w:w w:val="100"/>
          <w:kern w:val="2"/>
          <w:position w:val="0"/>
          <w:sz w:val="28"/>
          <w:szCs w:val="28"/>
          <w:lang w:val="en-US" w:eastAsia="zh-CN" w:bidi="zh-CN"/>
        </w:rPr>
      </w:pPr>
      <w:r>
        <w:rPr>
          <w:rFonts w:hint="default" w:ascii="宋体" w:hAnsi="宋体" w:eastAsia="宋体" w:cs="宋体"/>
          <w:snapToGrid/>
          <w:color w:val="auto"/>
          <w:spacing w:val="0"/>
          <w:w w:val="100"/>
          <w:kern w:val="2"/>
          <w:position w:val="0"/>
          <w:sz w:val="28"/>
          <w:szCs w:val="28"/>
          <w:lang w:val="en-US" w:eastAsia="zh-CN" w:bidi="zh-CN"/>
        </w:rPr>
        <w:t>本项目运营服务方案将围绕源网荷储一体化系统，构建全方位、精细化、智能化的服务体系，确保项目安全、稳定、高效运行，实现能源的优化配置和客户价值的最大化。</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default" w:ascii="宋体" w:hAnsi="宋体" w:eastAsia="宋体" w:cs="宋体"/>
          <w:snapToGrid/>
          <w:color w:val="auto"/>
          <w:spacing w:val="0"/>
          <w:w w:val="100"/>
          <w:kern w:val="2"/>
          <w:position w:val="0"/>
          <w:sz w:val="28"/>
          <w:szCs w:val="28"/>
          <w:lang w:val="en-US" w:eastAsia="zh-CN" w:bidi="zh-CN"/>
        </w:rPr>
      </w:pPr>
      <w:r>
        <w:rPr>
          <w:rFonts w:hint="default" w:ascii="宋体" w:hAnsi="宋体" w:eastAsia="宋体" w:cs="宋体"/>
          <w:snapToGrid/>
          <w:color w:val="auto"/>
          <w:spacing w:val="0"/>
          <w:w w:val="100"/>
          <w:kern w:val="2"/>
          <w:position w:val="0"/>
          <w:sz w:val="28"/>
          <w:szCs w:val="28"/>
          <w:lang w:val="en-US" w:eastAsia="zh-CN" w:bidi="zh-CN"/>
        </w:rPr>
        <w:t>在能源供应环节，我们将对各类电源进行科学管理与维护，包括对分布式光伏、风电以及传统火电（若有）等发电设备的日常巡检、预防性维护和故障抢修，确保发电效率和电能质量，根据天气和负荷变化灵活调整发电策略，优先保障清洁能源的充分利用。电网运营方面，通过安装智能监控系统，实时掌握电网的潮流分布、电压稳定性等关键指标，及时发现并解决潜在的安全隐患，利用先进的电力通信技术实现电网的自动化调度和快速故障隔离，保障电力传输的可靠性和连续性。负荷管理上，为用户提供智能电表和能源管理终端，帮助用户实时了解用电情况，根据用户的生产计划和用电需求，制定个性化的用电方案，引导用户错峰用电，积极参与需求侧响应项目，从而降低用户的用电成本，提高能源利用效率。储能系统运营中，将根据电网的负荷特性和电价波动，合理安排储能的充放电时间，在用电低谷期储存电能，在高峰时段释放，起到削峰填谷的作用，同时参与电网的调频、调压等辅助服务，提升电网的稳定性和电能质量。此外，我们还将建立专业的客户服务团队，24小时响应客户的咨询、投诉和技术支持需求，定期为客户提供能源使用报告和节能建议，通过持续优化运营服务流程和技术创新，不断提升项目的运营效益和客户满意度，为项目的长期可持续发展奠定坚实基础，在源网荷储一体化领域树立良好的服务典范，推动能源行业的绿色、高效发展。</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69" w:name="_Toc27306"/>
      <w:bookmarkStart w:id="70" w:name="_Toc18094"/>
      <w:r>
        <w:rPr>
          <w:rFonts w:hint="eastAsia" w:ascii="宋体" w:hAnsi="宋体" w:eastAsia="宋体" w:cs="宋体"/>
          <w:b/>
          <w:bCs/>
          <w:sz w:val="28"/>
          <w:szCs w:val="28"/>
          <w:lang w:val="en-US" w:eastAsia="zh-CN"/>
        </w:rPr>
        <w:t>5.2 安全保障方案</w:t>
      </w:r>
      <w:bookmarkEnd w:id="69"/>
      <w:bookmarkEnd w:id="70"/>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bookmarkStart w:id="71" w:name="_Toc2460"/>
      <w:r>
        <w:rPr>
          <w:rFonts w:hint="eastAsia" w:ascii="宋体" w:hAnsi="宋体" w:eastAsia="宋体" w:cs="宋体"/>
          <w:b/>
          <w:bCs/>
          <w:sz w:val="28"/>
          <w:szCs w:val="28"/>
        </w:rPr>
        <w:t>5.2.1 运营中危险因素及危险程度</w:t>
      </w:r>
      <w:bookmarkEnd w:id="71"/>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新能源发电设备故障风险：太阳能光伏板可能出现热斑效应、组件老化损坏，风力发电机可能存在叶片断裂、齿轮箱故障等问题。这些故障一旦发生，不仅会导致发电中断，影响电力供应稳定性，还可能因设备部件掉落引发人员伤亡和财产损失。危险程度较高，尤其是在恶劣天气条件下或设备维护不及时的情况下，发生故障的概率会显著增加。</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电网波动与短路风险：由于分布式能源的接入以及负荷的动态变化，电网可能出现电压波动、频率异常甚至短路故障。这会影响电力传输质量，对用电设备造成损坏，严重时可能引发火灾，威胁整个项目区域的安全。其危险程度取决于电网保护装置的可靠性和故障排查处理的及时性，若保护机制失效，危险程度将急剧上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储能系统安全风险：电化学储能装置如锂离子电池存在热失控、电解液泄漏、过充过放等安全隐患。热失控可能引发火灾甚至爆炸，危及周边人员和设施安全。而且储能系统在充放电过程中的能量管理若出现问题，也会影响其寿命和性能，进而影响整个源网荷储系统的稳定性。这种风险的危险程度极高，一旦发生事故，后果不堪设想。</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电力调度与控制系统故障风险：项目依赖先进的电力调度和控制系统来协调源网荷储各环节的运行，如果该系统遭受黑客攻击、软件漏洞或硬件故障，可能导致调度指令错误、数据丢失或系统瘫痪，使得整个电力系统失去控制，造成大面积停电和设备损坏，对生产生活造成严重影响，危险程度不容小觑。</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人为操作失误风险：运维人员在设备操作、检修、调试等过程中，可能因技能不足、违规操作或疏忽大意而引发事故，如误操作电气设备导致触电、误拉合开关引发电网故障等。虽然单个操作失误可能影响范围有限，但长期来看，人为因素引发事故的累积风险不可忽视，危险程度中等偏上，通过加强人员培训和安全管理可有效降低此类风险。</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72" w:name="_Toc11841"/>
      <w:bookmarkStart w:id="73" w:name="_Toc20906"/>
      <w:r>
        <w:rPr>
          <w:rFonts w:hint="eastAsia" w:ascii="宋体" w:hAnsi="宋体" w:eastAsia="宋体" w:cs="宋体"/>
          <w:b/>
          <w:bCs/>
          <w:sz w:val="28"/>
          <w:szCs w:val="28"/>
          <w:lang w:val="en-US" w:eastAsia="zh-CN"/>
        </w:rPr>
        <w:t>5.3 运营管理方案</w:t>
      </w:r>
      <w:bookmarkEnd w:id="72"/>
      <w:bookmarkEnd w:id="73"/>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5.3.1 项目组织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为确保项目的建设能够顺利的进行、顺利实施，尽快的投入运营，早日的发挥其重要的价值所在，务必切实加强领导，做好项目的前期准备工作，确保项目的工程质量与进度的完善。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本项目在建设期间，由建设单位组建建设领导小组，有效地负责项目的组织、协调与管理，并负责控制项目建设的进度、质量和投资。项目指挥部下设办公室、工程管理部、物资供应部、计划财务部等职能部门。</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5.3.2 劳动定员</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本项目建成后运营期</w:t>
      </w:r>
      <w:r>
        <w:rPr>
          <w:rFonts w:hint="eastAsia" w:ascii="宋体" w:hAnsi="宋体" w:eastAsia="宋体" w:cs="宋体"/>
          <w:snapToGrid/>
          <w:color w:val="000000"/>
          <w:spacing w:val="0"/>
          <w:w w:val="100"/>
          <w:kern w:val="2"/>
          <w:position w:val="0"/>
          <w:sz w:val="28"/>
          <w:szCs w:val="28"/>
          <w:lang w:val="en-US" w:eastAsia="zh-CN" w:bidi="zh-CN"/>
        </w:rPr>
        <w:t>间，运营公司需新增劳动定员5人。主要负责项目运营及对入驻企业的监管。</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5.3.3 人员素质要求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高级管理人员如总经理、各部门经理、技术人员、管理人员由公司委派；中级管理人员，各车间经理、领班及技术骨干来源主要有三个渠道：一是由企业中挑选进行培训；二是从同行业中聘请，三是从应届专业学校毕业生中直接选拔。一般工作人员由公司内部调配解决，不足部分向社会公开招聘，择优录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在筹建期间要安排好企业员工的培训，以便受训人员可以及时投入到设备安装调试和试生产中。</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技术培训主要内容包括全员文化素质培训、生产管理培训、关键技术的应用培训、关键设备的操作与维修培训、产品研制开发培训、质量控制培训、安全培训等。培训对象包括生产工人、技术人员及管理人员。培训方式以国内为主，具体培训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1、组织理论知识学习，提高职工文化知识水平。</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2、在本项目投产前组织各类新增人员就地培训，上岗前要组织考核，择优上岗。</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3、聘请有实践经验的专家来厂现场指导传授技术。安排有实践经验的技术人员给不同岗位的干部工人上课，提高全员业务素质。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4、企业主要负责人、主管设备、技术、安全的负责人及安全生产管理人员应具有行业相关经验，能够按规范要求进行管理，有能力对工作中出现的各种问题进行良好的处理。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5、从业人员上岗前必须经过相关法规教育及相应技术培训，企业应建立培训及考核档案，企业负责人及生产、品质管理部门负责人还应接受相关专业培训。</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5.3.4 员工培训计划</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企业的管理人员、技术人员及生产人员的素质是企业形象的具体体现，特别是在市场经济的今天，从业人员的素质的高低是企业发展的关键。因此，本项目生产关键环节的有关人员，拟派到国内同类型中水回用综合项目进行培训，其他人员由公司组织就地培训，请经验丰富的专业技术人员讲课，使生产人员能够掌握基础知识和基本技能，并要严格考核，持证上岗，培训人员应不少于一线操作人员中的60%—70%，培训时间应根据岗位操作的复杂程度确定，通常为1—2个月，人员培训工作一定要安排在设备调试前进行。</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bookmarkStart w:id="74" w:name="_Toc20554"/>
      <w:r>
        <w:rPr>
          <w:rFonts w:hint="eastAsia" w:ascii="宋体" w:hAnsi="宋体" w:eastAsia="宋体" w:cs="宋体"/>
          <w:b/>
          <w:bCs/>
          <w:sz w:val="28"/>
          <w:szCs w:val="28"/>
        </w:rPr>
        <w:t>5.</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5</w:t>
      </w:r>
      <w:r>
        <w:rPr>
          <w:rFonts w:hint="eastAsia" w:ascii="宋体" w:hAnsi="宋体" w:eastAsia="宋体" w:cs="宋体"/>
          <w:b/>
          <w:bCs/>
          <w:sz w:val="28"/>
          <w:szCs w:val="28"/>
        </w:rPr>
        <w:t xml:space="preserve"> 安全生产责任制</w:t>
      </w:r>
      <w:bookmarkEnd w:id="74"/>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安全生产责任制是确保企业安全生产的基础。企业应该设立安全生产管理机构，明确各级领导和员工的安全生产职责，并制定相应的安全生产规章制度。这样可以使各级管理者和员工都明确自己的安全生产职责，提高整个企业的安全管理水平。同时，企业还应加强对员工的安全教育培训，增强员工的安全意识和安全技能。</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6</w:t>
      </w:r>
      <w:r>
        <w:rPr>
          <w:rFonts w:hint="eastAsia" w:ascii="宋体" w:hAnsi="宋体" w:eastAsia="宋体" w:cs="宋体"/>
          <w:b/>
          <w:bCs/>
          <w:sz w:val="28"/>
          <w:szCs w:val="28"/>
        </w:rPr>
        <w:t xml:space="preserve"> 建立安全管理机构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安全管理机构是负责安全管理的组织机构，在企业中起着至关重要的作用。企业应该设立专门的安全管理机构，主要负责安全管理制度的制定和实施、安全生产资料管理、安全生产监督和检查等方面的工作。安全管理机构应拥有足够的权力和资源，能够有效地履行安全管理职责。</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7</w:t>
      </w:r>
      <w:r>
        <w:rPr>
          <w:rFonts w:hint="eastAsia" w:ascii="宋体" w:hAnsi="宋体" w:eastAsia="宋体" w:cs="宋体"/>
          <w:b/>
          <w:bCs/>
          <w:sz w:val="28"/>
          <w:szCs w:val="28"/>
        </w:rPr>
        <w:t xml:space="preserve"> 建立安全管理体系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安全管理体系是安全管理的重要组成部分，包括安全制度、安全防范、安全监控和安全救援等方面。通过建立完善的安全管理体系，企业可以加强对生产过程中的安全控制，有效预防和应对各种安全风险。安全管理体系应根据企业的实际情况进行设计，保证其完整、系统、有效。</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8</w:t>
      </w:r>
      <w:r>
        <w:rPr>
          <w:rFonts w:hint="eastAsia" w:ascii="宋体" w:hAnsi="宋体" w:eastAsia="宋体" w:cs="宋体"/>
          <w:b/>
          <w:bCs/>
          <w:sz w:val="28"/>
          <w:szCs w:val="28"/>
        </w:rPr>
        <w:t xml:space="preserve"> 安全防范措施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1、环境监测与风险控制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获嘉县在推进本项目时，需要强化环境监管，确保项目在建设和运营过程中符合环保要求，减少对生态环境的影响。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2、技术与设施升级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采用先进的源网荷储理念，对园区内光伏和储能设备进行智能化管理，提高系统的安全性和可靠性。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3、风险评估与管理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建立风险评估体系，对项目可能面临的技术风险、市场风险、财务风险等进行评估，并制定相应的应对措施。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4、公众参与宣传教育</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提高公众对新能源电力及源网荷储模式的认知度，鼓励公众参与项目的监督和管理，同时通过宣传教育增强公众的环保意识和安全意识。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5、加强员工培训和安全意识教育</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加强员工的安全培训和安全意识教育，确保操作人员能够正确地运用设备，并预防和处理安全事故。员工作业时提供必要的个人防护装备，如安全帽、防护眼镜、防滑鞋、防护服等。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6、信息化管理及加强信息安全保护</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利用现代信息技术，建立智能化的管理系统，实现远程监控、数据分析和智能调度，提高管理效率和服务质量。采取多层次、多措施的信息安全保障体系，对数据进行分类备份、加密传输、审计监控等，防止数据被盗窃。</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w:t>
      </w:r>
      <w:r>
        <w:rPr>
          <w:rFonts w:hint="eastAsia" w:ascii="宋体" w:hAnsi="宋体" w:eastAsia="宋体" w:cs="宋体"/>
          <w:b/>
          <w:bCs/>
          <w:sz w:val="28"/>
          <w:szCs w:val="28"/>
          <w:lang w:val="en-US" w:eastAsia="zh-CN"/>
        </w:rPr>
        <w:t>3.9</w:t>
      </w:r>
      <w:r>
        <w:rPr>
          <w:rFonts w:hint="eastAsia" w:ascii="宋体" w:hAnsi="宋体" w:eastAsia="宋体" w:cs="宋体"/>
          <w:b/>
          <w:bCs/>
          <w:sz w:val="28"/>
          <w:szCs w:val="28"/>
        </w:rPr>
        <w:t xml:space="preserve"> 项目应急管理预案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1、应急响应机制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实际情况建立应急响应机制。该机制包括应急组织架构、应急响应程序、应急调度指挥等方面。应急响应机制中要包括人员责任分工，产生应急事件时，每个应急小组成员要知道自己的职责和任务，并发挥自己的专业优势协助处理应急事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2、应急预案制定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在应急预案中对可能发生的应急事故进行分类、评估和判断。应急预案的制订要按照应急响应等级，明确应急工作的步骤和措施，以及一次性应急物资采购和物资储备计划、应急复工方案等。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3、应急资源准备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提前申购和储备物资和设备，准备充分、有序的应急物资，及时更新物资库存数量。在应急预案制定的基础上建立物资应急储备体系，合理分配应急物资储备、物资采购和供应商选择及沟通等。预防与应急响应物资有关的问题。</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4、应急培训措施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组织企业内部的应急培训，针对不同岗位的员工，开展不同层次、不同内容的应急培训。企业应急培训内容可以包括防范知识、急救抢救技能、危机公关和虚拟疏散等。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5、应急调度和信息化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建立应急调度与信息化系统，快速响应线上网络安全问题、IT设备故障问题等，并制定应急调度预案，明确应急处置的流程。同时应加强网络安全防御，利用信息化技术加强危险源信息预警和防范。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6、应急演练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定期开展应急演练，包括突发事件处理、防火演练、应急疏散演练等，确保预案的可行性和实用性。演练中的细节和业务流程应与预案的实操情况配合，以最大程度地发挥应急预案的价值和作用。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7、突发事件处理流程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在突发事件处理流程中提前设计应急响应步骤和具体实施方案，建立应急指挥体系，明确人员职责、应急调度、物资储备、应急通讯和技术保障等，确保应急传递的快捷与准确，应急处理的及时与有效性。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8、应急通讯和报警系统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完备、连通的应急通讯和报警系统，综合利用网络通信设备、人员通讯设备等手段，确保应急信息及时传递，应急通讯系统的成功率和通畅度高。预警和警报的判断，能够准确和及时发布，为迅速响应和有效出击提供重要支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9、规范记录和督查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建立应急事件记录和督查制度，对应急情况进行详细记录，及时反馈和沟通。同时实时向管理层汇报应急事件情况，强化督查和检查效果，不断完善具体的应急处置措施和应对经验。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应急管理预案的详细性和全面性是保障企业安全的重要保障措施。企业应该认真执行应急管理预案，不断加强应急意识和应急响应能力，提高应急处置水平，以保障企业和人员的生命和资产安全。</w:t>
      </w:r>
    </w:p>
    <w:p>
      <w:pPr>
        <w:rPr>
          <w:rFonts w:hint="eastAsia" w:ascii="宋体" w:hAnsi="宋体" w:eastAsia="宋体" w:cs="宋体"/>
          <w:b/>
          <w:i w:val="false"/>
          <w:strike w:val="false"/>
          <w:color w:val="000000"/>
          <w:spacing w:val="0"/>
          <w:sz w:val="36"/>
          <w:u w:val="none"/>
          <w:vertAlign w:val="baseline"/>
          <w:lang w:val="en-US" w:eastAsia="zh-CN"/>
        </w:rPr>
      </w:pPr>
      <w:r>
        <w:rPr>
          <w:rFonts w:hint="eastAsia" w:ascii="宋体" w:hAnsi="宋体" w:eastAsia="宋体" w:cs="宋体"/>
          <w:b/>
          <w:i w:val="false"/>
          <w:strike w:val="false"/>
          <w:color w:val="000000"/>
          <w:spacing w:val="0"/>
          <w:sz w:val="36"/>
          <w:u w:val="none"/>
          <w:vertAlign w:val="baseline"/>
          <w:lang w:val="en-US" w:eastAsia="zh-CN"/>
        </w:rPr>
        <w:br w:type="page"/>
      </w:r>
    </w:p>
    <w:p>
      <w:pPr>
        <w:keepNext w:val="false"/>
        <w:keepLines w:val="false"/>
        <w:pageBreakBefore w:val="false"/>
        <w:widowControl w:val="false"/>
        <w:kinsoku/>
        <w:wordWrap/>
        <w:overflowPunct/>
        <w:topLinePunct/>
        <w:autoSpaceDE w:val="false"/>
        <w:autoSpaceDN/>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lang w:val="en-US" w:eastAsia="zh-CN"/>
        </w:rPr>
      </w:pPr>
      <w:bookmarkStart w:id="75" w:name="_Toc8006"/>
      <w:bookmarkStart w:id="76" w:name="_Toc25672"/>
      <w:bookmarkStart w:id="77" w:name="_Toc24940"/>
      <w:r>
        <w:rPr>
          <w:rFonts w:hint="eastAsia" w:ascii="宋体" w:hAnsi="宋体" w:eastAsia="宋体" w:cs="宋体"/>
          <w:b/>
          <w:bCs/>
          <w:sz w:val="36"/>
          <w:szCs w:val="36"/>
          <w:lang w:val="en-US" w:eastAsia="zh-CN"/>
        </w:rPr>
        <w:t>第六章 项目投融资与财务方案</w:t>
      </w:r>
      <w:bookmarkEnd w:id="75"/>
      <w:bookmarkEnd w:id="76"/>
      <w:bookmarkEnd w:id="77"/>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outlineLvl w:val="1"/>
        <w:rPr>
          <w:rFonts w:hint="eastAsia" w:ascii="宋体" w:hAnsi="宋体" w:eastAsia="宋体" w:cs="宋体"/>
          <w:b/>
          <w:bCs/>
          <w:sz w:val="28"/>
          <w:szCs w:val="28"/>
          <w:lang w:val="en-US" w:eastAsia="zh-CN"/>
        </w:rPr>
      </w:pPr>
      <w:bookmarkStart w:id="78" w:name="_Toc11271"/>
      <w:bookmarkStart w:id="79" w:name="_Toc2334"/>
      <w:bookmarkStart w:id="80" w:name="_Toc26679"/>
      <w:r>
        <w:rPr>
          <w:rFonts w:hint="eastAsia" w:ascii="宋体" w:hAnsi="宋体" w:eastAsia="宋体" w:cs="宋体"/>
          <w:b/>
          <w:bCs/>
          <w:sz w:val="28"/>
          <w:szCs w:val="28"/>
          <w:lang w:val="en-US" w:eastAsia="zh-CN"/>
        </w:rPr>
        <w:t>6.1 项目投资估算及说明</w:t>
      </w:r>
      <w:bookmarkEnd w:id="78"/>
      <w:bookmarkEnd w:id="79"/>
      <w:bookmarkEnd w:id="80"/>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6.1.1 工程概况</w:t>
      </w:r>
    </w:p>
    <w:p>
      <w:pPr>
        <w:keepNext w:val="false"/>
        <w:keepLines w:val="false"/>
        <w:pageBreakBefore w:val="false"/>
        <w:widowControl w:val="false"/>
        <w:kinsoku/>
        <w:wordWrap/>
        <w:overflowPunct/>
        <w:topLinePunct/>
        <w:autoSpaceDE w:val="false"/>
        <w:autoSpaceDN/>
        <w:bidi w:val="false"/>
        <w:snapToGrid/>
        <w:spacing w:before="157" w:beforeLines="50" w:after="157" w:afterLines="50" w:line="360" w:lineRule="auto"/>
        <w:ind w:left="0" w:right="0" w:firstLine="420"/>
        <w:jc w:val="both"/>
        <w:textAlignment w:val="baseline"/>
        <w:rPr>
          <w:rFonts w:hint="eastAsia" w:ascii="宋体" w:hAnsi="宋体" w:eastAsia="宋体" w:cs="宋体"/>
          <w:sz w:val="28"/>
          <w:szCs w:val="28"/>
        </w:rPr>
      </w:pPr>
      <w:r>
        <w:rPr>
          <w:rFonts w:hint="eastAsia" w:ascii="宋体" w:hAnsi="宋体" w:eastAsia="宋体" w:cs="宋体"/>
          <w:i w:val="false"/>
          <w:strike w:val="false"/>
          <w:color w:val="000000"/>
          <w:spacing w:val="0"/>
          <w:w w:val="100"/>
          <w:sz w:val="28"/>
          <w:szCs w:val="28"/>
          <w:u w:val="none"/>
        </w:rPr>
        <w:t>河南大成包装材料有限公司源网荷储一体化项目分为两期建设，需要在获嘉县产业集聚区创业孵化园区内工业厂房屋顶部署5956</w:t>
      </w:r>
      <w:r>
        <w:rPr>
          <w:rFonts w:hint="eastAsia" w:ascii="宋体" w:hAnsi="宋体" w:eastAsia="宋体" w:cs="宋体"/>
          <w:i w:val="false"/>
          <w:strike w:val="false"/>
          <w:color w:val="000000"/>
          <w:spacing w:val="0"/>
          <w:w w:val="100"/>
          <w:sz w:val="28"/>
          <w:szCs w:val="28"/>
          <w:u w:val="none"/>
          <w:lang w:eastAsia="zh-CN"/>
        </w:rPr>
        <w:t>kW</w:t>
      </w:r>
      <w:r>
        <w:rPr>
          <w:rFonts w:hint="eastAsia" w:ascii="宋体" w:hAnsi="宋体" w:eastAsia="宋体" w:cs="宋体"/>
          <w:i w:val="false"/>
          <w:strike w:val="false"/>
          <w:color w:val="000000"/>
          <w:spacing w:val="0"/>
          <w:w w:val="100"/>
          <w:sz w:val="28"/>
          <w:szCs w:val="28"/>
          <w:u w:val="none"/>
        </w:rPr>
        <w:t>的分布式光伏发电系统，并配套安装20MW/40MWh用户侧储能设施（包含3MW充换点储能设备），安装5个600</w:t>
      </w:r>
      <w:r>
        <w:rPr>
          <w:rFonts w:hint="eastAsia" w:ascii="宋体" w:hAnsi="宋体" w:eastAsia="宋体" w:cs="宋体"/>
          <w:i w:val="false"/>
          <w:strike w:val="false"/>
          <w:color w:val="000000"/>
          <w:spacing w:val="0"/>
          <w:w w:val="100"/>
          <w:sz w:val="28"/>
          <w:szCs w:val="28"/>
          <w:u w:val="none"/>
          <w:lang w:eastAsia="zh-CN"/>
        </w:rPr>
        <w:t>kW</w:t>
      </w:r>
      <w:r>
        <w:rPr>
          <w:rFonts w:hint="eastAsia" w:ascii="宋体" w:hAnsi="宋体" w:eastAsia="宋体" w:cs="宋体"/>
          <w:i w:val="false"/>
          <w:strike w:val="false"/>
          <w:color w:val="000000"/>
          <w:spacing w:val="0"/>
          <w:w w:val="100"/>
          <w:sz w:val="28"/>
          <w:szCs w:val="28"/>
          <w:u w:val="none"/>
        </w:rPr>
        <w:t>液冷光伏充电桩，同步实施园区其他相关配套工程。</w:t>
      </w:r>
    </w:p>
    <w:p>
      <w:pPr>
        <w:keepNext w:val="false"/>
        <w:keepLines w:val="false"/>
        <w:pageBreakBefore w:val="false"/>
        <w:widowControl w:val="false"/>
        <w:kinsoku/>
        <w:wordWrap/>
        <w:overflowPunct/>
        <w:topLinePunct/>
        <w:autoSpaceDE w:val="false"/>
        <w:autoSpaceDN/>
        <w:bidi w:val="false"/>
        <w:snapToGrid/>
        <w:spacing w:before="157" w:beforeLines="50" w:after="157" w:afterLines="50" w:line="360" w:lineRule="auto"/>
        <w:ind w:left="0" w:right="0" w:firstLine="420"/>
        <w:jc w:val="both"/>
        <w:textAlignment w:val="baseline"/>
        <w:rPr>
          <w:rFonts w:hint="eastAsia" w:ascii="宋体" w:hAnsi="宋体" w:eastAsia="宋体" w:cs="宋体"/>
          <w:i w:val="false"/>
          <w:strike w:val="false"/>
          <w:color w:val="000000"/>
          <w:spacing w:val="0"/>
          <w:w w:val="100"/>
          <w:sz w:val="28"/>
          <w:szCs w:val="28"/>
          <w:u w:val="none"/>
        </w:rPr>
      </w:pPr>
      <w:r>
        <w:rPr>
          <w:rFonts w:hint="eastAsia" w:ascii="宋体" w:hAnsi="宋体" w:eastAsia="宋体" w:cs="宋体"/>
          <w:i w:val="false"/>
          <w:strike w:val="false"/>
          <w:color w:val="000000"/>
          <w:spacing w:val="0"/>
          <w:w w:val="100"/>
          <w:sz w:val="28"/>
          <w:szCs w:val="28"/>
          <w:u w:val="none"/>
        </w:rPr>
        <w:t>本项目为（一期）建设内容，需要在获嘉县产业集聚区创业孵化园区内工业厂房屋顶部署5956</w:t>
      </w:r>
      <w:r>
        <w:rPr>
          <w:rFonts w:hint="eastAsia" w:ascii="宋体" w:hAnsi="宋体" w:eastAsia="宋体" w:cs="宋体"/>
          <w:i w:val="false"/>
          <w:strike w:val="false"/>
          <w:color w:val="000000"/>
          <w:spacing w:val="0"/>
          <w:w w:val="100"/>
          <w:sz w:val="28"/>
          <w:szCs w:val="28"/>
          <w:u w:val="none"/>
          <w:lang w:eastAsia="zh-CN"/>
        </w:rPr>
        <w:t>kW</w:t>
      </w:r>
      <w:r>
        <w:rPr>
          <w:rFonts w:hint="eastAsia" w:ascii="宋体" w:hAnsi="宋体" w:eastAsia="宋体" w:cs="宋体"/>
          <w:i w:val="false"/>
          <w:strike w:val="false"/>
          <w:color w:val="000000"/>
          <w:spacing w:val="0"/>
          <w:w w:val="100"/>
          <w:sz w:val="28"/>
          <w:szCs w:val="28"/>
          <w:u w:val="none"/>
        </w:rPr>
        <w:t>的分布式光伏发电系统，并配套安装10MW/20MWh用户侧储能设施（包含3MW充换点储能设备），安装5个600</w:t>
      </w:r>
      <w:r>
        <w:rPr>
          <w:rFonts w:hint="eastAsia" w:ascii="宋体" w:hAnsi="宋体" w:eastAsia="宋体" w:cs="宋体"/>
          <w:i w:val="false"/>
          <w:strike w:val="false"/>
          <w:color w:val="000000"/>
          <w:spacing w:val="0"/>
          <w:w w:val="100"/>
          <w:sz w:val="28"/>
          <w:szCs w:val="28"/>
          <w:u w:val="none"/>
          <w:lang w:eastAsia="zh-CN"/>
        </w:rPr>
        <w:t>kW</w:t>
      </w:r>
      <w:r>
        <w:rPr>
          <w:rFonts w:hint="eastAsia" w:ascii="宋体" w:hAnsi="宋体" w:eastAsia="宋体" w:cs="宋体"/>
          <w:i w:val="false"/>
          <w:strike w:val="false"/>
          <w:color w:val="000000"/>
          <w:spacing w:val="0"/>
          <w:w w:val="100"/>
          <w:sz w:val="28"/>
          <w:szCs w:val="28"/>
          <w:u w:val="none"/>
        </w:rPr>
        <w:t>液冷光伏充电桩，同步实施园区其他相关配套工程，利用源网荷储模式为河南大成包装材料有限公司提供绿色电力能源供应；二期将建20MWh储能设施，与一期衔接提升能源调节与保障能力，助力园区能源优化。</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6.1.2 编制依据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《投资项目可行性研究报告》（计办投资〔2002〕15号）；</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《投资项目经济咨询评估指南》（咨经〔1998〕11号）；</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《建设工程工程量清单计价规范》（GB50500-2013）；</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《河南省市政工程预算定额》（HAA1-31-2016）；</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《河南省房屋建筑与装饰工程预算定额》（HA01-31-2016）；</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《河南省通用安装工程预算定额》（HA02-31-2016）；</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河南省有关造价文件。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设备费用依据近期向制造厂询价计算。</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6.1.3 投资构成与估算参数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项目（一期）投资主要是固定资产投资，其中固定资产投资由工程费用、工程建设其他费用、预备费、建设期利息四部分组成，详细情况如下。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1、工程费用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工程费用包括设备购置费，根据相同结构的类似工程计算，并参考现行市场材料价格和当地工程造价指数信息进行调整，以单方指标计入，具体如下。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（1）设备购置费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光伏设备：该项目设备主要</w:t>
      </w:r>
      <w:r>
        <w:rPr>
          <w:rFonts w:hint="eastAsia" w:ascii="宋体" w:hAnsi="宋体" w:eastAsia="宋体" w:cs="宋体"/>
          <w:i w:val="false"/>
          <w:strike w:val="false"/>
          <w:spacing w:val="0"/>
          <w:sz w:val="28"/>
          <w:szCs w:val="28"/>
          <w:u w:val="none"/>
        </w:rPr>
        <w:t>640Wp单晶N型</w:t>
      </w:r>
      <w:r>
        <w:rPr>
          <w:rFonts w:hint="eastAsia" w:ascii="宋体" w:hAnsi="宋体" w:eastAsia="宋体" w:cs="宋体"/>
          <w:snapToGrid/>
          <w:color w:val="auto"/>
          <w:spacing w:val="0"/>
          <w:w w:val="100"/>
          <w:kern w:val="2"/>
          <w:position w:val="0"/>
          <w:sz w:val="28"/>
          <w:szCs w:val="28"/>
          <w:lang w:val="en-US" w:eastAsia="zh-CN" w:bidi="zh-CN"/>
        </w:rPr>
        <w:t>、逆变器、交流汇流箱、光伏支架、光伏直流电缆、MC4连接器、交流电缆、干式变压器（箱变)、光伏接入柜、并网柜、站用变电柜、10kV动态无功补偿装置、高压电缆、组件、电气安装、辅材等其他辅助设备，本项目建设光伏电站5.956MW。预计费用1708.65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储能设备：电池系统5000KWH、储能变流器、集装箱柜体、温控系统、消防系统、储能EMS、15KWH换电系统(3000KWH)、储能箱基础及连接电缆及其他附件设备。预计费用2175.40万元。</w:t>
      </w:r>
    </w:p>
    <w:p>
      <w:pPr>
        <w:keepNext w:val="false"/>
        <w:keepLines w:val="false"/>
        <w:pageBreakBefore w:val="false"/>
        <w:widowControl w:val="false"/>
        <w:kinsoku/>
        <w:wordWrap/>
        <w:overflowPunct/>
        <w:topLinePunct/>
        <w:autoSpaceDE w:val="false"/>
        <w:autoSpaceDN/>
        <w:bidi w:val="false"/>
        <w:snapToGrid/>
        <w:spacing w:before="157" w:beforeLines="50" w:after="157" w:afterLines="50" w:line="360" w:lineRule="auto"/>
        <w:ind w:firstLine="550"/>
        <w:textAlignment w:val="baseline"/>
        <w:rPr>
          <w:rFonts w:hint="eastAsia" w:ascii="宋体" w:hAnsi="宋体" w:eastAsia="宋体" w:cs="宋体"/>
          <w:sz w:val="28"/>
          <w:szCs w:val="28"/>
        </w:rPr>
      </w:pPr>
      <w:r>
        <w:rPr>
          <w:rFonts w:hint="eastAsia" w:ascii="宋体" w:hAnsi="宋体" w:eastAsia="宋体" w:cs="宋体"/>
          <w:i w:val="false"/>
          <w:strike w:val="false"/>
          <w:color w:val="000000"/>
          <w:sz w:val="28"/>
          <w:szCs w:val="28"/>
          <w:u w:val="none"/>
        </w:rPr>
        <w:t>（2）园区配套工程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该项目室外工程主要包括：升压/降压变压器、中压输电电缆、绿化等相关配套工程、10kv储能变电站、中心配电室变压器2000KVA、</w:t>
      </w:r>
      <w:r>
        <w:rPr>
          <w:rFonts w:hint="eastAsia" w:ascii="宋体" w:hAnsi="宋体" w:eastAsia="宋体" w:cs="宋体"/>
          <w:i w:val="false"/>
          <w:strike w:val="false"/>
          <w:spacing w:val="0"/>
          <w:sz w:val="28"/>
          <w:szCs w:val="28"/>
          <w:u w:val="none"/>
        </w:rPr>
        <w:t>光伏充电桩（600</w:t>
      </w:r>
      <w:r>
        <w:rPr>
          <w:rFonts w:hint="eastAsia" w:ascii="宋体" w:hAnsi="宋体" w:eastAsia="宋体" w:cs="宋体"/>
          <w:i w:val="false"/>
          <w:strike w:val="false"/>
          <w:spacing w:val="0"/>
          <w:sz w:val="28"/>
          <w:szCs w:val="28"/>
          <w:u w:val="none"/>
          <w:lang w:eastAsia="zh-CN"/>
        </w:rPr>
        <w:t>kW</w:t>
      </w:r>
      <w:r>
        <w:rPr>
          <w:rFonts w:hint="eastAsia" w:ascii="宋体" w:hAnsi="宋体" w:eastAsia="宋体" w:cs="宋体"/>
          <w:i w:val="false"/>
          <w:strike w:val="false"/>
          <w:spacing w:val="0"/>
          <w:sz w:val="28"/>
          <w:szCs w:val="28"/>
          <w:u w:val="none"/>
        </w:rPr>
        <w:t>液冷）其中包含充电桩单桩价格110万元，</w:t>
      </w:r>
      <w:r>
        <w:rPr>
          <w:rFonts w:hint="eastAsia" w:ascii="宋体" w:hAnsi="宋体" w:eastAsia="宋体" w:cs="宋体"/>
          <w:snapToGrid/>
          <w:color w:val="auto"/>
          <w:spacing w:val="0"/>
          <w:w w:val="100"/>
          <w:kern w:val="2"/>
          <w:position w:val="0"/>
          <w:sz w:val="28"/>
          <w:szCs w:val="28"/>
          <w:lang w:val="en-US" w:eastAsia="zh-CN" w:bidi="zh-CN"/>
        </w:rPr>
        <w:t>预计总费用886.27万元。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2、工程建设其他费用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一期）工程其他费用包括建设单位管理费、建设工程监理费、建设项目前期咨询费、工程勘察费、工程设计费、环境影响咨询服务费、场地准备及临时设施费、工程保险费、招标代理费、工程造价咨询费、</w:t>
      </w:r>
      <w:r>
        <w:rPr>
          <w:rFonts w:hint="eastAsia" w:ascii="宋体" w:hAnsi="宋体" w:eastAsia="宋体" w:cs="宋体"/>
          <w:i w:val="false"/>
          <w:strike w:val="false"/>
          <w:spacing w:val="0"/>
          <w:sz w:val="28"/>
          <w:szCs w:val="28"/>
          <w:u w:val="none"/>
        </w:rPr>
        <w:t>屋顶荷载检测费</w:t>
      </w:r>
      <w:r>
        <w:rPr>
          <w:rFonts w:hint="eastAsia" w:ascii="宋体" w:hAnsi="宋体" w:eastAsia="宋体" w:cs="宋体"/>
          <w:snapToGrid/>
          <w:color w:val="auto"/>
          <w:spacing w:val="0"/>
          <w:w w:val="100"/>
          <w:kern w:val="2"/>
          <w:position w:val="0"/>
          <w:sz w:val="28"/>
          <w:szCs w:val="28"/>
          <w:lang w:val="en-US" w:eastAsia="zh-CN" w:bidi="zh-CN"/>
        </w:rPr>
        <w:t>等。具体情况如下：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（1）建设单位管理费：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根据财建〔2016〕504号文结合实际情况计取按23.85万元计入。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（2）建设工程监理费：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根据发改价格〔2015〕299号、豫建监协〔2015〕19号文并结合实际情况按28.62万元计取。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（3）建设项目前期工作咨询费：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根据参考豫发改收费〔2011〕627号并结合实际情况按23.85万元计取。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（4）工程勘察费：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根据国家计委、根据发改价格〔2015〕299号文并结合实际情况按26.17万元计取。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（5）工程设计费：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根据国家计委、建设部计价格〔2002〕10号文及发改价格〔2015〕299号文并结合实际情况按47.70万元计取。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（6）环境影响咨询服务费：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根据发改价格〔2015〕299号及发改收费〔2011〕627号文并结合实际情况按4.77万元计取。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（7）场地准备费及临时设施费：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根据《市政工程投资估算编制办法》（建标〔2007〕164号）文件并结合实际情况按26.24万元计取。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（8）工程保险费：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根据《中华人民共和国保险法》和《合同法》等法律法规规定并结合实际情况按13.90万元计取。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（9）招标代理服务费：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根据参考豫发改收费〔2011〕627号文并结合市场情况按16.22万元计取。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（10）工程造价咨询费：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根据中价协〔2013〕35号文并结合实际情况按14.31万元计取。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（11）</w:t>
      </w:r>
      <w:r>
        <w:rPr>
          <w:rFonts w:hint="eastAsia" w:ascii="宋体" w:hAnsi="宋体" w:eastAsia="宋体" w:cs="宋体"/>
          <w:i w:val="false"/>
          <w:strike w:val="false"/>
          <w:spacing w:val="0"/>
          <w:sz w:val="28"/>
          <w:szCs w:val="28"/>
          <w:u w:val="none"/>
        </w:rPr>
        <w:t>屋顶荷载检测费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根据《关于规范房屋安全鉴定收费的通知》和《房屋安全鉴定收费标准》等文件要求并结合实际情况按10.64万元。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3、预备费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基本预备费，以工程建设费与工程建设其他费用之和为基数，其中，基本预备费按照工程费用和工程其他费用之和5%计入，按250.33万元计取，涨价预备费按照0万元计取。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4、建设期利息</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本项目建设期为0.5年（含建设期准备工作），计划2026年3月开工，预计2026年6月竣工，利率4.50%，建设期内按金融机构计息计划投入。</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6.1.4 投资估算和资金筹措</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1、投资估算</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项目总投资8767.59万元，其中项目工程费用7902.57万元，占总投资的90.13%；工程建设其它费用372.52万元，占总投资的4.25%；预备费413.75万元，占总投资的4.72%；建设期利息78.75万元，占总投资的0.90%。</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z w:val="28"/>
          <w:szCs w:val="28"/>
        </w:rPr>
      </w:pPr>
      <w:r>
        <w:rPr>
          <w:rFonts w:hint="eastAsia" w:ascii="宋体" w:hAnsi="宋体" w:eastAsia="宋体" w:cs="宋体"/>
          <w:snapToGrid/>
          <w:color w:val="auto"/>
          <w:spacing w:val="0"/>
          <w:w w:val="100"/>
          <w:kern w:val="2"/>
          <w:position w:val="0"/>
          <w:sz w:val="28"/>
          <w:szCs w:val="28"/>
          <w:lang w:val="en-US" w:eastAsia="zh-CN" w:bidi="zh-CN"/>
        </w:rPr>
        <w:t>项目（一期）总投资5304.18万元，其中项目工程费用4770.32万元，占总投资的89.94%；工程建设其它费用236.28万元，占总投资的4.45%；预备费250.33万元，占总投资的4.7</w:t>
      </w:r>
      <w:r>
        <w:rPr>
          <w:rFonts w:hint="eastAsia" w:ascii="宋体" w:hAnsi="宋体" w:eastAsia="宋体" w:cs="宋体"/>
          <w:i w:val="false"/>
          <w:strike w:val="false"/>
          <w:color w:val="000000"/>
          <w:spacing w:val="0"/>
          <w:w w:val="100"/>
          <w:sz w:val="28"/>
          <w:szCs w:val="28"/>
          <w:u w:val="none"/>
        </w:rPr>
        <w:t>2%；建设期利息47.25万元，占总投资的0.89%。项目投资构成如下表所示:</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after="157" w:afterLines="50" w:line="360" w:lineRule="auto"/>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项目总投资构成一览表</w:t>
      </w:r>
    </w:p>
    <w:tbl>
      <w:tblPr>
        <w:tblStyle w:val="00000a"/>
        <w:tblW w:w="0" w:type="auto"/>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6"/>
        <w:gridCol w:w="2335"/>
        <w:gridCol w:w="1289"/>
        <w:gridCol w:w="761"/>
        <w:gridCol w:w="1119"/>
        <w:gridCol w:w="1914"/>
      </w:tblGrid>
      <w:tr>
        <w:trPr>
          <w:trHeight w:val="590" w:hRule="atLeast"/>
          <w:tblHead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序号</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工程或费用名称</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合计</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单位</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数量</w:t>
            </w:r>
          </w:p>
        </w:tc>
        <w:tc>
          <w:tcPr>
            <w:tcW w:w="1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综合单价（万元）</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sz w:val="18"/>
                <w:szCs w:val="18"/>
                <w:u w:val="none"/>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一</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sz w:val="18"/>
                <w:szCs w:val="18"/>
                <w:u w:val="none"/>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工程费用</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sz w:val="18"/>
                <w:szCs w:val="18"/>
                <w:u w:val="none"/>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4770.32</w:t>
            </w:r>
          </w:p>
        </w:tc>
        <w:tc>
          <w:tcPr>
            <w:tcW w:w="37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sz w:val="18"/>
                <w:szCs w:val="18"/>
                <w:u w:val="none"/>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89.94%</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sz w:val="18"/>
                <w:szCs w:val="18"/>
                <w:u w:val="none"/>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二</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sz w:val="18"/>
                <w:szCs w:val="18"/>
                <w:u w:val="none"/>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工程建设其他费用</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sz w:val="18"/>
                <w:szCs w:val="18"/>
                <w:u w:val="none"/>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236.28</w:t>
            </w:r>
          </w:p>
        </w:tc>
        <w:tc>
          <w:tcPr>
            <w:tcW w:w="37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sz w:val="18"/>
                <w:szCs w:val="18"/>
                <w:u w:val="none"/>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4.45%</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sz w:val="18"/>
                <w:szCs w:val="18"/>
                <w:u w:val="none"/>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三</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sz w:val="18"/>
                <w:szCs w:val="18"/>
                <w:u w:val="none"/>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预备费</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sz w:val="18"/>
                <w:szCs w:val="18"/>
                <w:u w:val="none"/>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250.33</w:t>
            </w:r>
          </w:p>
        </w:tc>
        <w:tc>
          <w:tcPr>
            <w:tcW w:w="37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sz w:val="18"/>
                <w:szCs w:val="18"/>
                <w:u w:val="none"/>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4.72%</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sz w:val="18"/>
                <w:szCs w:val="18"/>
                <w:u w:val="none"/>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四</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sz w:val="18"/>
                <w:szCs w:val="18"/>
                <w:u w:val="none"/>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建设投资合计</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sz w:val="18"/>
                <w:szCs w:val="18"/>
                <w:u w:val="none"/>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5256.93</w:t>
            </w:r>
          </w:p>
        </w:tc>
        <w:tc>
          <w:tcPr>
            <w:tcW w:w="37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sz w:val="18"/>
                <w:szCs w:val="18"/>
                <w:u w:val="none"/>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99.11%</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sz w:val="18"/>
                <w:szCs w:val="18"/>
                <w:u w:val="none"/>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五</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sz w:val="18"/>
                <w:szCs w:val="18"/>
                <w:u w:val="none"/>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建设期利息</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sz w:val="18"/>
                <w:szCs w:val="18"/>
                <w:u w:val="none"/>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47.25</w:t>
            </w:r>
          </w:p>
        </w:tc>
        <w:tc>
          <w:tcPr>
            <w:tcW w:w="37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sz w:val="18"/>
                <w:szCs w:val="18"/>
                <w:u w:val="none"/>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0.89%</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sz w:val="18"/>
                <w:szCs w:val="18"/>
                <w:u w:val="none"/>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六</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sz w:val="18"/>
                <w:szCs w:val="18"/>
                <w:u w:val="none"/>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固定资产投资</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sz w:val="18"/>
                <w:szCs w:val="18"/>
                <w:u w:val="none"/>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5304.18</w:t>
            </w:r>
          </w:p>
        </w:tc>
        <w:tc>
          <w:tcPr>
            <w:tcW w:w="37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sz w:val="18"/>
                <w:szCs w:val="18"/>
                <w:u w:val="none"/>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100.00%</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sz w:val="18"/>
                <w:szCs w:val="18"/>
                <w:u w:val="none"/>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八</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sz w:val="18"/>
                <w:szCs w:val="18"/>
                <w:u w:val="none"/>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项目总投资</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sz w:val="18"/>
                <w:szCs w:val="18"/>
                <w:u w:val="none"/>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5304.18</w:t>
            </w:r>
          </w:p>
        </w:tc>
        <w:tc>
          <w:tcPr>
            <w:tcW w:w="37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sz w:val="18"/>
                <w:szCs w:val="18"/>
                <w:u w:val="none"/>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100.00%</w:t>
            </w:r>
          </w:p>
        </w:tc>
      </w:tr>
    </w:tbl>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after="157" w:afterLines="50" w:line="360" w:lineRule="auto"/>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项目（一期）投资构成一览表</w:t>
      </w:r>
    </w:p>
    <w:tbl>
      <w:tblPr>
        <w:tblStyle w:val="00000a"/>
        <w:tblW w:w="0" w:type="auto"/>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6"/>
        <w:gridCol w:w="2335"/>
        <w:gridCol w:w="1429"/>
        <w:gridCol w:w="621"/>
        <w:gridCol w:w="1429"/>
        <w:gridCol w:w="1604"/>
      </w:tblGrid>
      <w:tr>
        <w:trPr>
          <w:trHeight w:val="590" w:hRule="atLeast"/>
          <w:tblHead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序号</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工程或费用名称</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合计</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单位</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数量</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综合单价（万元）</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一</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工程费用</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4770.32</w:t>
            </w:r>
          </w:p>
        </w:tc>
        <w:tc>
          <w:tcPr>
            <w:tcW w:w="36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89.94%</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1</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光伏组件</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1708.65</w:t>
            </w: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kW</w:t>
            </w:r>
          </w:p>
        </w:tc>
        <w:tc>
          <w:tcPr>
            <w:tcW w:w="14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5956</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0.287</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640Wp单晶N型</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882.272</w:t>
            </w: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块</w:t>
            </w:r>
          </w:p>
        </w:tc>
        <w:tc>
          <w:tcPr>
            <w:tcW w:w="14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11168.00</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0.079</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逆变器</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81</w:t>
            </w: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4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57.00</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1.420</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交流汇流箱</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9.32</w:t>
            </w: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4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9.00</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1.036</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1.4</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光伏支架及配件</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157.03</w:t>
            </w: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km</w:t>
            </w:r>
          </w:p>
        </w:tc>
        <w:tc>
          <w:tcPr>
            <w:tcW w:w="14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87.29</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1.799</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1.5</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光伏直流电缆</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km</w:t>
            </w:r>
          </w:p>
        </w:tc>
        <w:tc>
          <w:tcPr>
            <w:tcW w:w="14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2.00</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5.500</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1.6</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MC4连接器</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1.32</w:t>
            </w: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套</w:t>
            </w:r>
          </w:p>
        </w:tc>
        <w:tc>
          <w:tcPr>
            <w:tcW w:w="14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610.00</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0.022</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1.7</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交流电缆</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147.62</w:t>
            </w: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km</w:t>
            </w:r>
          </w:p>
        </w:tc>
        <w:tc>
          <w:tcPr>
            <w:tcW w:w="14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8.10</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18.225</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1.8</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干式变压器（箱变)</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25.26</w:t>
            </w: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4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20.260</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1.9</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光伏接入柜</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5.13</w:t>
            </w: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4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5.132</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并网柜</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w:t>
            </w: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4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5.000</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站用变电柜</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4.71</w:t>
            </w: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4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4.711</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2.2</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10kV动态无功补偿装置</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39.07</w:t>
            </w: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4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35.000</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2.3</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高压电缆</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82.51</w:t>
            </w: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km</w:t>
            </w:r>
          </w:p>
        </w:tc>
        <w:tc>
          <w:tcPr>
            <w:tcW w:w="14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2.00</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41.300</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2.4</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土建基础</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96.75</w:t>
            </w: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项</w:t>
            </w:r>
          </w:p>
        </w:tc>
        <w:tc>
          <w:tcPr>
            <w:tcW w:w="14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80.250</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2.5</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组件、电气安装、辅材等</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160.65</w:t>
            </w: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kW</w:t>
            </w:r>
          </w:p>
        </w:tc>
        <w:tc>
          <w:tcPr>
            <w:tcW w:w="14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5950.00</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0.027</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2</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电池储能集装箱</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2175.40</w:t>
            </w: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KWH</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17000</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0.128</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电池系统 5000KWH</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1003.00</w:t>
            </w: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2.8</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358.21</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2.2</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储能变流器</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140</w:t>
            </w: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2.8</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50.00</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2.3</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集装箱柜体</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42</w:t>
            </w: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2.8</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15.00</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2.4</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温控系统</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56</w:t>
            </w: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2.8</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20.00</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2.5</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消防系统</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42</w:t>
            </w: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2.8</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15.00</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2.6</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储能EMS</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140</w:t>
            </w: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2.8</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50.00</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2.7</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附件</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22.4</w:t>
            </w: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2.8</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8.00</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2.8</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储能箱基础及连接电缆</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130</w:t>
            </w: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2.8</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25.00</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2.9</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15KWH换电系统(3000KWH)</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600</w:t>
            </w: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200</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3.00</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3</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园区配套工程</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886.27</w:t>
            </w: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w:t>
            </w:r>
          </w:p>
        </w:tc>
        <w:tc>
          <w:tcPr>
            <w:tcW w:w="14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5551.3</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0.227</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3.1</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升压/降压变压器</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80</w:t>
            </w: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4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40</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3.2</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中压输电电缆</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150</w:t>
            </w: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m</w:t>
            </w:r>
          </w:p>
        </w:tc>
        <w:tc>
          <w:tcPr>
            <w:tcW w:w="14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3000</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0.05</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3.3</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绿化等相关配套工程</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25.99</w:t>
            </w: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w:t>
            </w:r>
          </w:p>
        </w:tc>
        <w:tc>
          <w:tcPr>
            <w:tcW w:w="14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82</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0.317</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3.4</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10kv储能变电站</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55.28</w:t>
            </w:r>
          </w:p>
        </w:tc>
        <w:tc>
          <w:tcPr>
            <w:tcW w:w="62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w:t>
            </w:r>
          </w:p>
        </w:tc>
        <w:tc>
          <w:tcPr>
            <w:tcW w:w="14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40</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1.382</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3.5</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中心配电室变压器2000KVA</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25</w:t>
            </w:r>
          </w:p>
        </w:tc>
        <w:tc>
          <w:tcPr>
            <w:tcW w:w="62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4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25</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3.6</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光伏充电桩（600kW液冷）</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550</w:t>
            </w:r>
          </w:p>
        </w:tc>
        <w:tc>
          <w:tcPr>
            <w:tcW w:w="62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4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110</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二</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工程建设其他费用</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236.28</w:t>
            </w:r>
          </w:p>
        </w:tc>
        <w:tc>
          <w:tcPr>
            <w:tcW w:w="36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4.45%</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建设管理费</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23.85</w:t>
            </w:r>
          </w:p>
        </w:tc>
        <w:tc>
          <w:tcPr>
            <w:tcW w:w="36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sz w:val="18"/>
                <w:szCs w:val="18"/>
                <w:u w:val="none"/>
              </w:rPr>
            </w:pP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建设工程监理费</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28.62</w:t>
            </w:r>
          </w:p>
        </w:tc>
        <w:tc>
          <w:tcPr>
            <w:tcW w:w="36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sz w:val="18"/>
                <w:szCs w:val="18"/>
                <w:u w:val="none"/>
              </w:rPr>
            </w:pP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建设项目前期工作咨询费</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23.85</w:t>
            </w:r>
          </w:p>
        </w:tc>
        <w:tc>
          <w:tcPr>
            <w:tcW w:w="36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sz w:val="18"/>
                <w:szCs w:val="18"/>
                <w:u w:val="none"/>
              </w:rPr>
            </w:pP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4</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工程勘察费</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26.17</w:t>
            </w:r>
          </w:p>
        </w:tc>
        <w:tc>
          <w:tcPr>
            <w:tcW w:w="36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sz w:val="18"/>
                <w:szCs w:val="18"/>
                <w:u w:val="none"/>
              </w:rPr>
            </w:pP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屋顶荷载检测费</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10.64</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false"/>
                <w:iCs w:val="false"/>
                <w:color w:val="000000"/>
                <w:sz w:val="18"/>
                <w:szCs w:val="18"/>
                <w:u w:val="none"/>
              </w:rPr>
            </w:pPr>
          </w:p>
        </w:tc>
        <w:tc>
          <w:tcPr>
            <w:tcW w:w="1429" w:type="dxa"/>
            <w:tcBorders>
              <w:top w:val="single" w:color="000000" w:sz="4" w:space="0"/>
              <w:left w:val="nil"/>
              <w:bottom w:val="single" w:color="000000" w:sz="4" w:space="0"/>
              <w:right w:val="nil"/>
            </w:tcBorders>
            <w:shd w:val="clear" w:color="auto" w:fill="auto"/>
            <w:vAlign w:val="center"/>
          </w:tcPr>
          <w:p>
            <w:pPr>
              <w:jc w:val="center"/>
              <w:rPr>
                <w:rFonts w:hint="eastAsia" w:ascii="宋体" w:hAnsi="宋体" w:eastAsia="宋体" w:cs="宋体"/>
                <w:i w:val="false"/>
                <w:iCs w:val="false"/>
                <w:color w:val="000000"/>
                <w:sz w:val="18"/>
                <w:szCs w:val="18"/>
                <w:u w:val="none"/>
              </w:rPr>
            </w:pPr>
          </w:p>
        </w:tc>
        <w:tc>
          <w:tcPr>
            <w:tcW w:w="160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sz w:val="18"/>
                <w:szCs w:val="18"/>
                <w:u w:val="none"/>
              </w:rPr>
            </w:pP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6</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工程设计费</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47.70</w:t>
            </w:r>
          </w:p>
        </w:tc>
        <w:tc>
          <w:tcPr>
            <w:tcW w:w="36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sz w:val="18"/>
                <w:szCs w:val="18"/>
                <w:u w:val="none"/>
              </w:rPr>
            </w:pP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7</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环境影响咨询服务费</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4.77</w:t>
            </w:r>
          </w:p>
        </w:tc>
        <w:tc>
          <w:tcPr>
            <w:tcW w:w="36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sz w:val="18"/>
                <w:szCs w:val="18"/>
                <w:u w:val="none"/>
              </w:rPr>
            </w:pP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场地准备费及临时设施费</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26.24</w:t>
            </w:r>
          </w:p>
        </w:tc>
        <w:tc>
          <w:tcPr>
            <w:tcW w:w="36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sz w:val="18"/>
                <w:szCs w:val="18"/>
                <w:u w:val="none"/>
              </w:rPr>
            </w:pP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工程保险费</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13.90</w:t>
            </w:r>
          </w:p>
        </w:tc>
        <w:tc>
          <w:tcPr>
            <w:tcW w:w="36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sz w:val="18"/>
                <w:szCs w:val="18"/>
                <w:u w:val="none"/>
              </w:rPr>
            </w:pP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10</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招标代理服务费</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16.22</w:t>
            </w:r>
          </w:p>
        </w:tc>
        <w:tc>
          <w:tcPr>
            <w:tcW w:w="36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sz w:val="18"/>
                <w:szCs w:val="18"/>
                <w:u w:val="none"/>
              </w:rPr>
            </w:pP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造价咨询费</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14.31</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b/>
                <w:bCs/>
                <w:i w:val="false"/>
                <w:iCs w:val="false"/>
                <w:color w:val="000000"/>
                <w:sz w:val="18"/>
                <w:szCs w:val="18"/>
                <w:u w:val="none"/>
              </w:rPr>
            </w:pPr>
          </w:p>
        </w:tc>
        <w:tc>
          <w:tcPr>
            <w:tcW w:w="1429" w:type="dxa"/>
            <w:tcBorders>
              <w:top w:val="single" w:color="000000" w:sz="4" w:space="0"/>
              <w:left w:val="nil"/>
              <w:bottom w:val="single" w:color="000000" w:sz="4" w:space="0"/>
              <w:right w:val="nil"/>
            </w:tcBorders>
            <w:shd w:val="clear" w:color="auto" w:fill="auto"/>
            <w:vAlign w:val="center"/>
          </w:tcPr>
          <w:p>
            <w:pPr>
              <w:jc w:val="center"/>
              <w:rPr>
                <w:rFonts w:hint="eastAsia" w:ascii="宋体" w:hAnsi="宋体" w:eastAsia="宋体" w:cs="宋体"/>
                <w:b/>
                <w:bCs/>
                <w:i w:val="false"/>
                <w:iCs w:val="false"/>
                <w:color w:val="000000"/>
                <w:sz w:val="18"/>
                <w:szCs w:val="18"/>
                <w:u w:val="none"/>
              </w:rPr>
            </w:pPr>
          </w:p>
        </w:tc>
        <w:tc>
          <w:tcPr>
            <w:tcW w:w="1604"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sz w:val="18"/>
                <w:szCs w:val="18"/>
                <w:u w:val="none"/>
              </w:rPr>
            </w:pP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三</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预备费</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250.33</w:t>
            </w:r>
          </w:p>
        </w:tc>
        <w:tc>
          <w:tcPr>
            <w:tcW w:w="36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4.72%</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3.1</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基本预备费</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250.33</w:t>
            </w:r>
          </w:p>
        </w:tc>
        <w:tc>
          <w:tcPr>
            <w:tcW w:w="36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（一+二）*5%</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3.2</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涨价预备费</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sz w:val="18"/>
                <w:szCs w:val="18"/>
                <w:u w:val="none"/>
              </w:rPr>
            </w:pPr>
          </w:p>
        </w:tc>
        <w:tc>
          <w:tcPr>
            <w:tcW w:w="36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sz w:val="18"/>
                <w:szCs w:val="18"/>
                <w:u w:val="none"/>
              </w:rPr>
            </w:pP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四</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建设投资合计</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5256.93</w:t>
            </w:r>
          </w:p>
        </w:tc>
        <w:tc>
          <w:tcPr>
            <w:tcW w:w="36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99.11%</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sz w:val="18"/>
                <w:szCs w:val="18"/>
                <w:u w:val="none"/>
              </w:rPr>
            </w:pP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比例（%）</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36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sz w:val="18"/>
                <w:szCs w:val="18"/>
                <w:u w:val="none"/>
              </w:rPr>
            </w:pP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五</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建设期利息</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47.25</w:t>
            </w:r>
          </w:p>
        </w:tc>
        <w:tc>
          <w:tcPr>
            <w:tcW w:w="36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0.89%</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六</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固定资产投资</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5304.18</w:t>
            </w:r>
          </w:p>
        </w:tc>
        <w:tc>
          <w:tcPr>
            <w:tcW w:w="36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100.00%</w:t>
            </w:r>
          </w:p>
        </w:tc>
      </w:tr>
      <w:tr>
        <w:trPr>
          <w:trHeight w:val="4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八</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项目总投资</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5304.18</w:t>
            </w:r>
          </w:p>
        </w:tc>
        <w:tc>
          <w:tcPr>
            <w:tcW w:w="36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100.00%</w:t>
            </w: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2、资金投入计划和筹措方案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本项目（一期）总投资</w:t>
      </w:r>
      <w:r>
        <w:rPr>
          <w:rFonts w:ascii="宋体" w:hAnsi="宋体" w:eastAsia="宋体" w:cs="宋体"/>
          <w:i w:val="false"/>
          <w:strike w:val="false"/>
          <w:color w:val="000000"/>
          <w:spacing w:val="0"/>
          <w:w w:val="100"/>
          <w:sz w:val="28"/>
          <w:szCs w:val="28"/>
          <w:u w:val="none"/>
        </w:rPr>
        <w:t>5816.94</w:t>
      </w:r>
      <w:r>
        <w:rPr>
          <w:rFonts w:hint="eastAsia" w:ascii="宋体" w:hAnsi="宋体" w:eastAsia="宋体" w:cs="宋体"/>
          <w:snapToGrid/>
          <w:color w:val="000000"/>
          <w:spacing w:val="0"/>
          <w:w w:val="100"/>
          <w:kern w:val="2"/>
          <w:position w:val="0"/>
          <w:sz w:val="28"/>
          <w:szCs w:val="28"/>
          <w:lang w:val="en-US" w:eastAsia="zh-CN" w:bidi="zh-CN"/>
        </w:rPr>
        <w:t>万元，其中固定资产投资</w:t>
      </w:r>
      <w:r>
        <w:rPr>
          <w:rFonts w:ascii="宋体" w:hAnsi="宋体" w:eastAsia="宋体" w:cs="宋体"/>
          <w:i w:val="false"/>
          <w:strike w:val="false"/>
          <w:color w:val="000000"/>
          <w:spacing w:val="0"/>
          <w:w w:val="100"/>
          <w:sz w:val="28"/>
          <w:szCs w:val="28"/>
          <w:u w:val="none"/>
        </w:rPr>
        <w:t>5816.94</w:t>
      </w:r>
      <w:r>
        <w:rPr>
          <w:rFonts w:hint="eastAsia" w:ascii="宋体" w:hAnsi="宋体" w:eastAsia="宋体" w:cs="宋体"/>
          <w:snapToGrid/>
          <w:color w:val="000000"/>
          <w:spacing w:val="0"/>
          <w:w w:val="100"/>
          <w:kern w:val="2"/>
          <w:position w:val="0"/>
          <w:sz w:val="28"/>
          <w:szCs w:val="28"/>
          <w:lang w:val="en-US" w:eastAsia="zh-CN" w:bidi="zh-CN"/>
        </w:rPr>
        <w:t>万元，0.5年建设期内均匀投入。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000000"/>
          <w:spacing w:val="0"/>
          <w:w w:val="100"/>
          <w:kern w:val="2"/>
          <w:position w:val="0"/>
          <w:sz w:val="28"/>
          <w:szCs w:val="28"/>
          <w:lang w:val="en-US" w:eastAsia="zh-CN" w:bidi="zh-CN"/>
        </w:rPr>
      </w:pPr>
      <w:bookmarkStart w:id="81" w:name="_Toc27847"/>
      <w:bookmarkStart w:id="82" w:name="_Toc22702"/>
      <w:r>
        <w:rPr>
          <w:rFonts w:hint="eastAsia" w:ascii="宋体" w:hAnsi="宋体" w:eastAsia="宋体" w:cs="宋体"/>
          <w:snapToGrid/>
          <w:color w:val="000000"/>
          <w:spacing w:val="0"/>
          <w:w w:val="100"/>
          <w:kern w:val="2"/>
          <w:position w:val="0"/>
          <w:sz w:val="28"/>
          <w:szCs w:val="28"/>
          <w:lang w:val="en-US" w:eastAsia="zh-CN" w:bidi="zh-CN"/>
        </w:rPr>
        <w:t>项目总投资由资本金和项目融资或其他债务性资金两部分构成，一是资本金1767.59万元，占总投资的20.16%，二是项目融资、企业自筹资金或者其他债务性资金7000.00万元，占总投资的79.84%。</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其中，项目（一期）资本金1104.18万元，占总投资的20.82%，项目融资、企业自筹资金或其他债务性资金4200.00万元，占总投资的79.18%。</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83" w:name="_Toc6414"/>
      <w:r>
        <w:rPr>
          <w:rFonts w:hint="eastAsia" w:ascii="宋体" w:hAnsi="宋体" w:eastAsia="宋体" w:cs="宋体"/>
          <w:b/>
          <w:bCs/>
          <w:sz w:val="28"/>
          <w:szCs w:val="28"/>
          <w:lang w:val="en-US" w:eastAsia="zh-CN"/>
        </w:rPr>
        <w:t>6.2 财务盈利能力分析</w:t>
      </w:r>
      <w:bookmarkEnd w:id="81"/>
      <w:bookmarkEnd w:id="82"/>
      <w:bookmarkEnd w:id="83"/>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6.2.1 财务评价的目标和原则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财务评价是在国家现行财税制度和价格体系的前提下，根据国民经济与社会发展的趋势、行业发展状态、地区发展规划和行业政策的具体情况，从项目的角度出发，在项目初步方案的基础上，采用科学的分析方法，计算项目范围内的财务效益和费用，分析项目的盈利能力和清偿能力，分析论证拟建项目的财务可行性，评价项目在财务上的可行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评价原则：1、客观性、科学性、公正性原则。2、坚持定量分析与定性分析相结合原则。3、以定量分析为主评价中采用动态与静态分析相结合，以动态分析为主原则。</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6.2.2 编制依据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《国家发展和改革委员会、建设部关于建设项目经济评价工作的若干规定》（发改投资〔2006〕1325号）文件。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《建设项目经济评价方法与参数》(第三版)。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《企业会计准则》及其相关规定。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《中华人民共和国企业所得税法》及其相关规定。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《中华人民共和国增值税法》及其相关规定。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《项目融资业务指引》。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其他财税管理办法。</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6.2.3 参数选取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遵循同期性、有效性、谨慎性和准确性的原则，结合国家财税法律法规、项目所在地区、归属行业以及项目自身特点，选取项目参数，具体情况如下。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w:t>
      </w:r>
      <w:r>
        <w:rPr>
          <w:rFonts w:ascii="宋体" w:hAnsi="宋体" w:eastAsia="宋体" w:cs="宋体"/>
          <w:i w:val="false"/>
          <w:strike w:val="false"/>
          <w:spacing w:val="0"/>
          <w:sz w:val="28"/>
          <w:szCs w:val="28"/>
          <w:u w:val="none"/>
        </w:rPr>
        <w:t>光伏储能设备按照20年折旧，残值率5%，折旧方法为平均年限法</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2、根据现行的税收政策规定，增值税按最新税率13%、9%计算，城市建设维护税按7%，教育费附加税按3%，企业所得税率按25%。</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3、项目计算期12年，其中建设期0.5年。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项目财务基准收益率（折现率）为4.2%。目前，无风险收益率（10年期国债收益率）在2.1%左右，因本项目是服务饮食的民生项目，行业发展确定性较强，行业风险相对较小，所以风险收益暂定为2.1%，即项目财务基准收益率（折现率）为4.2%。</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6.2.4 项目收入测算</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本项目（一期）建成后收入由光伏收入、储能电站收入及充电桩收入三部分构成。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1、光伏发电收入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（1）数量：</w:t>
      </w:r>
      <w:r>
        <w:rPr>
          <w:rFonts w:ascii="宋体" w:hAnsi="宋体" w:eastAsia="宋体" w:cs="宋体"/>
          <w:i w:val="false"/>
          <w:strike w:val="false"/>
          <w:color w:val="000000"/>
          <w:spacing w:val="0"/>
          <w:sz w:val="28"/>
          <w:szCs w:val="28"/>
          <w:u w:val="none"/>
        </w:rPr>
        <w:t>本项目采用“源网荷储模式”，结合企业</w:t>
      </w:r>
      <w:r>
        <w:rPr>
          <w:rFonts w:hint="eastAsia" w:ascii="宋体" w:hAnsi="宋体" w:eastAsia="宋体" w:cs="宋体"/>
          <w:i w:val="false"/>
          <w:strike w:val="false"/>
          <w:color w:val="000000"/>
          <w:spacing w:val="0"/>
          <w:sz w:val="28"/>
          <w:szCs w:val="28"/>
          <w:u w:val="none"/>
        </w:rPr>
        <w:t>河南大成包装材料</w:t>
      </w:r>
      <w:r>
        <w:rPr>
          <w:rFonts w:ascii="宋体" w:hAnsi="宋体" w:eastAsia="宋体" w:cs="宋体"/>
          <w:i w:val="false"/>
          <w:strike w:val="false"/>
          <w:spacing w:val="0"/>
          <w:sz w:val="28"/>
          <w:szCs w:val="28"/>
          <w:u w:val="none"/>
        </w:rPr>
        <w:t>有限公司</w:t>
      </w:r>
      <w:r>
        <w:rPr>
          <w:rFonts w:hint="eastAsia" w:ascii="宋体" w:hAnsi="宋体" w:eastAsia="宋体" w:cs="宋体"/>
          <w:i w:val="false"/>
          <w:strike w:val="false"/>
          <w:spacing w:val="0"/>
          <w:sz w:val="28"/>
          <w:szCs w:val="28"/>
          <w:u w:val="none"/>
        </w:rPr>
        <w:t>2024年7月</w:t>
      </w:r>
      <w:r>
        <w:rPr>
          <w:rFonts w:hint="eastAsia" w:ascii="宋体" w:hAnsi="宋体" w:eastAsia="宋体" w:cs="宋体"/>
          <w:i w:val="false"/>
          <w:strike w:val="false"/>
          <w:spacing w:val="0"/>
          <w:sz w:val="28"/>
          <w:szCs w:val="28"/>
          <w:u w:val="none"/>
          <w:lang w:eastAsia="zh-CN"/>
        </w:rPr>
        <w:t>—</w:t>
      </w:r>
      <w:r>
        <w:rPr>
          <w:rFonts w:hint="eastAsia" w:ascii="宋体" w:hAnsi="宋体" w:eastAsia="宋体" w:cs="宋体"/>
          <w:i w:val="false"/>
          <w:strike w:val="false"/>
          <w:spacing w:val="0"/>
          <w:sz w:val="28"/>
          <w:szCs w:val="28"/>
          <w:u w:val="none"/>
        </w:rPr>
        <w:t>2025年6月</w:t>
      </w:r>
      <w:r>
        <w:rPr>
          <w:rFonts w:ascii="宋体" w:hAnsi="宋体" w:eastAsia="宋体" w:cs="宋体"/>
          <w:i w:val="false"/>
          <w:strike w:val="false"/>
          <w:spacing w:val="0"/>
          <w:sz w:val="28"/>
          <w:szCs w:val="28"/>
          <w:u w:val="none"/>
        </w:rPr>
        <w:t>年用电量6</w:t>
      </w:r>
      <w:r>
        <w:rPr>
          <w:rFonts w:hint="eastAsia" w:ascii="宋体" w:hAnsi="宋体" w:eastAsia="宋体" w:cs="宋体"/>
          <w:i w:val="false"/>
          <w:strike w:val="false"/>
          <w:spacing w:val="0"/>
          <w:sz w:val="28"/>
          <w:szCs w:val="28"/>
          <w:u w:val="none"/>
        </w:rPr>
        <w:t>8</w:t>
      </w:r>
      <w:r>
        <w:rPr>
          <w:rFonts w:ascii="宋体" w:hAnsi="宋体" w:eastAsia="宋体" w:cs="宋体"/>
          <w:i w:val="false"/>
          <w:strike w:val="false"/>
          <w:spacing w:val="0"/>
          <w:sz w:val="28"/>
          <w:szCs w:val="28"/>
          <w:u w:val="none"/>
        </w:rPr>
        <w:t>89.68万kWh</w:t>
      </w:r>
      <w:r>
        <w:rPr>
          <w:rFonts w:hint="eastAsia" w:ascii="宋体" w:hAnsi="宋体" w:eastAsia="宋体" w:cs="宋体"/>
          <w:i w:val="false"/>
          <w:strike w:val="false"/>
          <w:spacing w:val="0"/>
          <w:sz w:val="28"/>
          <w:szCs w:val="28"/>
          <w:u w:val="none"/>
        </w:rPr>
        <w:t>（详见下表）</w:t>
      </w:r>
      <w:r>
        <w:rPr>
          <w:rFonts w:ascii="宋体" w:hAnsi="宋体" w:eastAsia="宋体" w:cs="宋体"/>
          <w:i w:val="false"/>
          <w:strike w:val="false"/>
          <w:spacing w:val="0"/>
          <w:sz w:val="28"/>
          <w:szCs w:val="28"/>
          <w:u w:val="none"/>
        </w:rPr>
        <w:t>，即年平均用电负荷为55MW左右，</w:t>
      </w:r>
      <w:r>
        <w:rPr>
          <w:rFonts w:hint="eastAsia" w:ascii="宋体" w:hAnsi="宋体" w:eastAsia="宋体" w:cs="宋体"/>
          <w:i w:val="false"/>
          <w:strike w:val="false"/>
          <w:spacing w:val="0"/>
          <w:sz w:val="28"/>
          <w:szCs w:val="28"/>
          <w:u w:val="none"/>
          <w:lang w:eastAsia="zh-CN"/>
        </w:rPr>
        <w:t>根据</w:t>
      </w:r>
      <w:r>
        <w:rPr>
          <w:rFonts w:hint="eastAsia" w:ascii="宋体" w:hAnsi="宋体" w:eastAsia="宋体" w:cs="宋体"/>
          <w:snapToGrid/>
          <w:color w:val="auto"/>
          <w:spacing w:val="0"/>
          <w:w w:val="100"/>
          <w:kern w:val="2"/>
          <w:position w:val="0"/>
          <w:sz w:val="28"/>
          <w:szCs w:val="28"/>
          <w:lang w:val="en-US" w:eastAsia="zh-CN" w:bidi="zh-CN"/>
        </w:rPr>
        <w:t>大成包装2025年</w:t>
      </w:r>
      <w:r>
        <w:rPr>
          <w:rFonts w:hint="eastAsia" w:ascii="宋体" w:hAnsi="宋体" w:eastAsia="宋体" w:cs="宋体"/>
          <w:snapToGrid/>
          <w:color w:val="auto"/>
          <w:spacing w:val="0"/>
          <w:w w:val="100"/>
          <w:kern w:val="2"/>
          <w:position w:val="0"/>
          <w:sz w:val="28"/>
          <w:szCs w:val="28"/>
          <w:lang w:val="en-US" w:eastAsia="zh-CN" w:bidi="zh-CN"/>
        </w:rPr>
        <w:t>5</w:t>
      </w:r>
      <w:r>
        <w:rPr>
          <w:rFonts w:hint="eastAsia" w:ascii="宋体" w:hAnsi="宋体" w:eastAsia="宋体" w:cs="宋体"/>
          <w:snapToGrid/>
          <w:color w:val="auto"/>
          <w:spacing w:val="0"/>
          <w:w w:val="100"/>
          <w:kern w:val="2"/>
          <w:position w:val="0"/>
          <w:sz w:val="28"/>
          <w:szCs w:val="28"/>
          <w:lang w:val="en-US" w:eastAsia="zh-CN" w:bidi="zh-CN"/>
        </w:rPr>
        <w:t>-10月份用电负荷曲线显示，该企业在</w:t>
      </w:r>
      <w:r>
        <w:rPr>
          <w:rFonts w:hint="eastAsia" w:ascii="宋体" w:hAnsi="宋体" w:eastAsia="宋体" w:cs="宋体"/>
          <w:snapToGrid/>
          <w:color w:val="auto"/>
          <w:spacing w:val="0"/>
          <w:w w:val="100"/>
          <w:kern w:val="2"/>
          <w:position w:val="0"/>
          <w:sz w:val="28"/>
          <w:szCs w:val="28"/>
          <w:lang w:val="en-US" w:eastAsia="zh-CN" w:bidi="zh-CN"/>
        </w:rPr>
        <w:t>2025年</w:t>
      </w:r>
      <w:r>
        <w:rPr>
          <w:rFonts w:hint="eastAsia" w:ascii="宋体" w:hAnsi="宋体" w:eastAsia="宋体" w:cs="宋体"/>
          <w:snapToGrid/>
          <w:color w:val="auto"/>
          <w:spacing w:val="0"/>
          <w:w w:val="100"/>
          <w:kern w:val="2"/>
          <w:position w:val="0"/>
          <w:sz w:val="28"/>
          <w:szCs w:val="28"/>
          <w:lang w:val="en-US" w:eastAsia="zh-CN" w:bidi="zh-CN"/>
        </w:rPr>
        <w:t>平段用电量</w:t>
      </w:r>
      <w:r>
        <w:rPr>
          <w:rFonts w:hint="eastAsia" w:ascii="宋体" w:hAnsi="宋体" w:eastAsia="宋体" w:cs="宋体"/>
          <w:snapToGrid/>
          <w:color w:val="auto"/>
          <w:spacing w:val="0"/>
          <w:w w:val="100"/>
          <w:kern w:val="2"/>
          <w:position w:val="0"/>
          <w:sz w:val="28"/>
          <w:szCs w:val="28"/>
          <w:lang w:val="en-US" w:eastAsia="zh-CN" w:bidi="zh-CN"/>
        </w:rPr>
        <w:t>1842.84</w:t>
      </w:r>
      <w:r>
        <w:rPr>
          <w:rFonts w:ascii="宋体" w:hAnsi="宋体" w:eastAsia="宋体" w:cs="宋体"/>
          <w:i w:val="false"/>
          <w:strike w:val="false"/>
          <w:color w:val="auto"/>
          <w:spacing w:val="0"/>
          <w:sz w:val="28"/>
          <w:szCs w:val="28"/>
          <w:u w:val="none"/>
        </w:rPr>
        <w:t>kWh</w:t>
      </w:r>
      <w:r>
        <w:rPr>
          <w:rFonts w:hint="eastAsia" w:ascii="宋体" w:hAnsi="宋体" w:eastAsia="宋体" w:cs="宋体"/>
          <w:snapToGrid/>
          <w:color w:val="auto"/>
          <w:spacing w:val="0"/>
          <w:w w:val="100"/>
          <w:kern w:val="2"/>
          <w:position w:val="0"/>
          <w:sz w:val="28"/>
          <w:szCs w:val="28"/>
          <w:lang w:val="en-US" w:eastAsia="zh-CN" w:bidi="zh-CN"/>
        </w:rPr>
        <w:t>，其余为低谷时段，</w:t>
      </w:r>
      <w:r>
        <w:rPr>
          <w:rFonts w:ascii="宋体" w:hAnsi="宋体" w:eastAsia="宋体" w:cs="宋体"/>
          <w:i w:val="false"/>
          <w:strike w:val="false"/>
          <w:color w:val="auto"/>
          <w:spacing w:val="0"/>
          <w:sz w:val="28"/>
          <w:szCs w:val="28"/>
          <w:u w:val="none"/>
        </w:rPr>
        <w:t>该企业距本项目光伏电站2公里左右（小于</w:t>
      </w:r>
      <w:r>
        <w:rPr>
          <w:rFonts w:hint="eastAsia" w:ascii="宋体" w:hAnsi="宋体" w:eastAsia="宋体" w:cs="宋体"/>
          <w:snapToGrid/>
          <w:color w:val="auto"/>
          <w:spacing w:val="0"/>
          <w:w w:val="100"/>
          <w:kern w:val="2"/>
          <w:position w:val="0"/>
          <w:sz w:val="28"/>
          <w:szCs w:val="28"/>
          <w:lang w:val="en-US" w:eastAsia="zh-CN" w:bidi="zh-CN"/>
        </w:rPr>
        <w:t>20公里），根据测算，光伏电站每年发电量为718.07万kWh（3.349kWh/kWp/天*5956kWp*360天），考虑到该企业是24小时生产，白天平谷时段用电</w:t>
      </w:r>
      <w:r>
        <w:rPr>
          <w:rFonts w:hint="eastAsia" w:ascii="宋体" w:hAnsi="宋体" w:eastAsia="宋体" w:cs="宋体"/>
          <w:snapToGrid/>
          <w:color w:val="auto"/>
          <w:spacing w:val="0"/>
          <w:w w:val="100"/>
          <w:kern w:val="2"/>
          <w:position w:val="0"/>
          <w:sz w:val="28"/>
          <w:szCs w:val="28"/>
          <w:lang w:val="en-US" w:eastAsia="zh-CN" w:bidi="zh-CN"/>
        </w:rPr>
        <w:t>1842.84</w:t>
      </w:r>
      <w:r>
        <w:rPr>
          <w:rFonts w:ascii="宋体" w:hAnsi="宋体" w:eastAsia="宋体" w:cs="宋体"/>
          <w:i w:val="false"/>
          <w:strike w:val="false"/>
          <w:spacing w:val="0"/>
          <w:sz w:val="28"/>
          <w:szCs w:val="28"/>
          <w:u w:val="none"/>
        </w:rPr>
        <w:t>万kWh</w:t>
      </w:r>
      <w:r>
        <w:rPr>
          <w:rFonts w:hint="eastAsia" w:ascii="宋体" w:hAnsi="宋体" w:eastAsia="宋体" w:cs="宋体"/>
          <w:snapToGrid/>
          <w:color w:val="auto"/>
          <w:spacing w:val="0"/>
          <w:w w:val="100"/>
          <w:kern w:val="2"/>
          <w:position w:val="0"/>
          <w:sz w:val="28"/>
          <w:szCs w:val="28"/>
          <w:lang w:val="en-US" w:eastAsia="zh-CN" w:bidi="zh-CN"/>
        </w:rPr>
        <w:t>，本项目光伏发电将直接由该企业100%消纳。</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2" w:firstLineChars="200"/>
        <w:jc w:val="center"/>
        <w:textAlignment w:val="baseline"/>
        <w:outlineLvl w:val="9"/>
        <w:rPr>
          <w:rFonts w:hint="eastAsia" w:ascii="宋体" w:hAnsi="宋体" w:eastAsia="宋体" w:cs="宋体"/>
          <w:b/>
          <w:snapToGrid/>
          <w:color w:val="auto"/>
          <w:spacing w:val="0"/>
          <w:w w:val="100"/>
          <w:kern w:val="2"/>
          <w:position w:val="0"/>
          <w:sz w:val="28"/>
          <w:szCs w:val="28"/>
          <w:lang w:val="en-US" w:eastAsia="zh-CN" w:bidi="zh-CN"/>
        </w:rPr>
      </w:pPr>
      <w:r>
        <w:rPr>
          <w:rFonts w:hint="eastAsia" w:ascii="宋体" w:hAnsi="宋体" w:eastAsia="宋体" w:cs="宋体"/>
          <w:b/>
          <w:snapToGrid/>
          <w:color w:val="auto"/>
          <w:spacing w:val="0"/>
          <w:w w:val="100"/>
          <w:kern w:val="2"/>
          <w:position w:val="0"/>
          <w:sz w:val="28"/>
          <w:szCs w:val="28"/>
          <w:lang w:val="en-US" w:eastAsia="zh-CN" w:bidi="zh-CN"/>
        </w:rPr>
        <w:t>大成包装用电量</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2710"/>
        <w:gridCol w:w="1445"/>
        <w:gridCol w:w="2710"/>
      </w:tblGrid>
      <w:tr>
        <w:trPr>
          <w:trHeight w:val="420" w:hRule="atLeast"/>
        </w:trPr>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b/>
                <w:i w:val="false"/>
                <w:strike w:val="false"/>
                <w:color w:val="000000"/>
                <w:spacing w:val="0"/>
                <w:sz w:val="21"/>
                <w:szCs w:val="21"/>
                <w:u w:val="none"/>
              </w:rPr>
              <w:t>2024年</w:t>
            </w:r>
          </w:p>
        </w:tc>
        <w:tc>
          <w:tcPr>
            <w:tcW w:w="2710"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b/>
                <w:i w:val="false"/>
                <w:strike w:val="false"/>
                <w:color w:val="000000"/>
                <w:spacing w:val="0"/>
                <w:sz w:val="21"/>
                <w:szCs w:val="21"/>
                <w:u w:val="none"/>
              </w:rPr>
              <w:t>用电量（万kwh）</w:t>
            </w:r>
          </w:p>
        </w:tc>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b/>
                <w:i w:val="false"/>
                <w:strike w:val="false"/>
                <w:color w:val="000000"/>
                <w:spacing w:val="0"/>
                <w:sz w:val="21"/>
                <w:szCs w:val="21"/>
                <w:u w:val="none"/>
              </w:rPr>
              <w:t>2025年</w:t>
            </w:r>
          </w:p>
        </w:tc>
        <w:tc>
          <w:tcPr>
            <w:tcW w:w="2710"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b/>
                <w:i w:val="false"/>
                <w:strike w:val="false"/>
                <w:color w:val="000000"/>
                <w:spacing w:val="0"/>
                <w:sz w:val="21"/>
                <w:szCs w:val="21"/>
                <w:u w:val="none"/>
              </w:rPr>
              <w:t>用电量（万kwh）</w:t>
            </w:r>
          </w:p>
        </w:tc>
      </w:tr>
      <w:tr>
        <w:trPr>
          <w:trHeight w:val="420" w:hRule="atLeast"/>
        </w:trPr>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rPr>
              <w:t>7月</w:t>
            </w:r>
          </w:p>
        </w:tc>
        <w:tc>
          <w:tcPr>
            <w:tcW w:w="2710"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rPr>
              <w:t>493.99</w:t>
            </w:r>
          </w:p>
        </w:tc>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rPr>
              <w:t>1月</w:t>
            </w:r>
          </w:p>
        </w:tc>
        <w:tc>
          <w:tcPr>
            <w:tcW w:w="2710"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rPr>
              <w:t>489.21</w:t>
            </w:r>
          </w:p>
        </w:tc>
      </w:tr>
      <w:tr>
        <w:trPr>
          <w:trHeight w:val="420" w:hRule="atLeast"/>
        </w:trPr>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rPr>
              <w:t>8月</w:t>
            </w:r>
          </w:p>
        </w:tc>
        <w:tc>
          <w:tcPr>
            <w:tcW w:w="2710"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rPr>
              <w:t>513.83</w:t>
            </w:r>
          </w:p>
        </w:tc>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rPr>
              <w:t>2月</w:t>
            </w:r>
          </w:p>
        </w:tc>
        <w:tc>
          <w:tcPr>
            <w:tcW w:w="2710"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rPr>
              <w:t>510.51</w:t>
            </w:r>
          </w:p>
        </w:tc>
      </w:tr>
      <w:tr>
        <w:trPr>
          <w:trHeight w:val="420" w:hRule="atLeast"/>
        </w:trPr>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rPr>
              <w:t>9月</w:t>
            </w:r>
          </w:p>
        </w:tc>
        <w:tc>
          <w:tcPr>
            <w:tcW w:w="2710"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rPr>
              <w:t>603.61</w:t>
            </w:r>
          </w:p>
        </w:tc>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rPr>
              <w:t>3月</w:t>
            </w:r>
          </w:p>
        </w:tc>
        <w:tc>
          <w:tcPr>
            <w:tcW w:w="2710"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rPr>
              <w:t>686.45</w:t>
            </w:r>
          </w:p>
        </w:tc>
      </w:tr>
      <w:tr>
        <w:trPr>
          <w:trHeight w:val="420" w:hRule="atLeast"/>
        </w:trPr>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rPr>
              <w:t>10月</w:t>
            </w:r>
          </w:p>
        </w:tc>
        <w:tc>
          <w:tcPr>
            <w:tcW w:w="2710"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rPr>
              <w:t>499.38</w:t>
            </w:r>
          </w:p>
        </w:tc>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rPr>
              <w:t>4月</w:t>
            </w:r>
          </w:p>
        </w:tc>
        <w:tc>
          <w:tcPr>
            <w:tcW w:w="2710"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rPr>
              <w:t>598.78</w:t>
            </w:r>
          </w:p>
        </w:tc>
      </w:tr>
      <w:tr>
        <w:trPr>
          <w:trHeight w:val="420" w:hRule="atLeast"/>
        </w:trPr>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rPr>
              <w:t>11月</w:t>
            </w:r>
          </w:p>
        </w:tc>
        <w:tc>
          <w:tcPr>
            <w:tcW w:w="2710"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rPr>
              <w:t>618.82</w:t>
            </w:r>
          </w:p>
        </w:tc>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rPr>
              <w:t>5月</w:t>
            </w:r>
          </w:p>
        </w:tc>
        <w:tc>
          <w:tcPr>
            <w:tcW w:w="2710"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rPr>
              <w:t>632.23</w:t>
            </w:r>
          </w:p>
        </w:tc>
      </w:tr>
      <w:tr>
        <w:trPr>
          <w:trHeight w:val="420" w:hRule="atLeast"/>
        </w:trPr>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rPr>
              <w:t>12月</w:t>
            </w:r>
          </w:p>
        </w:tc>
        <w:tc>
          <w:tcPr>
            <w:tcW w:w="2710"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rPr>
              <w:t>635.15</w:t>
            </w:r>
          </w:p>
        </w:tc>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rPr>
              <w:t>6月</w:t>
            </w:r>
          </w:p>
        </w:tc>
        <w:tc>
          <w:tcPr>
            <w:tcW w:w="2710"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rPr>
              <w:t>607.72</w:t>
            </w:r>
          </w:p>
        </w:tc>
      </w:tr>
      <w:tr>
        <w:trPr>
          <w:trHeight w:val="420" w:hRule="atLeast"/>
        </w:trPr>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rPr>
              <w:t>小计</w:t>
            </w:r>
          </w:p>
        </w:tc>
        <w:tc>
          <w:tcPr>
            <w:tcW w:w="2710"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rPr>
              <w:t>3364.78</w:t>
            </w:r>
          </w:p>
        </w:tc>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rPr>
              <w:t>小计</w:t>
            </w:r>
          </w:p>
        </w:tc>
        <w:tc>
          <w:tcPr>
            <w:tcW w:w="2710"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rPr>
              <w:t>3524.9</w:t>
            </w:r>
          </w:p>
        </w:tc>
      </w:tr>
      <w:tr>
        <w:trPr>
          <w:trHeight w:val="420" w:hRule="atLeast"/>
        </w:trPr>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rPr>
              <w:t>合计</w:t>
            </w:r>
          </w:p>
        </w:tc>
        <w:tc>
          <w:tcPr>
            <w:tcW w:w="6865" w:type="dxa"/>
            <w:gridSpan w:val="3"/>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sz w:val="21"/>
                <w:szCs w:val="21"/>
              </w:rPr>
            </w:pPr>
            <w:r>
              <w:rPr>
                <w:rFonts w:ascii="宋体" w:hAnsi="宋体" w:eastAsia="宋体" w:cs="宋体"/>
                <w:i w:val="false"/>
                <w:strike w:val="false"/>
                <w:color w:val="000000"/>
                <w:spacing w:val="0"/>
                <w:sz w:val="21"/>
                <w:szCs w:val="21"/>
                <w:u w:val="none"/>
              </w:rPr>
              <w:t>6889.68</w:t>
            </w: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（2）衰减值：光伏发电首年衰减值为1%，剩余每年衰减值为0.4%。</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（3）1kW光</w:t>
      </w:r>
      <w:r>
        <w:rPr>
          <w:rFonts w:ascii="宋体" w:hAnsi="宋体" w:eastAsia="宋体" w:cs="宋体"/>
          <w:i w:val="false"/>
          <w:strike w:val="false"/>
          <w:spacing w:val="0"/>
          <w:sz w:val="28"/>
          <w:u w:val="none"/>
        </w:rPr>
        <w:t>伏装机容量平均日发电量：光伏发电时段在8:00-18:00，考虑日照时间、气温、照射角度等因素，根据Global Solar Atlas太阳能资源分析软件进行计算，如下图所示，1</w:t>
      </w:r>
      <w:r>
        <w:rPr>
          <w:rFonts w:hint="eastAsia" w:ascii="宋体" w:hAnsi="宋体" w:eastAsia="宋体" w:cs="宋体"/>
          <w:i w:val="false"/>
          <w:strike w:val="false"/>
          <w:spacing w:val="0"/>
          <w:sz w:val="28"/>
          <w:u w:val="none"/>
          <w:lang w:eastAsia="zh-CN"/>
        </w:rPr>
        <w:t>kW</w:t>
      </w:r>
      <w:r>
        <w:rPr>
          <w:rFonts w:ascii="宋体" w:hAnsi="宋体" w:eastAsia="宋体" w:cs="宋体"/>
          <w:i w:val="false"/>
          <w:strike w:val="false"/>
          <w:spacing w:val="0"/>
          <w:sz w:val="28"/>
          <w:u w:val="none"/>
        </w:rPr>
        <w:t>光伏装机容量每日发电量为3.349kWh/kWp/天,本项目预计年发电量3.349kWh/kWp/天*</w:t>
      </w:r>
      <w:r>
        <w:rPr>
          <w:rFonts w:hint="eastAsia" w:ascii="宋体" w:hAnsi="宋体" w:eastAsia="宋体" w:cs="宋体"/>
          <w:i w:val="false"/>
          <w:strike w:val="false"/>
          <w:spacing w:val="0"/>
          <w:sz w:val="28"/>
          <w:u w:val="none"/>
          <w:lang w:val="en-US" w:eastAsia="zh-CN"/>
        </w:rPr>
        <w:t>5956</w:t>
      </w:r>
      <w:r>
        <w:rPr>
          <w:rFonts w:ascii="宋体" w:hAnsi="宋体" w:eastAsia="宋体" w:cs="宋体"/>
          <w:i w:val="false"/>
          <w:strike w:val="false"/>
          <w:spacing w:val="0"/>
          <w:sz w:val="28"/>
          <w:u w:val="none"/>
        </w:rPr>
        <w:t>kWp*360天=</w:t>
      </w:r>
      <w:r>
        <w:rPr>
          <w:rFonts w:hint="eastAsia" w:ascii="宋体" w:hAnsi="宋体" w:eastAsia="宋体" w:cs="宋体"/>
          <w:i w:val="false"/>
          <w:strike w:val="false"/>
          <w:spacing w:val="0"/>
          <w:sz w:val="28"/>
          <w:u w:val="none"/>
          <w:lang w:val="en-US" w:eastAsia="zh-CN"/>
        </w:rPr>
        <w:t>718.08</w:t>
      </w:r>
      <w:r>
        <w:rPr>
          <w:rFonts w:ascii="宋体" w:hAnsi="宋体" w:eastAsia="宋体" w:cs="宋体"/>
          <w:i w:val="false"/>
          <w:strike w:val="false"/>
          <w:spacing w:val="0"/>
          <w:sz w:val="28"/>
          <w:u w:val="none"/>
        </w:rPr>
        <w:t>万kWh</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ind w:left="0" w:leftChars="0" w:firstLine="0" w:firstLineChars="0"/>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drawing>
          <wp:inline distT="0" distB="0" distL="0" distR="0">
            <wp:extent cx="5274310" cy="2454275"/>
            <wp:effectExtent l="0" t="0" r="0" b="0"/>
            <wp:docPr id="56" name="picture" descr="descript"/>
            <wp:cNvGraphicFramePr/>
            <a:graphic>
              <a:graphicData uri="http://schemas.openxmlformats.org/drawingml/2006/picture">
                <pic:pic>
                  <pic:nvPicPr>
                    <pic:cNvPr id="57" name="picture" descr="descript"/>
                    <pic:cNvPicPr/>
                  </pic:nvPicPr>
                  <pic:blipFill>
                    <a:blip r:embed="rId25"/>
                    <a:stretch>
                      <a:fillRect/>
                    </a:stretch>
                  </pic:blipFill>
                  <pic:spPr>
                    <a:xfrm>
                      <a:off x="0" y="0"/>
                      <a:ext cx="5274310" cy="2454297"/>
                    </a:xfrm>
                    <a:prstGeom prst="rect">
                      <a:avLst/>
                    </a:prstGeom>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工商业用电平均电价：根据国网河南省电力公司代理购电工商业用户电价表，本项目电压等级为1千—10千伏区间，根据河南省发展改革委发布的《关于调整工商业分时电价有关事项的通知》规定：高峰段为16--24时，低谷时段为0时-次日7时，其余时段为平段，工商业用电平段电价为0.69元/kWh左右（每月电价有一定浮动），出于谨慎性原则，光伏发电主要用于平段供应，项目平段供应用电电价为0.57元/kWh，暂不考虑电价调幅及尖峰时段电价。</w:t>
      </w:r>
    </w:p>
    <w:p>
      <w:pPr>
        <w:keepNext w:val="false"/>
        <w:keepLines w:val="false"/>
        <w:pageBreakBefore w:val="false"/>
        <w:widowControl w:val="false"/>
        <w:numPr>
          <w:ilvl w:val="0"/>
          <w:numId w:val="0"/>
        </w:numPr>
        <w:kinsoku/>
        <w:wordWrap/>
        <w:overflowPunct/>
        <w:topLinePunct w:val="false"/>
        <w:autoSpaceDE/>
        <w:autoSpaceDN/>
        <w:bidi w:val="false"/>
        <w:adjustRightInd/>
        <w:snapToGrid/>
        <w:jc w:val="both"/>
        <w:textAlignment w:val="auto"/>
        <w:rPr>
          <w:rFonts w:hint="eastAsia" w:eastAsia="宋体"/>
          <w:lang w:eastAsia="zh-CN"/>
        </w:rPr>
      </w:pPr>
      <w:r>
        <w:rPr>
          <w:rFonts w:hint="eastAsia" w:eastAsia="宋体"/>
          <w:lang w:eastAsia="zh-CN"/>
        </w:rPr>
        <w:drawing>
          <wp:inline distT="0" distB="0" distL="0" distR="0">
            <wp:extent cx="5274310" cy="2912745"/>
            <wp:effectExtent l="0" t="0" r="0" b="0"/>
            <wp:docPr id="59" name="picture" descr="descript"/>
            <wp:cNvGraphicFramePr/>
            <a:graphic>
              <a:graphicData uri="http://schemas.openxmlformats.org/drawingml/2006/picture">
                <pic:pic>
                  <pic:nvPicPr>
                    <pic:cNvPr id="60" name="picture" descr="descript"/>
                    <pic:cNvPicPr/>
                  </pic:nvPicPr>
                  <pic:blipFill>
                    <a:blip r:embed="rId26"/>
                    <a:stretch>
                      <a:fillRect/>
                    </a:stretch>
                  </pic:blipFill>
                  <pic:spPr>
                    <a:xfrm>
                      <a:off x="0" y="0"/>
                      <a:ext cx="5274310" cy="2913050"/>
                    </a:xfrm>
                    <a:prstGeom prst="rect">
                      <a:avLst/>
                    </a:prstGeom>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谨慎性原则，本次测算工商业用电平均电价为0.57元/kWh，则自发自用电费收益=（自用率*装机容量*1kW光伏装机容量平均日发电量*年发电天数-储能日储存电量*360）*工商业用电平均电价，贷款存续期间自用收益经营性收入估算合计为4554.38万元。（装机容量运营期首年衰减1%，以后每年衰减0.4%）详情请见估算表收入部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2、储能电站收益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峰值需求量：河南大成包装材料有限公司年用电需求6889.68万kWh，考虑到该企业是24小时生产，经调取2025年5月—2025年10用电曲线，大成包装在峰值用电490万kWh（高峰段为16--24时），本项目配备储能发电系统总计17MW，其中普通用户侧储能为14MW，剩余3MW分布式换电储能设备，该设备可做储能也可以做二轮或者三轮换电，因二轮或者三轮换电需要专业团队运营，收入存在不确定性，本次测算将换电不作为收入计算，仅计算储能收入。本项目考虑储能使用产能效率90%，本项目最大储能量为每天2.8*5000=17000kWh。为谨慎考虑，日放电效率按照92%计算为17000*90%*92%=114076kWh。年储能供电量是14076kWh*360=506万kWh，可满足该企业波峰用电需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i w:val="false"/>
          <w:strike w:val="false"/>
          <w:color w:val="000000"/>
          <w:spacing w:val="0"/>
          <w:sz w:val="28"/>
          <w:szCs w:val="28"/>
          <w:u w:val="none"/>
          <w:lang w:val="en-US" w:eastAsia="zh-CN"/>
        </w:rPr>
      </w:pPr>
      <w:r>
        <w:rPr>
          <w:rFonts w:hint="eastAsia" w:ascii="宋体" w:hAnsi="宋体" w:eastAsia="宋体" w:cs="宋体"/>
          <w:snapToGrid/>
          <w:color w:val="auto"/>
          <w:spacing w:val="0"/>
          <w:w w:val="100"/>
          <w:kern w:val="2"/>
          <w:position w:val="0"/>
          <w:sz w:val="28"/>
          <w:szCs w:val="28"/>
          <w:lang w:val="en-US" w:eastAsia="zh-CN" w:bidi="zh-CN"/>
        </w:rPr>
        <w:t>（2）储能销售电价：根据结合近2025年7月份电力公司代理购电工商业用户电价表推算，峰值价差约为0.73元/kwh（未考虑尖峰电价），出于谨慎性原则，项目暂按差价0.61元/kWh测算。</w:t>
      </w:r>
      <w:r>
        <w:rPr>
          <w:rFonts w:hint="eastAsia" w:ascii="宋体" w:hAnsi="宋体" w:eastAsia="宋体" w:cs="宋体"/>
          <w:snapToGrid/>
          <w:color w:val="auto"/>
          <w:spacing w:val="0"/>
          <w:w w:val="100"/>
          <w:kern w:val="2"/>
          <w:position w:val="0"/>
          <w:sz w:val="28"/>
          <w:szCs w:val="28"/>
          <w:lang w:val="en-US" w:eastAsia="zh-CN" w:bidi="zh-CN"/>
        </w:rPr>
        <w:drawing>
          <wp:inline distT="0" distB="0" distL="0" distR="0">
            <wp:extent cx="5274310" cy="2912745"/>
            <wp:effectExtent l="0" t="0" r="0" b="0"/>
            <wp:docPr id="62" name="picture" descr="descript"/>
            <wp:cNvGraphicFramePr/>
            <a:graphic>
              <a:graphicData uri="http://schemas.openxmlformats.org/drawingml/2006/picture">
                <pic:pic>
                  <pic:nvPicPr>
                    <pic:cNvPr id="63" name="picture" descr="descript"/>
                    <pic:cNvPicPr/>
                  </pic:nvPicPr>
                  <pic:blipFill>
                    <a:blip r:embed="rId26"/>
                    <a:stretch>
                      <a:fillRect/>
                    </a:stretch>
                  </pic:blipFill>
                  <pic:spPr>
                    <a:xfrm>
                      <a:off x="0" y="0"/>
                      <a:ext cx="5274310" cy="2913050"/>
                    </a:xfrm>
                    <a:prstGeom prst="rect">
                      <a:avLst/>
                    </a:prstGeom>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则储能峰谷发电收益=日峰值需求量*峰谷价差*年发电天数，贷款存续期间自用收益及经营性收入估算合计为3554.75万元。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3、电动汽车充电桩收入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关于加快电动汽车充电基础设施建设的实施意见》以及《河南省发展改革委转发国家发展改革委关于电动汽车用电价格政策有关问题的通知》：充换电设施经营单位可向电动汽车用户收取电费及充电服务费两项费用。结合新乡市市场价格，目前辖区范围内电动汽车充电服务费按充电的计量单位数(千瓦时)收取，社会车辆充电服务费标准暂定为0.8元/千瓦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设置600kW液冷充电桩5个。项目充电桩所使用电力全部由光伏车棚及储能模块提供，考虑到本项目的服务群体和区位，定价不宜过高，本次充电费用将按照0.35元/度充电电费及0.2元/度充电服务费，合计充电桩使用费为0.55元/千瓦时计算，功率为600kW，利用率按照运营期第0.5年使用系数按50%，第二年按60%，第三年按70%，第四年按80%，第五年按90%，第六年及以后按95%计算。每个充电桩每天工作0.5小时，年使用360天，每小时充电600度。贷款存续期间充电桩收入估算合计为294.03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综上所述，项目12年运营期内总收入为8038.57万元。</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6.2.5 项目成本测算</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1、燃料动力费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完成后，本项目经营用电用水自行承担。按实际生产量估算，价格依据现行市场确定，当项目达到设计达产能力100%，年成本费用为2.64万元/年，考虑到储能波谷充电，波峰放电，电池充电每天消耗电能1224kWh，波谷充电成本0.35元/kWh，年消耗电能1224kWh*360*0.35元/kWh=15.42万元。项目运营期内年均燃料动力费成本17.31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2、人员工资与福利成本</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本项目编制拟定为4人，主要为运营、维修维护管理人员，平均工资标准为100000元/年，经计算，年均职工薪酬及福利费为38.33万元。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3、保洁维护费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参考市场运维成本，结合项目实际情况，按照年折旧费的8%计取，经计算项目运营期内年均保洁维护费为17.42万元。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4、折旧与摊销</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本项目按直线法计算折旧，本项目主要是光伏设备和储能设备，该设备折旧年限为20年，残值率为5%。项目运营期内年均折旧额为217.76万元。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5、运营及管理费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主要为光伏发电设备、储能系统管理和光伏充电桩等，结合项目实际情况，按照年营业收入2%计取，则项目合计运营及管理费年均为14.01万元。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7、利息支出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项目（一期）申请贷款4200万元，年限为12年，其中建设期0.5年，建设期利息计入总投资，利率为4.50%。运营期内每年还本付息，具体情况见《还本付息表》。</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color w:val="auto"/>
          <w:sz w:val="28"/>
          <w:szCs w:val="28"/>
        </w:rPr>
      </w:pPr>
      <w:r>
        <w:rPr>
          <w:rFonts w:hint="eastAsia" w:ascii="宋体" w:hAnsi="宋体" w:eastAsia="宋体" w:cs="宋体"/>
          <w:b/>
          <w:bCs/>
          <w:color w:val="auto"/>
          <w:sz w:val="28"/>
          <w:szCs w:val="28"/>
        </w:rPr>
        <w:t>6.2.6 总投资收益率（ROI）</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方法与参数》的规定，总投资收益率（ROI）表示总投资的盈利水平，指项目到达设计能力后正常年份的年息税前利润或运营期内年平均息税前利润（EBIT）与项目总投资（TI）的比率；总投资收益率按照下式计算：</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left="0" w:right="0" w:firstLine="0" w:firstLineChars="0"/>
        <w:jc w:val="center"/>
        <w:textAlignment w:val="baseline"/>
        <w:rPr>
          <w:color w:val="auto"/>
          <w:sz w:val="28"/>
          <w:szCs w:val="28"/>
        </w:rPr>
      </w:pPr>
      <w:r>
        <w:rPr>
          <w:rFonts w:ascii="宋体" w:hAnsi="宋体" w:eastAsia="宋体" w:cs="宋体"/>
          <w:i w:val="false"/>
          <w:strike w:val="false"/>
          <w:color w:val="auto"/>
          <w:spacing w:val="0"/>
          <w:sz w:val="28"/>
          <w:szCs w:val="28"/>
          <w:u w:val="none"/>
        </w:rPr>
        <w:t>RO</w:t>
      </w:r>
      <w:r>
        <w:rPr>
          <w:rFonts w:hint="eastAsia" w:ascii="宋体" w:hAnsi="宋体" w:eastAsia="宋体" w:cs="宋体"/>
          <w:i w:val="false"/>
          <w:strike w:val="false"/>
          <w:color w:val="auto"/>
          <w:spacing w:val="0"/>
          <w:sz w:val="28"/>
          <w:szCs w:val="28"/>
          <w:u w:val="none"/>
          <w:lang w:val="en-US" w:eastAsia="zh-CN"/>
        </w:rPr>
        <w:t>I</w:t>
      </w:r>
      <w:r>
        <w:rPr>
          <w:rFonts w:ascii="宋体" w:hAnsi="宋体" w:eastAsia="宋体" w:cs="宋体"/>
          <w:i w:val="false"/>
          <w:strike w:val="false"/>
          <w:color w:val="auto"/>
          <w:spacing w:val="0"/>
          <w:sz w:val="28"/>
          <w:szCs w:val="28"/>
          <w:u w:val="none"/>
        </w:rPr>
        <w:t>=EBIT/TI*100%=</w:t>
      </w:r>
      <w:r>
        <w:rPr>
          <w:rFonts w:hint="eastAsia" w:ascii="宋体" w:hAnsi="宋体" w:eastAsia="宋体" w:cs="宋体"/>
          <w:i w:val="false"/>
          <w:strike w:val="false"/>
          <w:color w:val="auto"/>
          <w:spacing w:val="0"/>
          <w:sz w:val="28"/>
          <w:szCs w:val="28"/>
          <w:u w:val="none"/>
        </w:rPr>
        <w:t>5.</w:t>
      </w:r>
      <w:r>
        <w:rPr>
          <w:rFonts w:hint="eastAsia" w:ascii="宋体" w:hAnsi="宋体" w:eastAsia="宋体" w:cs="宋体"/>
          <w:i w:val="false"/>
          <w:strike w:val="false"/>
          <w:color w:val="auto"/>
          <w:spacing w:val="0"/>
          <w:sz w:val="28"/>
          <w:szCs w:val="28"/>
          <w:u w:val="none"/>
          <w:lang w:val="en-US" w:eastAsia="zh-CN"/>
        </w:rPr>
        <w:t>66</w:t>
      </w:r>
      <w:r>
        <w:rPr>
          <w:rFonts w:ascii="宋体" w:hAnsi="宋体" w:eastAsia="宋体" w:cs="宋体"/>
          <w:i w:val="false"/>
          <w:strike w:val="false"/>
          <w:color w:val="auto"/>
          <w:spacing w:val="0"/>
          <w:sz w:val="28"/>
          <w:szCs w:val="28"/>
          <w:u w:val="none"/>
        </w:rPr>
        <w:t>%</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式中：EBIT—项目正常年份的年息税前利润或运营期内年平均息税前利润；TI—项目总投资</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6.2.7 资本金净利润率（ROE）</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按照《方法与参数》的规定，资本金净利润率（ROE）表示利润总额占资本金的百分比，这个比值反映了投资者投入企业资本金的获利能力，是一种获利能力的标准性的指标。其计算公式如下：</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left="0" w:right="0" w:firstLine="0" w:firstLineChars="0"/>
        <w:jc w:val="center"/>
        <w:textAlignment w:val="baseline"/>
        <w:rPr>
          <w:rFonts w:ascii="宋体" w:hAnsi="宋体" w:eastAsia="宋体" w:cs="宋体"/>
          <w:i w:val="false"/>
          <w:strike w:val="false"/>
          <w:color w:val="000000"/>
          <w:spacing w:val="0"/>
          <w:sz w:val="28"/>
          <w:szCs w:val="28"/>
          <w:u w:val="none"/>
        </w:rPr>
      </w:pPr>
      <w:r>
        <w:rPr>
          <w:rFonts w:ascii="宋体" w:hAnsi="宋体" w:eastAsia="宋体" w:cs="宋体"/>
          <w:i w:val="false"/>
          <w:strike w:val="false"/>
          <w:color w:val="000000"/>
          <w:spacing w:val="0"/>
          <w:sz w:val="28"/>
          <w:szCs w:val="28"/>
          <w:u w:val="none"/>
        </w:rPr>
        <w:t>ROE=NP/EC*100%=</w:t>
      </w:r>
      <w:r>
        <w:rPr>
          <w:rFonts w:hint="eastAsia" w:ascii="宋体" w:hAnsi="宋体" w:eastAsia="宋体" w:cs="宋体"/>
          <w:i w:val="false"/>
          <w:strike w:val="false"/>
          <w:color w:val="000000"/>
          <w:spacing w:val="0"/>
          <w:sz w:val="28"/>
          <w:szCs w:val="28"/>
          <w:u w:val="none"/>
          <w:lang w:val="en-US" w:eastAsia="zh-CN"/>
        </w:rPr>
        <w:t>13.64</w:t>
      </w:r>
      <w:r>
        <w:rPr>
          <w:rFonts w:ascii="宋体" w:hAnsi="宋体" w:eastAsia="宋体" w:cs="宋体"/>
          <w:i w:val="false"/>
          <w:strike w:val="false"/>
          <w:color w:val="000000"/>
          <w:spacing w:val="0"/>
          <w:sz w:val="28"/>
          <w:szCs w:val="28"/>
          <w:u w:val="none"/>
        </w:rPr>
        <w:t>%</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其中：NP—项目达到设计生产能力后正常年份的税后净利润或运营期内税后年平均净利润，净利润=利润总额-所得税；EC—项目资本金。</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6.2.8 税后财务内部收益率（FIRR）</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按照《方法与参数》的规定，财务内部收益率（FIRR）系指项目计算期内净现金流量现值累计等于零时的折现率。其计算公式如下：</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left="0"/>
        <w:jc w:val="center"/>
        <w:textAlignment w:val="baseline"/>
        <w:rPr>
          <w:color w:val="FF0000"/>
        </w:rPr>
      </w:pPr>
      <w:r>
        <w:rPr>
          <w:color w:val="FF0000"/>
        </w:rPr>
        <w:drawing>
          <wp:inline distT="0" distB="0" distL="0" distR="0">
            <wp:extent cx="2362200" cy="542290"/>
            <wp:effectExtent l="0" t="0" r="0" b="10160"/>
            <wp:docPr id="65" name="picture" descr="descript"/>
            <wp:cNvGraphicFramePr/>
            <a:graphic>
              <a:graphicData uri="http://schemas.openxmlformats.org/drawingml/2006/picture">
                <pic:pic>
                  <pic:nvPicPr>
                    <pic:cNvPr id="66" name="picture" descr="descript"/>
                    <pic:cNvPicPr/>
                  </pic:nvPicPr>
                  <pic:blipFill>
                    <a:blip r:embed="rId27"/>
                    <a:stretch>
                      <a:fillRect/>
                    </a:stretch>
                  </pic:blipFill>
                  <pic:spPr>
                    <a:xfrm>
                      <a:off x="0" y="0"/>
                      <a:ext cx="2362200" cy="542290"/>
                    </a:xfrm>
                    <a:prstGeom prst="rect">
                      <a:avLst/>
                    </a:prstGeom>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式中：CI为现金流入，CO为现金流出，下同。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本项目税后全部投资财务内部收益率（FIRR）计算结果为7.70%。</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6.2.9 税后财务净现值（FNPV）</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按照《方法与参数》的规定，财务净现值（FNPV）系指按设定的折现率（一般采用基准收益率ic）计算项目计算期内各年净现金流量的现值之和。</w:t>
      </w:r>
    </w:p>
    <w:p>
      <w:pPr>
        <w:snapToGrid/>
        <w:spacing w:before="161" w:after="161" w:line="360" w:lineRule="auto"/>
        <w:ind w:left="0"/>
        <w:jc w:val="center"/>
        <w:rPr>
          <w:color w:val="FF0000"/>
        </w:rPr>
      </w:pPr>
      <w:r>
        <w:rPr>
          <w:color w:val="FF0000"/>
        </w:rPr>
        <w:drawing>
          <wp:inline distT="0" distB="0" distL="0" distR="0">
            <wp:extent cx="2514600" cy="457200"/>
            <wp:effectExtent l="0" t="0" r="0" b="0"/>
            <wp:docPr id="68" name="picture" descr="descript"/>
            <wp:cNvGraphicFramePr/>
            <a:graphic>
              <a:graphicData uri="http://schemas.openxmlformats.org/drawingml/2006/picture">
                <pic:pic>
                  <pic:nvPicPr>
                    <pic:cNvPr id="69" name="picture" descr="descript"/>
                    <pic:cNvPicPr/>
                  </pic:nvPicPr>
                  <pic:blipFill>
                    <a:blip r:embed="rId28"/>
                    <a:stretch>
                      <a:fillRect/>
                    </a:stretch>
                  </pic:blipFill>
                  <pic:spPr>
                    <a:xfrm>
                      <a:off x="0" y="0"/>
                      <a:ext cx="2514600" cy="457200"/>
                    </a:xfrm>
                    <a:prstGeom prst="rect">
                      <a:avLst/>
                    </a:prstGeom>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式中Ic为基准收益率，本项目为4.2%。</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本项目税后全部投资财务净现值（FNPV）计算结果为1210.00万元。</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6.2.10 所得税后动态投资回收期（Pt）</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按照《方法与参数》的规定，投资回收期（Pt）系指以项目的净收益回收项目投资所需要的时间。其计算公式如下：</w:t>
      </w:r>
    </w:p>
    <w:p>
      <w:pPr>
        <w:keepNext w:val="false"/>
        <w:keepLines w:val="false"/>
        <w:pageBreakBefore w:val="false"/>
        <w:widowControl w:val="false"/>
        <w:kinsoku/>
        <w:wordWrap/>
        <w:overflowPunct/>
        <w:topLinePunct/>
        <w:autoSpaceDE w:val="false"/>
        <w:autoSpaceDN/>
        <w:bidi w:val="false"/>
        <w:adjustRightInd/>
        <w:snapToGrid/>
        <w:spacing w:before="157" w:beforeLines="50" w:after="28" w:line="360" w:lineRule="auto"/>
        <w:ind w:left="0" w:firstLine="560" w:firstLineChars="200"/>
        <w:jc w:val="center"/>
        <w:textAlignment w:val="baseline"/>
        <w:rPr>
          <w:rFonts w:ascii="宋体" w:hAnsi="宋体" w:eastAsia="宋体" w:cs="宋体"/>
          <w:i w:val="false"/>
          <w:strike w:val="false"/>
          <w:color w:val="000000"/>
          <w:spacing w:val="0"/>
          <w:sz w:val="28"/>
          <w:u w:val="none"/>
        </w:rPr>
      </w:pPr>
      <w:r>
        <w:rPr>
          <w:rFonts w:ascii="宋体" w:hAnsi="宋体" w:eastAsia="宋体" w:cs="宋体"/>
          <w:i w:val="false"/>
          <w:strike w:val="false"/>
          <w:color w:val="000000"/>
          <w:spacing w:val="0"/>
          <w:sz w:val="28"/>
          <w:u w:val="none"/>
        </w:rPr>
        <w:drawing>
          <wp:inline distT="0" distB="0" distL="0" distR="0">
            <wp:extent cx="1447800" cy="533400"/>
            <wp:effectExtent l="0" t="0" r="0" b="0"/>
            <wp:docPr id="71" name="picture" descr="descript"/>
            <wp:cNvGraphicFramePr/>
            <a:graphic>
              <a:graphicData uri="http://schemas.openxmlformats.org/drawingml/2006/picture">
                <pic:pic>
                  <pic:nvPicPr>
                    <pic:cNvPr id="72" name="picture" descr="descript"/>
                    <pic:cNvPicPr/>
                  </pic:nvPicPr>
                  <pic:blipFill>
                    <a:blip r:embed="rId29"/>
                    <a:stretch>
                      <a:fillRect/>
                    </a:stretch>
                  </pic:blipFill>
                  <pic:spPr>
                    <a:xfrm>
                      <a:off x="0" y="0"/>
                      <a:ext cx="1447800" cy="533400"/>
                    </a:xfrm>
                    <a:prstGeom prst="rect">
                      <a:avLst/>
                    </a:prstGeom>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本项目税后投资回收期（Pt）经计算为11.31年（含建设期）。</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6.2.11 盈亏平衡分析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各种不确定性因素的变化会影响投资方案的经济效果，当这些因素的变化达到某一临界值时，就会使方案的损益情况产生质变。</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进行盈亏平衡分析，目的是找出该临界值，以判断投资方案对不确定性因素变化的承受能力，旨在为决策提供依据。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盈亏平衡分析是通过盈亏平衡点（BEP）分析项目成本与收益的平衡关系的一种方法。盈亏平衡点通常根据正常年份的经营收入、可变成本、固定成本、价格和税金及附加等数据计算，用项目能力利用率表示。其计算公式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BEP项目能力利用率=年固定成本/（年营业收入-年可变成本-年营业税金及附加）×100％=60.33%</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6.2.12 敏感性分析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本项目主要风险因素包括销售收入、原材料、经营成本、固定资产投资等因素的变化，而投资价值的影响。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基本方案的基本指标，满足了财务基准值的要求，考虑项目实施过程中的一些不确定因素的变化，分别对销售价格、销售量(增减幅度分别为5%、10%、15%、-5%、-10%和-15%)、经营成本、固定资产投资进行单因素分析(增减幅度分别为5%、10%、15%、-5%、-10%和-15%)，销售价格与销售量的变化数值从理论上分析应该是一致的，即单因素变化对内部收益率、投资回收期的影响进行敏感性分析。</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财务敏感性分析表</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1095"/>
        <w:gridCol w:w="990"/>
        <w:gridCol w:w="975"/>
        <w:gridCol w:w="990"/>
        <w:gridCol w:w="975"/>
        <w:gridCol w:w="990"/>
        <w:gridCol w:w="1110"/>
      </w:tblGrid>
      <w:tr>
        <w:trPr>
          <w:trHeight w:val="464" w:hRule="atLeast"/>
        </w:trPr>
        <w:tc>
          <w:tcPr>
            <w:tcW w:w="142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变动幅度</w:t>
            </w:r>
          </w:p>
        </w:tc>
        <w:tc>
          <w:tcPr>
            <w:tcW w:w="109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-15%</w:t>
            </w:r>
          </w:p>
        </w:tc>
        <w:tc>
          <w:tcPr>
            <w:tcW w:w="99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-10%</w:t>
            </w:r>
          </w:p>
        </w:tc>
        <w:tc>
          <w:tcPr>
            <w:tcW w:w="97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-5%</w:t>
            </w:r>
          </w:p>
        </w:tc>
        <w:tc>
          <w:tcPr>
            <w:tcW w:w="99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0%</w:t>
            </w:r>
          </w:p>
        </w:tc>
        <w:tc>
          <w:tcPr>
            <w:tcW w:w="97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5%</w:t>
            </w:r>
          </w:p>
        </w:tc>
        <w:tc>
          <w:tcPr>
            <w:tcW w:w="99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10%</w:t>
            </w:r>
          </w:p>
        </w:tc>
        <w:tc>
          <w:tcPr>
            <w:tcW w:w="111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15%</w:t>
            </w:r>
          </w:p>
        </w:tc>
      </w:tr>
      <w:tr>
        <w:trPr>
          <w:trHeight w:val="461" w:hRule="atLeast"/>
        </w:trPr>
        <w:tc>
          <w:tcPr>
            <w:tcW w:w="142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销售收入</w:t>
            </w:r>
          </w:p>
        </w:tc>
        <w:tc>
          <w:tcPr>
            <w:tcW w:w="109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ascii="宋体" w:hAnsi="宋体" w:eastAsia="宋体" w:cs="宋体"/>
                <w:i w:val="false"/>
                <w:strike w:val="false"/>
                <w:color w:val="auto"/>
                <w:spacing w:val="0"/>
                <w:sz w:val="21"/>
                <w:u w:val="none"/>
                <w:lang w:val="en-US" w:eastAsia="zh-CN"/>
              </w:rPr>
            </w:pPr>
            <w:r>
              <w:rPr>
                <w:rFonts w:hint="eastAsia" w:ascii="宋体" w:hAnsi="宋体" w:eastAsia="宋体" w:cs="宋体"/>
                <w:i w:val="false"/>
                <w:strike w:val="false"/>
                <w:color w:val="auto"/>
                <w:spacing w:val="0"/>
                <w:sz w:val="21"/>
                <w:u w:val="none"/>
              </w:rPr>
              <w:t>5.</w:t>
            </w:r>
            <w:r>
              <w:rPr>
                <w:rFonts w:hint="eastAsia" w:ascii="宋体" w:hAnsi="宋体" w:eastAsia="宋体" w:cs="宋体"/>
                <w:i w:val="false"/>
                <w:strike w:val="false"/>
                <w:color w:val="auto"/>
                <w:spacing w:val="0"/>
                <w:sz w:val="21"/>
                <w:u w:val="none"/>
                <w:lang w:val="en-US" w:eastAsia="zh-CN"/>
              </w:rPr>
              <w:t>32</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ascii="宋体" w:hAnsi="宋体" w:eastAsia="宋体" w:cs="宋体"/>
                <w:i w:val="false"/>
                <w:strike w:val="false"/>
                <w:color w:val="auto"/>
                <w:spacing w:val="0"/>
                <w:sz w:val="21"/>
                <w:u w:val="none"/>
                <w:lang w:val="en-US" w:eastAsia="zh-CN"/>
              </w:rPr>
            </w:pPr>
            <w:r>
              <w:rPr>
                <w:rFonts w:hint="eastAsia" w:ascii="宋体" w:hAnsi="宋体" w:eastAsia="宋体" w:cs="宋体"/>
                <w:i w:val="false"/>
                <w:strike w:val="false"/>
                <w:color w:val="auto"/>
                <w:spacing w:val="0"/>
                <w:sz w:val="21"/>
                <w:u w:val="none"/>
              </w:rPr>
              <w:t>6.</w:t>
            </w:r>
            <w:r>
              <w:rPr>
                <w:rFonts w:hint="eastAsia" w:ascii="宋体" w:hAnsi="宋体" w:eastAsia="宋体" w:cs="宋体"/>
                <w:i w:val="false"/>
                <w:strike w:val="false"/>
                <w:color w:val="auto"/>
                <w:spacing w:val="0"/>
                <w:sz w:val="21"/>
                <w:u w:val="none"/>
                <w:lang w:val="en-US" w:eastAsia="zh-CN"/>
              </w:rPr>
              <w:t>11</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ascii="宋体" w:hAnsi="宋体" w:eastAsia="宋体" w:cs="宋体"/>
                <w:i w:val="false"/>
                <w:strike w:val="false"/>
                <w:color w:val="auto"/>
                <w:spacing w:val="0"/>
                <w:sz w:val="21"/>
                <w:u w:val="none"/>
                <w:lang w:val="en-US" w:eastAsia="zh-CN"/>
              </w:rPr>
            </w:pPr>
            <w:r>
              <w:rPr>
                <w:rFonts w:hint="eastAsia" w:ascii="宋体" w:hAnsi="宋体" w:eastAsia="宋体" w:cs="宋体"/>
                <w:i w:val="false"/>
                <w:strike w:val="false"/>
                <w:color w:val="auto"/>
                <w:spacing w:val="0"/>
                <w:sz w:val="21"/>
                <w:u w:val="none"/>
                <w:lang w:val="en-US" w:eastAsia="zh-CN"/>
              </w:rPr>
              <w:t>6.91</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ascii="宋体" w:hAnsi="宋体" w:eastAsia="宋体" w:cs="宋体"/>
                <w:i w:val="false"/>
                <w:strike w:val="false"/>
                <w:color w:val="auto"/>
                <w:spacing w:val="0"/>
                <w:sz w:val="21"/>
                <w:u w:val="none"/>
                <w:lang w:val="en-US" w:eastAsia="zh-CN"/>
              </w:rPr>
            </w:pPr>
            <w:r>
              <w:rPr>
                <w:rFonts w:hint="eastAsia" w:ascii="宋体" w:hAnsi="宋体" w:eastAsia="宋体" w:cs="宋体"/>
                <w:i w:val="false"/>
                <w:strike w:val="false"/>
                <w:color w:val="auto"/>
                <w:spacing w:val="0"/>
                <w:sz w:val="21"/>
                <w:u w:val="none"/>
              </w:rPr>
              <w:t>7.</w:t>
            </w:r>
            <w:r>
              <w:rPr>
                <w:rFonts w:hint="eastAsia" w:ascii="宋体" w:hAnsi="宋体" w:eastAsia="宋体" w:cs="宋体"/>
                <w:i w:val="false"/>
                <w:strike w:val="false"/>
                <w:color w:val="auto"/>
                <w:spacing w:val="0"/>
                <w:sz w:val="21"/>
                <w:u w:val="none"/>
                <w:lang w:val="en-US" w:eastAsia="zh-CN"/>
              </w:rPr>
              <w:t>70</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ascii="宋体" w:hAnsi="宋体" w:eastAsia="宋体" w:cs="宋体"/>
                <w:i w:val="false"/>
                <w:strike w:val="false"/>
                <w:color w:val="auto"/>
                <w:spacing w:val="0"/>
                <w:sz w:val="21"/>
                <w:u w:val="none"/>
                <w:lang w:val="en-US" w:eastAsia="zh-CN"/>
              </w:rPr>
            </w:pPr>
            <w:r>
              <w:rPr>
                <w:rFonts w:hint="eastAsia" w:ascii="宋体" w:hAnsi="宋体" w:eastAsia="宋体" w:cs="宋体"/>
                <w:i w:val="false"/>
                <w:strike w:val="false"/>
                <w:color w:val="auto"/>
                <w:spacing w:val="0"/>
                <w:sz w:val="21"/>
                <w:u w:val="none"/>
              </w:rPr>
              <w:t>8.</w:t>
            </w:r>
            <w:r>
              <w:rPr>
                <w:rFonts w:hint="eastAsia" w:ascii="宋体" w:hAnsi="宋体" w:eastAsia="宋体" w:cs="宋体"/>
                <w:i w:val="false"/>
                <w:strike w:val="false"/>
                <w:color w:val="auto"/>
                <w:spacing w:val="0"/>
                <w:sz w:val="21"/>
                <w:u w:val="none"/>
                <w:lang w:val="en-US" w:eastAsia="zh-CN"/>
              </w:rPr>
              <w:t>49</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ascii="宋体" w:hAnsi="宋体" w:eastAsia="宋体" w:cs="宋体"/>
                <w:i w:val="false"/>
                <w:strike w:val="false"/>
                <w:color w:val="auto"/>
                <w:spacing w:val="0"/>
                <w:sz w:val="21"/>
                <w:u w:val="none"/>
                <w:lang w:val="en-US" w:eastAsia="zh-CN"/>
              </w:rPr>
            </w:pPr>
            <w:r>
              <w:rPr>
                <w:rFonts w:hint="eastAsia" w:ascii="宋体" w:hAnsi="宋体" w:eastAsia="宋体" w:cs="宋体"/>
                <w:i w:val="false"/>
                <w:strike w:val="false"/>
                <w:color w:val="auto"/>
                <w:spacing w:val="0"/>
                <w:sz w:val="21"/>
                <w:u w:val="none"/>
              </w:rPr>
              <w:t>9.</w:t>
            </w:r>
            <w:r>
              <w:rPr>
                <w:rFonts w:hint="eastAsia" w:ascii="宋体" w:hAnsi="宋体" w:eastAsia="宋体" w:cs="宋体"/>
                <w:i w:val="false"/>
                <w:strike w:val="false"/>
                <w:color w:val="auto"/>
                <w:spacing w:val="0"/>
                <w:sz w:val="21"/>
                <w:u w:val="none"/>
                <w:lang w:val="en-US" w:eastAsia="zh-CN"/>
              </w:rPr>
              <w:t>28</w:t>
            </w:r>
          </w:p>
        </w:tc>
        <w:tc>
          <w:tcPr>
            <w:tcW w:w="111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ascii="宋体" w:hAnsi="宋体" w:eastAsia="宋体" w:cs="宋体"/>
                <w:i w:val="false"/>
                <w:strike w:val="false"/>
                <w:color w:val="auto"/>
                <w:spacing w:val="0"/>
                <w:sz w:val="21"/>
                <w:u w:val="none"/>
                <w:lang w:val="en-US" w:eastAsia="zh-CN"/>
              </w:rPr>
            </w:pPr>
            <w:r>
              <w:rPr>
                <w:rFonts w:hint="eastAsia" w:ascii="宋体" w:hAnsi="宋体" w:eastAsia="宋体" w:cs="宋体"/>
                <w:i w:val="false"/>
                <w:strike w:val="false"/>
                <w:color w:val="auto"/>
                <w:spacing w:val="0"/>
                <w:sz w:val="21"/>
                <w:u w:val="none"/>
              </w:rPr>
              <w:t>10.</w:t>
            </w:r>
            <w:r>
              <w:rPr>
                <w:rFonts w:hint="eastAsia" w:ascii="宋体" w:hAnsi="宋体" w:eastAsia="宋体" w:cs="宋体"/>
                <w:i w:val="false"/>
                <w:strike w:val="false"/>
                <w:color w:val="auto"/>
                <w:spacing w:val="0"/>
                <w:sz w:val="21"/>
                <w:u w:val="none"/>
                <w:lang w:val="en-US" w:eastAsia="zh-CN"/>
              </w:rPr>
              <w:t>07</w:t>
            </w:r>
          </w:p>
        </w:tc>
      </w:tr>
      <w:tr>
        <w:trPr>
          <w:trHeight w:val="435" w:hRule="atLeast"/>
        </w:trPr>
        <w:tc>
          <w:tcPr>
            <w:tcW w:w="142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经营成本</w:t>
            </w:r>
          </w:p>
        </w:tc>
        <w:tc>
          <w:tcPr>
            <w:tcW w:w="109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ascii="宋体" w:hAnsi="宋体" w:eastAsia="宋体" w:cs="宋体"/>
                <w:i w:val="false"/>
                <w:strike w:val="false"/>
                <w:color w:val="auto"/>
                <w:spacing w:val="0"/>
                <w:sz w:val="21"/>
                <w:u w:val="none"/>
                <w:lang w:val="en-US" w:eastAsia="zh-CN"/>
              </w:rPr>
            </w:pPr>
            <w:r>
              <w:rPr>
                <w:rFonts w:hint="eastAsia" w:ascii="宋体" w:hAnsi="宋体" w:eastAsia="宋体" w:cs="宋体"/>
                <w:i w:val="false"/>
                <w:strike w:val="false"/>
                <w:color w:val="auto"/>
                <w:spacing w:val="0"/>
                <w:sz w:val="21"/>
                <w:u w:val="none"/>
              </w:rPr>
              <w:t>8.</w:t>
            </w:r>
            <w:r>
              <w:rPr>
                <w:rFonts w:hint="eastAsia" w:ascii="宋体" w:hAnsi="宋体" w:eastAsia="宋体" w:cs="宋体"/>
                <w:i w:val="false"/>
                <w:strike w:val="false"/>
                <w:color w:val="auto"/>
                <w:spacing w:val="0"/>
                <w:sz w:val="21"/>
                <w:u w:val="none"/>
                <w:lang w:val="en-US" w:eastAsia="zh-CN"/>
              </w:rPr>
              <w:t>00</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ascii="宋体" w:hAnsi="宋体" w:eastAsia="宋体" w:cs="宋体"/>
                <w:i w:val="false"/>
                <w:strike w:val="false"/>
                <w:color w:val="auto"/>
                <w:spacing w:val="0"/>
                <w:sz w:val="21"/>
                <w:u w:val="none"/>
                <w:lang w:val="en-US" w:eastAsia="zh-CN"/>
              </w:rPr>
            </w:pPr>
            <w:r>
              <w:rPr>
                <w:rFonts w:hint="eastAsia" w:ascii="宋体" w:hAnsi="宋体" w:eastAsia="宋体" w:cs="宋体"/>
                <w:i w:val="false"/>
                <w:strike w:val="false"/>
                <w:color w:val="auto"/>
                <w:spacing w:val="0"/>
                <w:sz w:val="21"/>
                <w:u w:val="none"/>
                <w:lang w:val="en-US" w:eastAsia="zh-CN"/>
              </w:rPr>
              <w:t>7.90</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ascii="宋体" w:hAnsi="宋体" w:eastAsia="宋体" w:cs="宋体"/>
                <w:i w:val="false"/>
                <w:strike w:val="false"/>
                <w:color w:val="auto"/>
                <w:spacing w:val="0"/>
                <w:sz w:val="21"/>
                <w:u w:val="none"/>
                <w:lang w:val="en-US" w:eastAsia="zh-CN"/>
              </w:rPr>
            </w:pPr>
            <w:r>
              <w:rPr>
                <w:rFonts w:hint="eastAsia" w:ascii="宋体" w:hAnsi="宋体" w:eastAsia="宋体" w:cs="宋体"/>
                <w:i w:val="false"/>
                <w:strike w:val="false"/>
                <w:color w:val="auto"/>
                <w:spacing w:val="0"/>
                <w:sz w:val="21"/>
                <w:u w:val="none"/>
                <w:lang w:val="en-US" w:eastAsia="zh-CN"/>
              </w:rPr>
              <w:t>7.80</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pBdr>
                <w:bottom w:val="none" w:color="auto" w:sz="0" w:space="0"/>
              </w:pBdr>
              <w:snapToGrid/>
              <w:spacing w:before="0" w:after="0" w:line="240" w:lineRule="auto"/>
              <w:jc w:val="center"/>
              <w:rPr>
                <w:rFonts w:hint="default" w:ascii="宋体" w:hAnsi="宋体" w:eastAsia="宋体" w:cs="宋体"/>
                <w:i w:val="false"/>
                <w:strike w:val="false"/>
                <w:color w:val="auto"/>
                <w:spacing w:val="0"/>
                <w:sz w:val="21"/>
                <w:u w:val="none"/>
                <w:lang w:val="en-US" w:eastAsia="zh-CN"/>
              </w:rPr>
            </w:pPr>
            <w:r>
              <w:rPr>
                <w:rFonts w:hint="eastAsia" w:ascii="宋体" w:hAnsi="宋体" w:eastAsia="宋体" w:cs="宋体"/>
                <w:i w:val="false"/>
                <w:strike w:val="false"/>
                <w:color w:val="auto"/>
                <w:spacing w:val="0"/>
                <w:sz w:val="21"/>
                <w:u w:val="none"/>
              </w:rPr>
              <w:t>7.</w:t>
            </w:r>
            <w:r>
              <w:rPr>
                <w:rFonts w:hint="eastAsia" w:ascii="宋体" w:hAnsi="宋体" w:eastAsia="宋体" w:cs="宋体"/>
                <w:i w:val="false"/>
                <w:strike w:val="false"/>
                <w:color w:val="auto"/>
                <w:spacing w:val="0"/>
                <w:sz w:val="21"/>
                <w:u w:val="none"/>
                <w:lang w:val="en-US" w:eastAsia="zh-CN"/>
              </w:rPr>
              <w:t>70</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ascii="宋体" w:hAnsi="宋体" w:eastAsia="宋体" w:cs="宋体"/>
                <w:i w:val="false"/>
                <w:strike w:val="false"/>
                <w:color w:val="auto"/>
                <w:spacing w:val="0"/>
                <w:sz w:val="21"/>
                <w:u w:val="none"/>
                <w:lang w:val="en-US" w:eastAsia="zh-CN"/>
              </w:rPr>
            </w:pPr>
            <w:r>
              <w:rPr>
                <w:rFonts w:hint="eastAsia" w:ascii="宋体" w:hAnsi="宋体" w:eastAsia="宋体" w:cs="宋体"/>
                <w:i w:val="false"/>
                <w:strike w:val="false"/>
                <w:color w:val="auto"/>
                <w:spacing w:val="0"/>
                <w:sz w:val="21"/>
                <w:u w:val="none"/>
              </w:rPr>
              <w:t>7.</w:t>
            </w:r>
            <w:r>
              <w:rPr>
                <w:rFonts w:hint="eastAsia" w:ascii="宋体" w:hAnsi="宋体" w:eastAsia="宋体" w:cs="宋体"/>
                <w:i w:val="false"/>
                <w:strike w:val="false"/>
                <w:color w:val="auto"/>
                <w:spacing w:val="0"/>
                <w:sz w:val="21"/>
                <w:u w:val="none"/>
                <w:lang w:val="en-US" w:eastAsia="zh-CN"/>
              </w:rPr>
              <w:t>60</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ascii="宋体" w:hAnsi="宋体" w:eastAsia="宋体" w:cs="宋体"/>
                <w:i w:val="false"/>
                <w:strike w:val="false"/>
                <w:color w:val="auto"/>
                <w:spacing w:val="0"/>
                <w:sz w:val="21"/>
                <w:u w:val="none"/>
              </w:rPr>
            </w:pPr>
            <w:r>
              <w:rPr>
                <w:rFonts w:hint="eastAsia" w:ascii="宋体" w:hAnsi="宋体" w:eastAsia="宋体" w:cs="宋体"/>
                <w:i w:val="false"/>
                <w:strike w:val="false"/>
                <w:color w:val="auto"/>
                <w:spacing w:val="0"/>
                <w:sz w:val="21"/>
                <w:u w:val="none"/>
              </w:rPr>
              <w:t>7.</w:t>
            </w:r>
            <w:r>
              <w:rPr>
                <w:rFonts w:hint="eastAsia" w:ascii="宋体" w:hAnsi="宋体" w:eastAsia="宋体" w:cs="宋体"/>
                <w:i w:val="false"/>
                <w:strike w:val="false"/>
                <w:color w:val="auto"/>
                <w:spacing w:val="0"/>
                <w:sz w:val="21"/>
                <w:u w:val="none"/>
                <w:lang w:val="en-US" w:eastAsia="zh-CN"/>
              </w:rPr>
              <w:t>5</w:t>
            </w:r>
            <w:r>
              <w:rPr>
                <w:rFonts w:hint="eastAsia" w:ascii="宋体" w:hAnsi="宋体" w:eastAsia="宋体" w:cs="宋体"/>
                <w:i w:val="false"/>
                <w:strike w:val="false"/>
                <w:color w:val="auto"/>
                <w:spacing w:val="0"/>
                <w:sz w:val="21"/>
                <w:u w:val="none"/>
              </w:rPr>
              <w:t>0</w:t>
            </w:r>
          </w:p>
        </w:tc>
        <w:tc>
          <w:tcPr>
            <w:tcW w:w="111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ascii="宋体" w:hAnsi="宋体" w:eastAsia="宋体" w:cs="宋体"/>
                <w:i w:val="false"/>
                <w:strike w:val="false"/>
                <w:color w:val="auto"/>
                <w:spacing w:val="0"/>
                <w:sz w:val="21"/>
                <w:u w:val="none"/>
                <w:lang w:val="en-US" w:eastAsia="zh-CN"/>
              </w:rPr>
            </w:pPr>
            <w:r>
              <w:rPr>
                <w:rFonts w:hint="eastAsia" w:ascii="宋体" w:hAnsi="宋体" w:eastAsia="宋体" w:cs="宋体"/>
                <w:i w:val="false"/>
                <w:strike w:val="false"/>
                <w:color w:val="auto"/>
                <w:spacing w:val="0"/>
                <w:sz w:val="21"/>
                <w:u w:val="none"/>
              </w:rPr>
              <w:t>7.</w:t>
            </w:r>
            <w:r>
              <w:rPr>
                <w:rFonts w:hint="eastAsia" w:ascii="宋体" w:hAnsi="宋体" w:eastAsia="宋体" w:cs="宋体"/>
                <w:i w:val="false"/>
                <w:strike w:val="false"/>
                <w:color w:val="auto"/>
                <w:spacing w:val="0"/>
                <w:sz w:val="21"/>
                <w:u w:val="none"/>
                <w:lang w:val="en-US" w:eastAsia="zh-CN"/>
              </w:rPr>
              <w:t>40</w:t>
            </w:r>
          </w:p>
        </w:tc>
      </w:tr>
      <w:tr>
        <w:trPr>
          <w:trHeight w:val="499" w:hRule="atLeast"/>
        </w:trPr>
        <w:tc>
          <w:tcPr>
            <w:tcW w:w="142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建安投资</w:t>
            </w:r>
          </w:p>
        </w:tc>
        <w:tc>
          <w:tcPr>
            <w:tcW w:w="109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ascii="宋体" w:hAnsi="宋体" w:eastAsia="宋体" w:cs="宋体"/>
                <w:i w:val="false"/>
                <w:strike w:val="false"/>
                <w:color w:val="auto"/>
                <w:spacing w:val="0"/>
                <w:sz w:val="21"/>
                <w:u w:val="none"/>
                <w:lang w:val="en-US" w:eastAsia="zh-CN"/>
              </w:rPr>
            </w:pPr>
            <w:r>
              <w:rPr>
                <w:rFonts w:hint="eastAsia" w:ascii="宋体" w:hAnsi="宋体" w:eastAsia="宋体" w:cs="宋体"/>
                <w:i w:val="false"/>
                <w:strike w:val="false"/>
                <w:color w:val="auto"/>
                <w:spacing w:val="0"/>
                <w:sz w:val="21"/>
                <w:u w:val="none"/>
              </w:rPr>
              <w:t>10.</w:t>
            </w:r>
            <w:r>
              <w:rPr>
                <w:rFonts w:hint="eastAsia" w:ascii="宋体" w:hAnsi="宋体" w:eastAsia="宋体" w:cs="宋体"/>
                <w:i w:val="false"/>
                <w:strike w:val="false"/>
                <w:color w:val="auto"/>
                <w:spacing w:val="0"/>
                <w:sz w:val="21"/>
                <w:u w:val="none"/>
                <w:lang w:val="en-US" w:eastAsia="zh-CN"/>
              </w:rPr>
              <w:t>01</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ascii="宋体" w:hAnsi="宋体" w:eastAsia="宋体" w:cs="宋体"/>
                <w:i w:val="false"/>
                <w:strike w:val="false"/>
                <w:color w:val="auto"/>
                <w:spacing w:val="0"/>
                <w:sz w:val="21"/>
                <w:u w:val="none"/>
                <w:lang w:val="en-US" w:eastAsia="zh-CN"/>
              </w:rPr>
            </w:pPr>
            <w:r>
              <w:rPr>
                <w:rFonts w:hint="eastAsia" w:ascii="宋体" w:hAnsi="宋体" w:eastAsia="宋体" w:cs="宋体"/>
                <w:i w:val="false"/>
                <w:strike w:val="false"/>
                <w:color w:val="auto"/>
                <w:spacing w:val="0"/>
                <w:sz w:val="21"/>
                <w:u w:val="none"/>
              </w:rPr>
              <w:t>9.</w:t>
            </w:r>
            <w:r>
              <w:rPr>
                <w:rFonts w:hint="eastAsia" w:ascii="宋体" w:hAnsi="宋体" w:eastAsia="宋体" w:cs="宋体"/>
                <w:i w:val="false"/>
                <w:strike w:val="false"/>
                <w:color w:val="auto"/>
                <w:spacing w:val="0"/>
                <w:sz w:val="21"/>
                <w:u w:val="none"/>
                <w:lang w:val="en-US" w:eastAsia="zh-CN"/>
              </w:rPr>
              <w:t>15</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ascii="宋体" w:hAnsi="宋体" w:eastAsia="宋体" w:cs="宋体"/>
                <w:i w:val="false"/>
                <w:strike w:val="false"/>
                <w:color w:val="auto"/>
                <w:spacing w:val="0"/>
                <w:sz w:val="21"/>
                <w:u w:val="none"/>
                <w:lang w:val="en-US" w:eastAsia="zh-CN"/>
              </w:rPr>
            </w:pPr>
            <w:r>
              <w:rPr>
                <w:rFonts w:hint="eastAsia" w:ascii="宋体" w:hAnsi="宋体" w:eastAsia="宋体" w:cs="宋体"/>
                <w:i w:val="false"/>
                <w:strike w:val="false"/>
                <w:color w:val="auto"/>
                <w:spacing w:val="0"/>
                <w:sz w:val="21"/>
                <w:u w:val="none"/>
              </w:rPr>
              <w:t>8.</w:t>
            </w:r>
            <w:r>
              <w:rPr>
                <w:rFonts w:hint="eastAsia" w:ascii="宋体" w:hAnsi="宋体" w:eastAsia="宋体" w:cs="宋体"/>
                <w:i w:val="false"/>
                <w:strike w:val="false"/>
                <w:color w:val="auto"/>
                <w:spacing w:val="0"/>
                <w:sz w:val="21"/>
                <w:u w:val="none"/>
                <w:lang w:val="en-US" w:eastAsia="zh-CN"/>
              </w:rPr>
              <w:t>39</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pBdr>
                <w:bottom w:val="none" w:color="auto" w:sz="0" w:space="0"/>
              </w:pBdr>
              <w:snapToGrid/>
              <w:spacing w:before="0" w:after="0" w:line="240" w:lineRule="auto"/>
              <w:jc w:val="center"/>
              <w:rPr>
                <w:rFonts w:hint="default" w:ascii="宋体" w:hAnsi="宋体" w:eastAsia="宋体" w:cs="宋体"/>
                <w:i w:val="false"/>
                <w:strike w:val="false"/>
                <w:color w:val="auto"/>
                <w:spacing w:val="0"/>
                <w:sz w:val="21"/>
                <w:u w:val="none"/>
                <w:lang w:val="en-US" w:eastAsia="zh-CN"/>
              </w:rPr>
            </w:pPr>
            <w:r>
              <w:rPr>
                <w:rFonts w:hint="eastAsia" w:ascii="宋体" w:hAnsi="宋体" w:eastAsia="宋体" w:cs="宋体"/>
                <w:i w:val="false"/>
                <w:strike w:val="false"/>
                <w:color w:val="auto"/>
                <w:spacing w:val="0"/>
                <w:sz w:val="21"/>
                <w:u w:val="none"/>
              </w:rPr>
              <w:t>7.</w:t>
            </w:r>
            <w:r>
              <w:rPr>
                <w:rFonts w:hint="eastAsia" w:ascii="宋体" w:hAnsi="宋体" w:eastAsia="宋体" w:cs="宋体"/>
                <w:i w:val="false"/>
                <w:strike w:val="false"/>
                <w:color w:val="auto"/>
                <w:spacing w:val="0"/>
                <w:sz w:val="21"/>
                <w:u w:val="none"/>
                <w:lang w:val="en-US" w:eastAsia="zh-CN"/>
              </w:rPr>
              <w:t>70</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ascii="宋体" w:hAnsi="宋体" w:eastAsia="宋体" w:cs="宋体"/>
                <w:i w:val="false"/>
                <w:strike w:val="false"/>
                <w:color w:val="auto"/>
                <w:spacing w:val="0"/>
                <w:sz w:val="21"/>
                <w:u w:val="none"/>
                <w:lang w:val="en-US" w:eastAsia="zh-CN"/>
              </w:rPr>
            </w:pPr>
            <w:r>
              <w:rPr>
                <w:rFonts w:hint="eastAsia" w:ascii="宋体" w:hAnsi="宋体" w:eastAsia="宋体" w:cs="宋体"/>
                <w:i w:val="false"/>
                <w:strike w:val="false"/>
                <w:color w:val="auto"/>
                <w:spacing w:val="0"/>
                <w:sz w:val="21"/>
                <w:u w:val="none"/>
              </w:rPr>
              <w:t>7.</w:t>
            </w:r>
            <w:r>
              <w:rPr>
                <w:rFonts w:hint="eastAsia" w:ascii="宋体" w:hAnsi="宋体" w:eastAsia="宋体" w:cs="宋体"/>
                <w:i w:val="false"/>
                <w:strike w:val="false"/>
                <w:color w:val="auto"/>
                <w:spacing w:val="0"/>
                <w:sz w:val="21"/>
                <w:u w:val="none"/>
                <w:lang w:val="en-US" w:eastAsia="zh-CN"/>
              </w:rPr>
              <w:t>07</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ascii="宋体" w:hAnsi="宋体" w:eastAsia="宋体" w:cs="宋体"/>
                <w:i w:val="false"/>
                <w:strike w:val="false"/>
                <w:color w:val="auto"/>
                <w:spacing w:val="0"/>
                <w:sz w:val="21"/>
                <w:u w:val="none"/>
              </w:rPr>
            </w:pPr>
            <w:r>
              <w:rPr>
                <w:rFonts w:hint="eastAsia" w:ascii="宋体" w:hAnsi="宋体" w:eastAsia="宋体" w:cs="宋体"/>
                <w:i w:val="false"/>
                <w:strike w:val="false"/>
                <w:color w:val="auto"/>
                <w:spacing w:val="0"/>
                <w:sz w:val="21"/>
                <w:u w:val="none"/>
              </w:rPr>
              <w:t>6.</w:t>
            </w:r>
            <w:r>
              <w:rPr>
                <w:rFonts w:hint="eastAsia" w:ascii="宋体" w:hAnsi="宋体" w:eastAsia="宋体" w:cs="宋体"/>
                <w:i w:val="false"/>
                <w:strike w:val="false"/>
                <w:color w:val="auto"/>
                <w:spacing w:val="0"/>
                <w:sz w:val="21"/>
                <w:u w:val="none"/>
                <w:lang w:val="en-US" w:eastAsia="zh-CN"/>
              </w:rPr>
              <w:t>5</w:t>
            </w:r>
            <w:r>
              <w:rPr>
                <w:rFonts w:hint="eastAsia" w:ascii="宋体" w:hAnsi="宋体" w:eastAsia="宋体" w:cs="宋体"/>
                <w:i w:val="false"/>
                <w:strike w:val="false"/>
                <w:color w:val="auto"/>
                <w:spacing w:val="0"/>
                <w:sz w:val="21"/>
                <w:u w:val="none"/>
              </w:rPr>
              <w:t>1</w:t>
            </w:r>
          </w:p>
        </w:tc>
        <w:tc>
          <w:tcPr>
            <w:tcW w:w="111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ascii="宋体" w:hAnsi="宋体" w:eastAsia="宋体" w:cs="宋体"/>
                <w:i w:val="false"/>
                <w:strike w:val="false"/>
                <w:color w:val="auto"/>
                <w:spacing w:val="0"/>
                <w:sz w:val="21"/>
                <w:u w:val="none"/>
                <w:lang w:val="en-US" w:eastAsia="zh-CN"/>
              </w:rPr>
            </w:pPr>
            <w:r>
              <w:rPr>
                <w:rFonts w:hint="eastAsia" w:ascii="宋体" w:hAnsi="宋体" w:eastAsia="宋体" w:cs="宋体"/>
                <w:i w:val="false"/>
                <w:strike w:val="false"/>
                <w:color w:val="auto"/>
                <w:spacing w:val="0"/>
                <w:sz w:val="21"/>
                <w:u w:val="none"/>
                <w:lang w:val="en-US" w:eastAsia="zh-CN"/>
              </w:rPr>
              <w:t>5.99</w:t>
            </w: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该项目具有较强的抗风险能力，但应密切关注光伏、储能电价价格的变化，制定适应市场变化的经营策略；同时注意控制项目的成本费用，降低经营成本。</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outlineLvl w:val="1"/>
        <w:rPr>
          <w:rFonts w:hint="eastAsia" w:ascii="宋体" w:hAnsi="宋体" w:eastAsia="宋体" w:cs="宋体"/>
          <w:b/>
          <w:bCs/>
          <w:sz w:val="28"/>
          <w:szCs w:val="28"/>
          <w:lang w:val="en-US" w:eastAsia="zh-CN"/>
        </w:rPr>
      </w:pPr>
      <w:bookmarkStart w:id="84" w:name="_Toc15987"/>
      <w:bookmarkStart w:id="85" w:name="_Toc8749"/>
      <w:bookmarkStart w:id="86" w:name="_Toc16534"/>
      <w:r>
        <w:rPr>
          <w:rFonts w:hint="eastAsia" w:ascii="宋体" w:hAnsi="宋体" w:eastAsia="宋体" w:cs="宋体"/>
          <w:b/>
          <w:bCs/>
          <w:sz w:val="28"/>
          <w:szCs w:val="28"/>
          <w:lang w:val="en-US" w:eastAsia="zh-CN"/>
        </w:rPr>
        <w:t>6.3 资金投入计划和筹措方案</w:t>
      </w:r>
      <w:bookmarkEnd w:id="84"/>
      <w:bookmarkEnd w:id="85"/>
      <w:bookmarkEnd w:id="86"/>
    </w:p>
    <w:p>
      <w:pPr>
        <w:keepNext w:val="false"/>
        <w:keepLines w:val="false"/>
        <w:pageBreakBefore w:val="false"/>
        <w:widowControl w:val="false"/>
        <w:pBdr>
          <w:bottom w:val="none" w:color="auto" w:sz="0" w:space="0"/>
        </w:pBdr>
        <w:wordWrap/>
        <w:overflowPunct/>
        <w:topLinePunct/>
        <w:autoSpaceDE w:val="false"/>
        <w:autoSpaceDN/>
        <w:bidi w:val="false"/>
        <w:snapToGrid/>
        <w:spacing w:before="157" w:beforeLines="50" w:after="157" w:afterLines="50" w:line="360" w:lineRule="auto"/>
        <w:ind w:left="0" w:right="0" w:firstLine="560"/>
        <w:jc w:val="both"/>
        <w:textAlignment w:val="baseline"/>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本项目（一期）总投资5816.94万元，其中固定资产投资5816.94万元，0.5年建设期内均匀投入。</w:t>
      </w:r>
    </w:p>
    <w:p>
      <w:pPr>
        <w:keepNext w:val="false"/>
        <w:keepLines w:val="false"/>
        <w:pageBreakBefore w:val="false"/>
        <w:widowControl w:val="false"/>
        <w:pBdr>
          <w:bottom w:val="none" w:color="auto" w:sz="0" w:space="0"/>
        </w:pBdr>
        <w:wordWrap/>
        <w:overflowPunct/>
        <w:topLinePunct/>
        <w:autoSpaceDE w:val="false"/>
        <w:autoSpaceDN/>
        <w:bidi w:val="false"/>
        <w:snapToGrid/>
        <w:spacing w:before="157" w:beforeLines="50" w:after="157" w:afterLines="50" w:line="360" w:lineRule="auto"/>
        <w:ind w:left="0" w:right="0" w:firstLine="560"/>
        <w:jc w:val="both"/>
        <w:textAlignment w:val="baseline"/>
        <w:rPr>
          <w:rFonts w:hint="eastAsia" w:ascii="宋体" w:hAnsi="宋体" w:eastAsia="宋体" w:cs="宋体"/>
          <w:snapToGrid/>
          <w:color w:val="auto"/>
          <w:spacing w:val="0"/>
          <w:w w:val="100"/>
          <w:kern w:val="2"/>
          <w:position w:val="0"/>
          <w:sz w:val="28"/>
          <w:szCs w:val="28"/>
          <w:lang w:val="en-US" w:eastAsia="zh-CN" w:bidi="zh-CN"/>
        </w:rPr>
      </w:pPr>
      <w:bookmarkStart w:id="87" w:name="_Toc21753"/>
      <w:bookmarkStart w:id="88" w:name="_Toc9143"/>
      <w:r>
        <w:rPr>
          <w:rFonts w:hint="eastAsia" w:ascii="宋体" w:hAnsi="宋体" w:eastAsia="宋体" w:cs="宋体"/>
          <w:snapToGrid/>
          <w:color w:val="auto"/>
          <w:spacing w:val="0"/>
          <w:w w:val="100"/>
          <w:kern w:val="2"/>
          <w:position w:val="0"/>
          <w:sz w:val="28"/>
          <w:szCs w:val="28"/>
          <w:lang w:val="en-US" w:eastAsia="zh-CN" w:bidi="zh-CN"/>
        </w:rPr>
        <w:t>项目总投资由资本金和项目融资或其他债务性资金两部分构成，一是资本金1767.59万元，占总投资的20.16%，二是项目融资、企业自筹资金或者其他债务性资金7000.00万元，占总投资的79.84%。</w:t>
      </w:r>
    </w:p>
    <w:p>
      <w:pPr>
        <w:keepNext w:val="false"/>
        <w:keepLines w:val="false"/>
        <w:pageBreakBefore w:val="false"/>
        <w:widowControl w:val="false"/>
        <w:pBdr>
          <w:bottom w:val="none" w:color="auto" w:sz="0" w:space="0"/>
        </w:pBdr>
        <w:wordWrap/>
        <w:overflowPunct/>
        <w:topLinePunct/>
        <w:autoSpaceDE w:val="false"/>
        <w:autoSpaceDN/>
        <w:bidi w:val="false"/>
        <w:snapToGrid/>
        <w:spacing w:before="157" w:beforeLines="50" w:after="157" w:afterLines="50" w:line="360" w:lineRule="auto"/>
        <w:ind w:left="0" w:right="0" w:firstLine="560"/>
        <w:jc w:val="both"/>
        <w:textAlignment w:val="baseline"/>
        <w:rPr>
          <w:sz w:val="28"/>
          <w:szCs w:val="28"/>
        </w:rPr>
      </w:pPr>
      <w:r>
        <w:rPr>
          <w:rFonts w:hint="eastAsia" w:ascii="宋体" w:hAnsi="宋体" w:eastAsia="宋体" w:cs="宋体"/>
          <w:snapToGrid/>
          <w:color w:val="auto"/>
          <w:spacing w:val="0"/>
          <w:w w:val="100"/>
          <w:kern w:val="2"/>
          <w:position w:val="0"/>
          <w:sz w:val="28"/>
          <w:szCs w:val="28"/>
          <w:lang w:val="en-US" w:eastAsia="zh-CN" w:bidi="zh-CN"/>
        </w:rPr>
        <w:t>其中，项目（一期）资本金1104.18万元，占总投资的20.82%，项目融资、企业自筹资金或者其他债务性资金4200.00万元，占总投资的79.18%</w:t>
      </w:r>
      <w:r>
        <w:rPr>
          <w:rFonts w:ascii="宋体" w:hAnsi="宋体" w:eastAsia="宋体" w:cs="宋体"/>
          <w:i w:val="false"/>
          <w:strike w:val="false"/>
          <w:color w:val="000000"/>
          <w:spacing w:val="0"/>
          <w:w w:val="100"/>
          <w:sz w:val="28"/>
          <w:szCs w:val="28"/>
          <w:u w:val="none"/>
        </w:rPr>
        <w:t>。</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outlineLvl w:val="1"/>
        <w:rPr>
          <w:rFonts w:hint="eastAsia" w:ascii="宋体" w:hAnsi="宋体" w:eastAsia="宋体" w:cs="宋体"/>
          <w:b/>
          <w:bCs/>
          <w:sz w:val="28"/>
          <w:szCs w:val="28"/>
          <w:lang w:val="en-US" w:eastAsia="zh-CN"/>
        </w:rPr>
      </w:pPr>
      <w:bookmarkStart w:id="89" w:name="_Toc16074"/>
      <w:r>
        <w:rPr>
          <w:rFonts w:hint="eastAsia" w:ascii="宋体" w:hAnsi="宋体" w:eastAsia="宋体" w:cs="宋体"/>
          <w:b/>
          <w:bCs/>
          <w:sz w:val="28"/>
          <w:szCs w:val="28"/>
          <w:lang w:val="en-US" w:eastAsia="zh-CN"/>
        </w:rPr>
        <w:t>6.4 债务清偿能力分析</w:t>
      </w:r>
      <w:bookmarkEnd w:id="87"/>
      <w:bookmarkEnd w:id="88"/>
      <w:bookmarkEnd w:id="89"/>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通过现金流量表计算可以看出项目计算期各年能收支平衡，并有盈余，有足够大的经营活动净现金流量，表明有足够的现金流量维持正常运营，实现财务可持续性，说明项目财务生存能力强。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FF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项目（一期）综合利息备付率5.00，综合偿债备付率1.14，说明企业具有较强的清偿能力。</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textAlignment w:val="baseline"/>
        <w:outlineLvl w:val="1"/>
        <w:rPr>
          <w:rFonts w:hint="eastAsia" w:ascii="宋体" w:hAnsi="宋体" w:eastAsia="宋体" w:cs="宋体"/>
          <w:b/>
          <w:bCs/>
          <w:sz w:val="28"/>
          <w:szCs w:val="28"/>
          <w:lang w:val="en-US" w:eastAsia="zh-CN"/>
        </w:rPr>
      </w:pPr>
      <w:bookmarkStart w:id="90" w:name="_Toc13409"/>
      <w:bookmarkStart w:id="91" w:name="_Toc21961"/>
      <w:bookmarkStart w:id="92" w:name="_Toc15608"/>
      <w:r>
        <w:rPr>
          <w:rFonts w:hint="eastAsia" w:ascii="宋体" w:hAnsi="宋体" w:eastAsia="宋体" w:cs="宋体"/>
          <w:b/>
          <w:bCs/>
          <w:sz w:val="28"/>
          <w:szCs w:val="28"/>
          <w:lang w:val="en-US" w:eastAsia="zh-CN"/>
        </w:rPr>
        <w:t>6.5 财务可持续性分析</w:t>
      </w:r>
      <w:bookmarkEnd w:id="90"/>
      <w:bookmarkEnd w:id="91"/>
      <w:bookmarkEnd w:id="92"/>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通过对项目从筹建到经营全过程各项评价指标的测算，项目虽然投资较大，但项目建成以后经营效益较好。项目建成后所得税后全部投资财务内部收益率为7.70%，投资回收期为11.31年（含建设期）。项目税后财务内部收益率高于行业基准收益率，各项指标都略高于国内同行业平均水平，项目在财务上是可行的，并且有很强的经济效益和抗风险能力。</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综上所述，该项目符合国家的产业政策，经济效益较好，具有一定的抗风险能力，项目可行性强。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br w:type="page"/>
      </w:r>
    </w:p>
    <w:p>
      <w:pPr>
        <w:keepNext w:val="false"/>
        <w:keepLines w:val="false"/>
        <w:pageBreakBefore w:val="false"/>
        <w:widowControl w:val="false"/>
        <w:kinsoku/>
        <w:wordWrap/>
        <w:overflowPunct/>
        <w:topLinePunct/>
        <w:autoSpaceDE w:val="false"/>
        <w:autoSpaceDN/>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rPr>
      </w:pPr>
      <w:bookmarkStart w:id="93" w:name="_Toc29809"/>
      <w:bookmarkStart w:id="94" w:name="_Toc4400"/>
      <w:bookmarkStart w:id="95" w:name="_Toc4731"/>
      <w:r>
        <w:rPr>
          <w:rFonts w:hint="eastAsia" w:ascii="宋体" w:hAnsi="宋体" w:eastAsia="宋体" w:cs="宋体"/>
          <w:b/>
          <w:bCs/>
          <w:sz w:val="36"/>
          <w:szCs w:val="36"/>
        </w:rPr>
        <w:t>第七章 项目影响效果分析</w:t>
      </w:r>
      <w:bookmarkEnd w:id="93"/>
      <w:bookmarkEnd w:id="94"/>
      <w:bookmarkEnd w:id="95"/>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96" w:name="_Toc968"/>
      <w:bookmarkStart w:id="97" w:name="_Toc18730"/>
      <w:bookmarkStart w:id="98" w:name="_Toc12925"/>
      <w:r>
        <w:rPr>
          <w:rFonts w:hint="eastAsia" w:ascii="宋体" w:hAnsi="宋体" w:eastAsia="宋体" w:cs="宋体"/>
          <w:b/>
          <w:bCs/>
          <w:sz w:val="28"/>
          <w:szCs w:val="28"/>
          <w:lang w:val="en-US" w:eastAsia="zh-CN"/>
        </w:rPr>
        <w:t>7.1 经济影响分析</w:t>
      </w:r>
      <w:bookmarkEnd w:id="96"/>
      <w:bookmarkEnd w:id="97"/>
      <w:bookmarkEnd w:id="98"/>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7.1.1 项目对宏观经济的影响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的建设对宏观经济有着多方面的积极影响。从能源产业发展来看，推动了源网荷储一体化进程，促进了新能源发电、智能电网、储能等领域的技术创新与产业升级，带动上下游相关产业的协同发展，创造了大量就业机会，如新能源设备制造、安装、运维等岗位，提高了劳动力的就业水平与收入。在区域经济增长方面，项目建设期间的大规模投资直接拉动了建材、机械等行业的需求，建成后的稳定运营不仅保障了当地企业的电力供应，降低企业用电成本，提升企业竞争力，间接促进产业集聚与经济活跃度，还通过电力外送等方式增加地方财政收入，助力基础设施建设与公共服务改善，为宏观经济的可持续发展注入新动力，增强经济发展的韧性与稳定性，优化能源结构，减少对传统能源的依赖，在实现节能减排目标的同时，也为应对气候变化做出贡献，提升了经济发展的质量与效益。</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7.1.2 项目对产业经济的影响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1、促进产业升级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的实施推动了能源产业从传统的单一能源供应模式向清洁、高效、智能的源网荷储一体化模式转变。新能源发电技术的大规模应用促使能源生产更加绿色可持续，储能技术的引入优化了能源的时空配置，智能电网的建设提升了电力传输与分配的效率和可靠性。这种产业升级不仅发生在能源产业内部，还通过稳定可靠且成本优化的电力供应，带动了工业、制造业等其他产业的技术升级和生产模式变革，促使企业淘汰落后产能，采用更加节能环保和智能化的生产设备与工艺，提升产品附加值和市场竞争力，推动整个产业结构向高端化迈进。</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2、增强区域智能化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过程中大量运用先进的信息技术、物联网技术、大数据分析和人工智能算法，实现了对能源生产、传输、存储和消费各环节的智能化监控与管理。这不仅提升了能源系统的运行效率和安全性，还为区域智能化发展提供了示范和基础支撑。例如，智能电网的建设有助于打造智慧城市的能源基础设施，为智能交通、智能建筑等其他领域的智能化发展提供数据交互和能源保障，促进区域内各产业与信息技术的深度融合，培育智能产业生态，提升区域的整体智能化水平和创新能力，使区域在数字经济时代占据发展先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3、促进就业与人才培养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从项目的规划设计、工程建设到运营维护，各个阶段都创造了丰富多样的就业岗位，涵盖能源工程、电力技术、信息技术、项目管理等多个专业领域。这不仅解决了当地部分劳动力的就业问题，还吸引了外部人才流入，为区域人才储备增添活力。同时，项目的长期运营需求促使当地教育机构和培训机构与企业紧密合作，开展针对性的人才培养计划，提升劳动力素质和技能水平，形成人才培养与产业发展的良性互动，为产业经济的持续发展提供坚实的人才保障，也为当地居民提供了更多的职业发展机会和上升通道。</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4、推动上下游产业链协同发展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的建设带动了上下游产业链的繁荣与协同。在新能源发电领域，刺激了光伏组件、风力发电机制造等上游产业的发展，扩大了市场需求，促进企业规模扩张和技术创新；中游的能源存储设备生产、智能电网设备制造等产业也因项目的实施迎来新的发展机遇；下游的能源服务、电力销售等产业得以丰富和拓展，形成了完整且紧密的产业链条。各环节企业之间通过加强合作与技术交流，实现资源共享和优势互补，提高整个产业链的协同效率和市场竞争力，推动产业集群的形成和发展，增强区域产业经济的抗风险能力和可持续发展能力。</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5、改善营商环境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稳定可靠的能源供应是企业生产经营的重要保障，本项目的建成有效解决了县域内企业用电的稳定性和成本问题，降低了企业的运营风险和生产成本，提高了企业的生产效率和盈利能力。这对于吸引更多外部企业投资入驻具有显著的吸引力，同时也有助于本地企业扩大生产规模和进行产业升级，形成良好的产业发展氛围。此外，项目所展现的创新理念和技术应用，提升了县域的科技水平和创新形象，为县域营商环境的优化增添了新的亮点，促进了区域内产业经济的良性循环和可持续发展，使县域在区域经济竞争中脱颖而出，为经济社会的长期繁荣奠定坚实基础。</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7.1.3 项目对区域经济的影响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1、促进资源高效利用，降低企业成本</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通过整合能源的生产、传输、储存和消费环节，实现了对各类能源资源的精细化管理与优化配置。一方面，充分挖掘太阳能、风能等清洁能源的潜力，将其转化为电能并就地消纳，减少了能源在传输过程中的损耗，提高了能源利用效率；另一方面，精准的负荷调控和储能系统的灵活运用，有效平衡了电力供需，避免了能源的浪费。对于区域内的企业而言，稳定且价格合理的电力供应降低了其用电成本，增强了企业的市场竞争力，为企业的扩大再生产和技术创新提供了有力支持，进而提升了区域产业的整体效益和资源利用效率，促进区域经济的可持续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2、推动新能源产业发展，优化能源结构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的建设大力推动了新能源产业在区域内的蓬勃兴起。大规模的新能源发电设施建设带动了光伏、风电等相关产业的投资增长，吸引了上下游企业的集聚，形成了完整的新能源产业链条，从设备制造、安装调试到运营维护，创造了大量的经济附加值和就业岗位。同时，新能源在区域能源结构中的占比不断提高，逐步替代传统化石能源，降低了对外部能源的依赖程度，减少了环境污染，实现了能源供应的多元化和清洁化，为区域经济的绿色发展奠定了坚实基础，提升了区域经济的环境友好性和发展质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3、创造就业机会，促进社会稳定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的建设和运营过程涵盖了众多领域和专业，为当地居民提供了丰富多样的就业机会。从项目前期的规划设计、工程建设中的建筑施工、设备安装，到后期的运营管理、维护检修以及能源服务等环节，都需要大量不同技能层次的劳动力，包括技术工人、工程师、管理人员等。这些就业岗位的创造不仅缓解了当地的就业压力，提高了居民的收入水平，而且提升了劳动力素质和就业稳定性，减少了社会不稳定因素，为区域社会的和谐稳定发展做出了重要贡献，为经济发展营造了良好的社会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4、带动整体经济发展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作为区域经济发展的新引擎，通过上述各个方面的积极作用，产生了显著的乘数效应，带动了区域整体经济的繁荣。新能源产业的崛起促进了产业结构的优化升级，吸引了更多的外部投资和人才流入，提升了区域的产业竞争力和创新能力；企业成本的降低增强了企业的盈利能力和发展活力，促使企业加大研发投入和市场拓展力度，进一步拉动了上下游产业的协同发展；就业机会的增加和居民收入的提高带动了消费市场的繁荣，促进了服务业等相关产业的发展，形成了经济发展的良性循环。项目的建设全方位地推动了区域经济在规模扩张、结构优化、质量提升等方面取得显著成效，为区域经济的长期稳定增长提供了坚实保障和强大动力。</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7.1.4 项目建设的经济合理性分析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1、项目实施可以产生较好投资回报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实施具备产生较好投资回报的潜力。一方面，随着能源市场的发展以及对清洁能源需求的持续增长，项目所产生的电力在满足园区企业需求的同时，可通过合理的电力销售策略，如参与电力市场化交易，利用峰谷电价差等方式，实现稳定且可观的收益。另一方面，项目的建设和运营将带动相关产业的发展，例如新能源设备制造、安装、维护以及储能技术研发等领域，这些产业的协同发展不仅能够降低项目的建设与运营成本，还能通过产业附加值的提升进一步增加项目的整体收益。此外，项目的实施过程中，通过优化资源配置和提高能源利用效率，能够有效降低长期运营成本，从而保障项目在经济上的可持续性和盈利能力，为投资者带来满意的回报，吸引更多的资金流入该领域，促进项目的持续优化和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2、项目实施可以产生良好社会效益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首先，项目建设将创造大量直接和间接的就业机会，涵盖工程建设、技术研发、运营管理、能源服务等多个环节，为当地居民提供多样化的就业岗位，提高居民收入水平，缓解就业压力，促进社会稳定与和谐发展。其次，稳定可靠的能源供应将有力支持园区内中小企业的发展，降低企业的用电成本，提升企业的市场竞争力和生产效率，进而带动整个园区产业的繁荣，对地方经济的发展起到积极的推动作用。再者，项目作为清洁能源的示范工程，将提升公众对可再生能源的认知和接受度，促进绿色环保理念的传播，推动社会形成节能减排、绿色发展的良好氛围，具有显著的社会效益和公共价值。</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3、项目建设推动获嘉县可持续发展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z w:val="28"/>
          <w:szCs w:val="28"/>
        </w:rPr>
      </w:pPr>
      <w:r>
        <w:rPr>
          <w:rFonts w:hint="eastAsia" w:ascii="宋体" w:hAnsi="宋体" w:eastAsia="宋体" w:cs="宋体"/>
          <w:snapToGrid/>
          <w:color w:val="auto"/>
          <w:spacing w:val="0"/>
          <w:w w:val="100"/>
          <w:kern w:val="2"/>
          <w:position w:val="0"/>
          <w:sz w:val="28"/>
          <w:szCs w:val="28"/>
          <w:lang w:val="en-US" w:eastAsia="zh-CN" w:bidi="zh-CN"/>
        </w:rPr>
        <w:t>在能源领域，项目的源网荷储一体化模式将促进当地能源结构的优化升级，减少对传统化石能源的依赖，提高能源供应的稳定性和安全性，降低能源供应过程中的环境风险，为获嘉县的经济发展提供清洁、可持续的能源保障。在产业发展方面，项目将带动新能源及相关产业在当地的集聚和发展，形成完整的产业链条，推动产业结构的调整和升级，培育新的经济增长点，增强获嘉县经济发展的内生动力和抗风险能力。同时，项目的建设和运营过程中所积累的技术经验和人才资源，也将为当地其他产业的发展提供技术支撑和人才储备，促进获嘉县经济、社会与环境的协调可持续发展，为地区的长期繁荣奠定坚实基础。</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99" w:name="_Toc13853"/>
      <w:bookmarkStart w:id="100" w:name="_Toc14234"/>
      <w:bookmarkStart w:id="101" w:name="_Toc32454"/>
      <w:r>
        <w:rPr>
          <w:rFonts w:hint="eastAsia" w:ascii="宋体" w:hAnsi="宋体" w:eastAsia="宋体" w:cs="宋体"/>
          <w:b/>
          <w:bCs/>
          <w:sz w:val="28"/>
          <w:szCs w:val="28"/>
          <w:lang w:val="en-US" w:eastAsia="zh-CN"/>
        </w:rPr>
        <w:t>7.2 社会影响分析</w:t>
      </w:r>
      <w:bookmarkEnd w:id="99"/>
      <w:bookmarkEnd w:id="100"/>
      <w:bookmarkEnd w:id="101"/>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7.2.1 社会影响因素</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1、相关利益者</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直接影响到众多利益相关者群体。对于园区内的中小企业而言，项目的实施将改变其能源供应模式，稳定且价格合理的绿色电力供应有助于降低企业生产成本，提高生产效率和产品竞争力，从而直接影响企业的经济效益和发展前景，增强企业在市场中的生存能力和扩张动力。而对于当地居民来说，项目可能会带来生活环境的改变，如能源基础设施的建设可能会影响周边的居住景观，但同时也期望从项目的发展中获得更好的公共服务和经济福利，例如就业机会的增加和生活用电的稳定保障等。此外，政府作为监管者和推动者，关注项目对地方经济发展、税收贡献以及能源结构优化等方面的作用，希望通过项目实现区域的可持续发展和公共利益的最大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2、就业机会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和运营过程将创造大量的就业岗位，涵盖多个领域和不同技能层次。在项目建设阶段，需要大量的建筑工人、设备安装人员和工程技术人员，为当地劳动力市场提供了短期的就业机会，尤其是对于具有一定建筑施工技能的人员来说，能够缓解就业压力并增加收入来源。在长期运营中，能源生产、管理、维护以及相关服务领域将持续吸纳专业技术人才，如电力工程师、储能技术专家、能源管理人员等，这不仅为当地培养和留住了高端技术人才，还为高校相关专业毕业生提供了就业方向，促进了人才的合理流动和就业结构的优化，提升了社会整体的就业质量和人力资源素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3、社会责任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肩负着重要的社会责任。从环境保护角度来看，作为源网荷储一体化项目，其推广清洁能源的应用，减少了对传统化石能源的依赖，降低了碳排放，有助于改善当地空气质量和生态环境，履行了对环境保护的责任，符合社会对可持续发展的追求。同时，项目在建设和运营过程中应注重安全生产，保障员工的生命健康权益，积极参与社区建设和公益事业，如为当地社区提供能源知识普及教育、支持基础设施建设等，通过这些举措回馈社会，提升企业形象和社会声誉，促进项目与社会的和谐共生发展，实现经济、社会和环境效益的有机统一。</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7.2.2 减缓负面社会影响的措施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1、加强环境监测和治理措施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监管加强：引进先进技术和管理手段进行监管；建立环境数据云平台和大数据监测系统，实现精准调度、提高监管能力和生态预警周期。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加强安全管理：严格执行安全生产制度、建立健全安全监管审批、落实风险研判、安全现场考核等措施，确保安全生产。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社会责任：坚持走可持续发展道路，重视员工安全健康、文化教育事业和社区发展，注重硬件、软件和人才等资源的持续利用与培养。</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102" w:name="_Toc27230"/>
      <w:bookmarkStart w:id="103" w:name="_Toc20797"/>
      <w:bookmarkStart w:id="104" w:name="_Toc11052"/>
      <w:r>
        <w:rPr>
          <w:rFonts w:hint="eastAsia" w:ascii="宋体" w:hAnsi="宋体" w:eastAsia="宋体" w:cs="宋体"/>
          <w:b/>
          <w:bCs/>
          <w:sz w:val="28"/>
          <w:szCs w:val="28"/>
          <w:lang w:val="en-US" w:eastAsia="zh-CN"/>
        </w:rPr>
        <w:t>7.3 生态环境影响分析</w:t>
      </w:r>
      <w:bookmarkEnd w:id="102"/>
      <w:bookmarkEnd w:id="103"/>
      <w:bookmarkEnd w:id="104"/>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7.3.1 建</w:t>
      </w:r>
      <w:r>
        <w:rPr>
          <w:rFonts w:hint="eastAsia" w:ascii="宋体" w:hAnsi="宋体" w:eastAsia="宋体" w:cs="宋体"/>
          <w:b/>
          <w:bCs/>
          <w:sz w:val="28"/>
          <w:szCs w:val="28"/>
          <w:lang w:val="en-US" w:eastAsia="zh-CN"/>
        </w:rPr>
        <w:t>设</w:t>
      </w:r>
      <w:r>
        <w:rPr>
          <w:rFonts w:hint="eastAsia" w:ascii="宋体" w:hAnsi="宋体" w:eastAsia="宋体" w:cs="宋体"/>
          <w:b/>
          <w:bCs/>
          <w:sz w:val="28"/>
          <w:szCs w:val="28"/>
        </w:rPr>
        <w:t>项目所在地的生态环境现状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 xml:space="preserve"> 本项目通过引入光伏发电及储能服务，积极响应可再生能源的推广，有效减少对传统化石能源的依赖，从而降低温室气体排放和空气污染。</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7.3.2 项目在污染物排放</w:t>
      </w:r>
      <w:r>
        <w:rPr>
          <w:rFonts w:hint="eastAsia" w:ascii="宋体" w:hAnsi="宋体" w:eastAsia="宋体" w:cs="宋体"/>
          <w:b/>
          <w:bCs/>
          <w:sz w:val="28"/>
          <w:szCs w:val="28"/>
          <w:lang w:eastAsia="zh-CN"/>
        </w:rPr>
        <w:t>、</w:t>
      </w:r>
      <w:r>
        <w:rPr>
          <w:rFonts w:hint="eastAsia" w:ascii="宋体" w:hAnsi="宋体" w:eastAsia="宋体" w:cs="宋体"/>
          <w:b/>
          <w:bCs/>
          <w:sz w:val="28"/>
          <w:szCs w:val="28"/>
        </w:rPr>
        <w:t>环境敏感区等方面的影响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jc w:val="both"/>
        <w:textAlignment w:val="baseline"/>
        <w:rPr>
          <w:rFonts w:hint="eastAsia" w:ascii="宋体" w:hAnsi="宋体" w:eastAsia="宋体" w:cs="宋体"/>
          <w:sz w:val="28"/>
          <w:szCs w:val="28"/>
        </w:rPr>
      </w:pPr>
      <w:r>
        <w:rPr>
          <w:rFonts w:hint="eastAsia" w:ascii="宋体" w:hAnsi="宋体" w:eastAsia="宋体" w:cs="宋体"/>
          <w:b/>
          <w:i w:val="false"/>
          <w:strike w:val="false"/>
          <w:color w:val="000000"/>
          <w:spacing w:val="0"/>
          <w:sz w:val="28"/>
          <w:szCs w:val="28"/>
          <w:u w:val="none"/>
          <w:vertAlign w:val="baseline"/>
        </w:rPr>
        <w:t>7.3.2.1 环境保护目标和具体质量标准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遵循可持续发展战略思想，切实保障资源合理开发和利用，保护生态环境，改善周围环境质量，形成生态良性循环。</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环境质量标准：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1、项目范围内大气环境质量须达到《环境空气质量标准》（GB3095-2012）的二级标准；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2、根据《声环境质量标准》（GB3096-2008），项目区噪声平均等效声级昼间值≤65dB；夜间值≤55dB；</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3、《声环境质量标准》（GB3096-2008）；</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4、《生活饮用水卫生规范》(GB5749-2006)；</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5、《地下水质量标准》（GB/T14848-93）；</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6、《大气污染物综合排放标准》（GB16297-1996）；</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7、《污水排入城镇下水道水质》（CJ343-2010）；</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8、《建筑施工场界环境噪声排放标准》（GB12523-2011）；</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9、《一般工业固体废物贮存、处置场污染控制标准》（GB18599-2001）及其修改单。</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right="0" w:rightChars="0"/>
        <w:jc w:val="both"/>
        <w:textAlignment w:val="baseline"/>
        <w:rPr>
          <w:rFonts w:hint="eastAsia" w:ascii="宋体" w:hAnsi="宋体" w:eastAsia="宋体" w:cs="宋体"/>
          <w:sz w:val="28"/>
          <w:szCs w:val="28"/>
        </w:rPr>
      </w:pPr>
      <w:r>
        <w:rPr>
          <w:rFonts w:hint="eastAsia" w:ascii="宋体" w:hAnsi="宋体" w:eastAsia="宋体" w:cs="宋体"/>
          <w:b/>
          <w:i w:val="false"/>
          <w:strike w:val="false"/>
          <w:color w:val="000000"/>
          <w:spacing w:val="0"/>
          <w:sz w:val="28"/>
          <w:szCs w:val="28"/>
          <w:u w:val="none"/>
        </w:rPr>
        <w:t>7.3.2.2</w:t>
      </w:r>
      <w:r>
        <w:rPr>
          <w:rFonts w:hint="eastAsia" w:ascii="宋体" w:hAnsi="宋体" w:eastAsia="宋体" w:cs="宋体"/>
          <w:b/>
          <w:i w:val="false"/>
          <w:strike w:val="false"/>
          <w:color w:val="000000"/>
          <w:spacing w:val="0"/>
          <w:sz w:val="28"/>
          <w:szCs w:val="28"/>
          <w:u w:val="none"/>
          <w:lang w:val="en-US" w:eastAsia="zh-CN"/>
        </w:rPr>
        <w:t xml:space="preserve"> </w:t>
      </w:r>
      <w:r>
        <w:rPr>
          <w:rFonts w:hint="eastAsia" w:ascii="宋体" w:hAnsi="宋体" w:eastAsia="宋体" w:cs="宋体"/>
          <w:b/>
          <w:i w:val="false"/>
          <w:strike w:val="false"/>
          <w:color w:val="000000"/>
          <w:spacing w:val="0"/>
          <w:sz w:val="28"/>
          <w:szCs w:val="28"/>
          <w:u w:val="none"/>
        </w:rPr>
        <w:t>建设期环境影响及治理措施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的建设，主要是施工期间对环境的影响，通过采取有效的环保治理措施，对周围环境的影响可降低到最低程度。项目实施后，可取得工程建设和环境整治兼顾的效果，既促进区域社会经济发展，又促进生态环境的改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本项目施工期内，应妥善处理工程建设对周边环境及秩序的影响。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1、对大气环境的影响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施工现场运输建筑材料的临时施工道路应经常洒水，运送砂石料的运输车辆，用帆布等遮盖，以防物料飞扬，沿途撒漏。混凝土搅拌作业尽量在固定地点封闭进行。施工期间车辆排放的废气会对周围环境产生一定的影响，车辆排出的CO、NOX和HC会使沿线空气质量下降，造成轻度污染，对当地环境有轻微影响。施工单位应使用符合环保标准的施工车辆设备，减少废气排放。</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2、对声环境的影响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工程施工中将使用的施工机械包括大型挖土机、空压机、混凝土搅拌机等高噪声机械，在土方、基础结构等施工阶段各类机械单独或共同作业时产生的噪声与振动影响不容忽视。应采取以下措施：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（1）施工场地布局合理，相对集中固定施工机械并远离环境敏感点。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（2）对噪声振动固定设备采用固定或移动式隔振降噪处理。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（3）避免现场混凝土搅拌作业，采用新技术缩短连续浇筑作业时间。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（4）尽可能避免高噪声振动设备同时作业。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（5）保障施工场地交通畅通，减缓运输作业引起的噪声影响。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（6）施工现场严格管理，加强环境监测，严格执行环境管理规定。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加强宣传特别是对现场周边居民，使其充分理解建设工程的重要性，做好相应的环境补偿工作。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3、固体废弃物影响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施工期固体废弃物主要来自施工过程中开挖的土方和废弃的建筑材料，经集中收集后全部运至城市垃圾处理场妥善堆放，以减少对环境的影响。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4、水土保护的影响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在施工中对地表及植被的扰动较大，若土质疏松，在降雨集中季节受雨水的冲刷作用，不可避免地造成一定程度的水土流失，可能会造成局部暂时的沟渠堵塞。因此，需对这些部位注意防范。本工程应注意选择集中取土、弃土位置，尽量做到取土、弃土与城市其他建设相结合。对于道路两侧因施工破坏的其他用地，施工完成后应尽可能地给予人工恢复。</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right="0" w:rightChars="0" w:firstLine="0" w:firstLineChars="0"/>
        <w:jc w:val="both"/>
        <w:textAlignment w:val="baseline"/>
        <w:rPr>
          <w:rFonts w:hint="eastAsia" w:ascii="宋体" w:hAnsi="宋体" w:eastAsia="宋体" w:cs="宋体"/>
          <w:sz w:val="28"/>
          <w:szCs w:val="28"/>
        </w:rPr>
      </w:pPr>
      <w:r>
        <w:rPr>
          <w:rFonts w:hint="eastAsia" w:ascii="宋体" w:hAnsi="宋体" w:eastAsia="宋体" w:cs="宋体"/>
          <w:b/>
          <w:i w:val="false"/>
          <w:strike w:val="false"/>
          <w:color w:val="000000"/>
          <w:spacing w:val="0"/>
          <w:sz w:val="28"/>
          <w:szCs w:val="28"/>
          <w:u w:val="none"/>
        </w:rPr>
        <w:t>7.3.2.3 地质灾害影响分析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该项目所处地段，地势平坦，自然条件较好。交通运输十分便利，拟建项目为管道设备，项目选址所在地的地质情况良好，不存在灾害问题，项目的建设和运营不会诱发地质灾害。</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right="0" w:rightChars="0"/>
        <w:jc w:val="both"/>
        <w:textAlignment w:val="baseline"/>
        <w:rPr>
          <w:rFonts w:hint="eastAsia" w:ascii="宋体" w:hAnsi="宋体" w:eastAsia="宋体" w:cs="宋体"/>
          <w:sz w:val="28"/>
          <w:szCs w:val="28"/>
        </w:rPr>
      </w:pPr>
      <w:r>
        <w:rPr>
          <w:rFonts w:hint="eastAsia" w:ascii="宋体" w:hAnsi="宋体" w:eastAsia="宋体" w:cs="宋体"/>
          <w:b/>
          <w:i w:val="false"/>
          <w:strike w:val="false"/>
          <w:color w:val="000000"/>
          <w:spacing w:val="0"/>
          <w:sz w:val="28"/>
          <w:szCs w:val="28"/>
          <w:u w:val="none"/>
        </w:rPr>
        <w:t>7.3.2.4</w:t>
      </w:r>
      <w:r>
        <w:rPr>
          <w:rFonts w:hint="eastAsia" w:ascii="宋体" w:hAnsi="宋体" w:eastAsia="宋体" w:cs="宋体"/>
          <w:b/>
          <w:i w:val="false"/>
          <w:strike w:val="false"/>
          <w:color w:val="000000"/>
          <w:spacing w:val="0"/>
          <w:sz w:val="28"/>
          <w:szCs w:val="28"/>
          <w:u w:val="none"/>
          <w:lang w:val="en-US" w:eastAsia="zh-CN"/>
        </w:rPr>
        <w:t xml:space="preserve"> </w:t>
      </w:r>
      <w:r>
        <w:rPr>
          <w:rFonts w:hint="eastAsia" w:ascii="宋体" w:hAnsi="宋体" w:eastAsia="宋体" w:cs="宋体"/>
          <w:b/>
          <w:i w:val="false"/>
          <w:strike w:val="false"/>
          <w:color w:val="000000"/>
          <w:spacing w:val="0"/>
          <w:sz w:val="28"/>
          <w:szCs w:val="28"/>
          <w:u w:val="none"/>
        </w:rPr>
        <w:t>特殊环境影响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项目周围没有历史文化遗产、自然遗产、风景名胜和自然景观等，无特殊环境影响。</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right="0" w:rightChars="0"/>
        <w:jc w:val="both"/>
        <w:textAlignment w:val="baseline"/>
        <w:rPr>
          <w:rFonts w:hint="eastAsia" w:ascii="宋体" w:hAnsi="宋体" w:eastAsia="宋体" w:cs="宋体"/>
          <w:sz w:val="28"/>
          <w:szCs w:val="28"/>
        </w:rPr>
      </w:pPr>
      <w:r>
        <w:rPr>
          <w:rFonts w:hint="eastAsia" w:ascii="宋体" w:hAnsi="宋体" w:eastAsia="宋体" w:cs="宋体"/>
          <w:b/>
          <w:i w:val="false"/>
          <w:strike w:val="false"/>
          <w:color w:val="000000"/>
          <w:spacing w:val="0"/>
          <w:sz w:val="28"/>
          <w:szCs w:val="28"/>
          <w:u w:val="none"/>
        </w:rPr>
        <w:t>7.3.2.5</w:t>
      </w:r>
      <w:r>
        <w:rPr>
          <w:rFonts w:hint="eastAsia" w:ascii="宋体" w:hAnsi="宋体" w:eastAsia="宋体" w:cs="宋体"/>
          <w:b/>
          <w:i w:val="false"/>
          <w:strike w:val="false"/>
          <w:color w:val="000000"/>
          <w:spacing w:val="0"/>
          <w:sz w:val="28"/>
          <w:szCs w:val="28"/>
          <w:u w:val="none"/>
          <w:lang w:val="en-US" w:eastAsia="zh-CN"/>
        </w:rPr>
        <w:t xml:space="preserve"> </w:t>
      </w:r>
      <w:r>
        <w:rPr>
          <w:rFonts w:hint="eastAsia" w:ascii="宋体" w:hAnsi="宋体" w:eastAsia="宋体" w:cs="宋体"/>
          <w:b/>
          <w:i w:val="false"/>
          <w:strike w:val="false"/>
          <w:color w:val="000000"/>
          <w:spacing w:val="0"/>
          <w:sz w:val="28"/>
          <w:szCs w:val="28"/>
          <w:u w:val="none"/>
        </w:rPr>
        <w:t>环境影响分析结论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在建设期和运营期通过采取适当的污染防治措施对污染物进行妥当处理，可以做到废气、废水、噪声及固体废弃物达标排放；并严格执行环保设施与主体工程同时设计、同时施工、同时投入运行的“三同时”制度，将对环境的影响降到最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因此，从环境保护的角度进行分析，本项目的建设是可行的。</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105" w:name="_Toc12272"/>
      <w:bookmarkStart w:id="106" w:name="_Toc21575"/>
      <w:bookmarkStart w:id="107" w:name="_Toc28583"/>
      <w:r>
        <w:rPr>
          <w:rFonts w:hint="eastAsia" w:ascii="宋体" w:hAnsi="宋体" w:eastAsia="宋体" w:cs="宋体"/>
          <w:b/>
          <w:bCs/>
          <w:sz w:val="28"/>
          <w:szCs w:val="28"/>
          <w:lang w:val="en-US" w:eastAsia="zh-CN"/>
        </w:rPr>
        <w:t>7.4 资源和能源利用效果分析</w:t>
      </w:r>
      <w:bookmarkEnd w:id="105"/>
      <w:bookmarkEnd w:id="106"/>
      <w:bookmarkEnd w:id="107"/>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7.4.1 项目所需消耗的资源品种、数量、来源情况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本项目是非重要资源项目，项目建设完成后，项目运营方式为光伏电站发电、储能调峰及源网荷储等，项目所消耗能源主要为电力。</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7.4.2 资源综合利用方案和资源节约措施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节能是国家发展经济的一项长远战略方针。节能是指加强用能管理，采用技术上可行、经济上合理以及环境和社会可以承受的措施，减少从能源生产到消费各个环节中的损失和浪费，更加有效、合理地利用能源，提高能源利用效率和经济效益，以保护环境，保障国民经济和社会的发展，满足人民生活需要。根据项目建设的不同阶段，采取相应的措施进行节能。</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7.4.2.1 电气节能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节能设备的选用及节电控制措施：变压器选用过载能力强、低损耗、低噪音、体积小、维护方便的SCB13干式变压器，并选择合适的装机容量，减少设备本身的能源消耗；对于空调机组等季节性负荷设专用变压器供电；电梯、水泵、风机等设备均采用节能型设备并采取合适的节电控制方案；功率在200kW及以上的电动机采用高压电动机，对大容量交流异步电动机采用恒频变压软启动器启动，改善启动特性；多台电梯集中排列时应具有按规定程序集中调度和控制的群控功能；办公照明采用LED节能灯盘，走道、楼梯间照明及应急照明均采用LED灯光源，办公区域走道、卫生间、楼梯间照明采用人体感应节能自熄开关。</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（2）功率因数的提高及谐波治理：室内外照明灯具均采用高功率因数的电子镇流器；变电所内采用低压集中无功动态补偿装置，补偿后的功率因数大于0.93；变电所设谐波保护装置以抑制系统谐波,提高供电质量。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照度及照明功率密度值的确定选择合理的照度标准，选用合适的光源及高效节能灯具，采用合理的灯具安装方式及照明配电系统，并根据建筑的使用条件和天然采光状况采用合理有效的照明控制装置来实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（4）本工程设置的变配电所均靠近每个区域的用电负荷中心，缩短线缆、母线的长度。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（5）多项分级计量：本工程供配电系统采用能源管理系统，对各类型负荷均能实现电能的计量、统计、分析,实现本工程变配电设备自动化监测和管理。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（6）配电线路的选择：通过计算合理地选择导线的截面及线路敷设方案，降低配电线路的损耗；采用单芯电缆组成的供配电回路时，电缆呈品字形敷设以降低线路阻抗。</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本工程在设计中根据地理环境和应用条件，充分考虑自然光、太阳能等新型能源的应用。</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7.4.2.2 节水措施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1、供水系统中，尽量使用节能型阀门、水龙头等产品，做到有效合理用水，减少浪费；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2、经常检查供水系统是否正常，及时堵漏，以杜绝水从地下白白流失；</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3、制定用水、节水相关制度，树立自觉节水、节水人人有责的意识；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4、提高用水回收率和重复利用率；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5、卫生间采用节水型设备和器具，如采用感应式阀门，冲水采用自闭式冲水阀等，降低水资源的无效消耗，达到节约用水的目的；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6、回收雨水作为浇洒绿地用水。</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7.4.2.3 可再生能源利用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在项目设计和实施过程中，项目单位根据实际情况考虑增加可再生能源利用措施。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1、太阳能热水系统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从建筑节能角度，利用太阳能不仅可行，而且节能效果明显，这一点从以往的研究和实践中都得到了充分证明，建议生活服务用房采用太阳能热水系统。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太阳能热水系统与建筑节能结合，就是把太阳能热水系统产品作为建筑构件安装，使其与建筑有机结合。同时要有相关的设计、安装、施工与验收标准，从技术标准的高度解决太阳能热水系统与建筑结合问题。这是太阳能热水系统在建筑领域得到广泛应用、促进太阳能产业快速发展的关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2、太阳能路灯</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此外，建议项目可考虑室外太阳能光伏电源用于户外路灯、草坪灯的节能项目，与传统路灯相比，太阳能路灯在外观上并没有太多不同，只是每根灯杆上方增加了两块太阳能板，这两块太阳能吸收板，是太阳能路灯的关键所在。太阳能灯白天靠日光发电蓄电，晚上光线暗到一定程度时根据自动感应器决定开灯时间，照明时间为6至8小时，在阴天的情况下，太阳能灯可以连续工作5至6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3、雨水收集处理技术</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为节约用水，建议项目单位考虑对雨水进行收集利用。对雨水进行收集、储存、水质净化，然后回用于绿化、道路广场浇洒、景观用水等。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雨水回用系统，就是将雨水收集后，按照不同的需求对收集的雨水进行处理后达到符合设计使用标准的系统。是由截污挂篮装置、弃流过滤装置、蓄水系统、净化系统组成。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可设置两套雨水管道，一套为雨水收集回用管道，一套为雨水收集排放管道。屋面雨水经雨水管道收集后，排向室外雨水收集回用管道，经室外初期雨水弃流井完成初期雨水弃流后，进入雨水收集模块池储存并回用。雨水收集回用系统弃流的初期雨水、超过雨水收集系统能力的溢流雨水均由室外雨水收集排放管道收集；雨水收集排放管道收集的雨水，最终排入市政雨水管道。</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108" w:name="_Toc23202"/>
      <w:bookmarkStart w:id="109" w:name="_Toc28750"/>
      <w:bookmarkStart w:id="110" w:name="_Toc3292"/>
      <w:r>
        <w:rPr>
          <w:rFonts w:hint="eastAsia" w:ascii="宋体" w:hAnsi="宋体" w:eastAsia="宋体" w:cs="宋体"/>
          <w:b/>
          <w:bCs/>
          <w:sz w:val="28"/>
          <w:szCs w:val="28"/>
          <w:lang w:val="en-US" w:eastAsia="zh-CN"/>
        </w:rPr>
        <w:t>7.5 碳达峰碳中和分析</w:t>
      </w:r>
      <w:bookmarkEnd w:id="108"/>
      <w:bookmarkEnd w:id="109"/>
      <w:bookmarkEnd w:id="110"/>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的建设与碳达峰碳中和目标紧密相连，具有重要的战略意义和积极影响。在建设过程中，通过大力发展源网荷储一体化系统，优先利用太阳能、风能等清洁能源进行发电，从能源生产源头减少碳排放。智能电网的建设优化了电力传输与分配效率，降低了电网损耗，进一步减少了间接碳排放。储能系统的应用有效平抑了新能源发电的间歇性波动，增强了电力供应的稳定性和可靠性，提高了清洁能源在能源消费结构中的占比，有助于减少对传统化石能源的依赖，从而降低碳排放总量。项目建成后的长期运营，将持续为周边地区提供低碳甚至零碳的电力供应，推动工业、商业及居民生活等领域的能源消费向绿色低碳转型，为区域能源结构的优化升级和碳达峰碳中和目标的实现提供有力支撑，在应对气候变化、推动可持续发展方面发挥关键作用，具有显著的环境效益和社会效益，是迈向绿色低碳未来的重要实践。</w:t>
      </w:r>
    </w:p>
    <w:p>
      <w:pPr>
        <w:rPr>
          <w:rFonts w:ascii="宋体" w:hAnsi="宋体" w:eastAsia="宋体" w:cs="宋体"/>
          <w:b/>
          <w:i w:val="false"/>
          <w:strike w:val="false"/>
          <w:color w:val="000000"/>
          <w:spacing w:val="0"/>
          <w:sz w:val="36"/>
          <w:u w:val="none"/>
          <w:vertAlign w:val="baseline"/>
        </w:rPr>
      </w:pPr>
      <w:r>
        <w:rPr>
          <w:rFonts w:ascii="宋体" w:hAnsi="宋体" w:eastAsia="宋体" w:cs="宋体"/>
          <w:b/>
          <w:i w:val="false"/>
          <w:strike w:val="false"/>
          <w:color w:val="000000"/>
          <w:spacing w:val="0"/>
          <w:sz w:val="36"/>
          <w:u w:val="none"/>
          <w:vertAlign w:val="baseline"/>
        </w:rPr>
        <w:br w:type="page"/>
      </w:r>
    </w:p>
    <w:p>
      <w:pPr>
        <w:keepNext w:val="false"/>
        <w:keepLines w:val="false"/>
        <w:pageBreakBefore w:val="false"/>
        <w:widowControl w:val="false"/>
        <w:kinsoku/>
        <w:wordWrap/>
        <w:overflowPunct/>
        <w:topLinePunct/>
        <w:autoSpaceDE w:val="false"/>
        <w:autoSpaceDN/>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rPr>
      </w:pPr>
      <w:bookmarkStart w:id="111" w:name="_Toc23354"/>
      <w:bookmarkStart w:id="112" w:name="_Toc5060"/>
      <w:bookmarkStart w:id="113" w:name="_Toc24126"/>
      <w:r>
        <w:rPr>
          <w:rFonts w:hint="eastAsia" w:ascii="宋体" w:hAnsi="宋体" w:eastAsia="宋体" w:cs="宋体"/>
          <w:b/>
          <w:bCs/>
          <w:sz w:val="36"/>
          <w:szCs w:val="36"/>
        </w:rPr>
        <w:t>第八章 项目风险管控方案</w:t>
      </w:r>
      <w:bookmarkEnd w:id="111"/>
      <w:bookmarkEnd w:id="112"/>
      <w:bookmarkEnd w:id="113"/>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114" w:name="_Toc16035"/>
      <w:bookmarkStart w:id="115" w:name="_Toc19940"/>
      <w:bookmarkStart w:id="116" w:name="_Toc29768"/>
      <w:r>
        <w:rPr>
          <w:rFonts w:hint="eastAsia" w:ascii="宋体" w:hAnsi="宋体" w:eastAsia="宋体" w:cs="宋体"/>
          <w:b/>
          <w:bCs/>
          <w:sz w:val="28"/>
          <w:szCs w:val="28"/>
          <w:lang w:val="en-US" w:eastAsia="zh-CN"/>
        </w:rPr>
        <w:t>8.1 风险识别与评价</w:t>
      </w:r>
      <w:bookmarkEnd w:id="114"/>
      <w:bookmarkEnd w:id="115"/>
      <w:bookmarkEnd w:id="116"/>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项目风险贯穿于项目建设和运营的全过程。本项目在建设、实施以及运营阶段可能主要存在以下风险：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1、市场风险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首先，电力市场价格波动会对项目收益产生影响，电力价格受能源供需关系、政策调整等因素影响，若价格下跌可能导致项目收入减少。其次，电力需求存在不确定性，经济发展状况、产业结构调整、气候变化等都会使电力需求发生变化，若需求低于预期，会影响项目的能源销售和收益。再者，市场竞争日益激烈，随着源网荷储一体化项目的发展，越来越多的企业参与其中，可能会在能源供应、客户资源等方面形成竞争，若项目竞争力不足，可能会失去市场份额。另外，储能设备成本和技术的变化也会带来风险，成本上升会增加项目投资，而新技术的出现可能使现有储能技术过时，影响项目的长期效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2、融资风险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投资金额较大，为了确保项目建设资金按时、足额到位；建设单位应做好详细的预算，如果项目资金不能及时到位，将会给项目的顺利进行带来一定程度的风险，同时更需要拓展直接融资渠道，大力发展风险投资，建立适合建设单位融资的资本市场体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3、项目策划及管理风险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策划的风险是指在项目开发阶段的环境调查和分析、项目定义和论证、组织、管理、合同、经济、技术等策划的过程中，在项目实施阶段的环境调查和分析，项目目标分析和再论证，在项目实施的组织、管理、合同、经济和技术策划过程中，由于项目经营人员技术程度低而带来的风险。项目管理风险是指项目在实施和使用的过程中因管理不善而导致项目失败的可能性。主要包括管理方法落后，管理人员综合素质不高以及决策失误等诸多因素可能增加的管理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4、政策风险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随着能源领域的快速发展和国家战略的动态调整，相关政策法规存在变动的可能性。例如，补贴政策的退坡或取消可能会影响项目的收益预期，因为项目前期的投资决策或许部分基于现行补贴机制进行规划。而在行业标准和规范方面，若未来出台更为严格的准入门槛和技术要求，项目可能需要追加投资进行设备升级和技术改造，以满足新的政策规定，否则可能面临限产甚至停产的风险，从而对项目的持续稳定运营构成挑战。</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5、技术风险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本项目主要为光伏发电、储能调峰及源网荷储，项目涉及的技术风险较小。</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117" w:name="_Toc31594"/>
      <w:bookmarkStart w:id="118" w:name="_Toc17477"/>
      <w:bookmarkStart w:id="119" w:name="_Toc17416"/>
      <w:r>
        <w:rPr>
          <w:rFonts w:hint="eastAsia" w:ascii="宋体" w:hAnsi="宋体" w:eastAsia="宋体" w:cs="宋体"/>
          <w:b/>
          <w:bCs/>
          <w:sz w:val="28"/>
          <w:szCs w:val="28"/>
          <w:lang w:val="en-US" w:eastAsia="zh-CN"/>
        </w:rPr>
        <w:t>8.2 风险评估</w:t>
      </w:r>
      <w:bookmarkEnd w:id="117"/>
      <w:bookmarkEnd w:id="118"/>
      <w:bookmarkEnd w:id="119"/>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通过分析，本项目的风险的主要因素是市场因素和资金因素及管理风险变化因素等构成。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由于本项目得到当地政府以及广大群众和相关部门的支持，关于资金、技术、工程方面的风险，均已在项目前期得到了相当的重视，通过政府各部门的有力协调源网荷储一体化等合理措施的制定与实施，可以将这些风险控制在可控范围内，对项目的实施影响程度较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确保项目顺利实施，建议项目的建设单位及相关部门应高度重视项目的具体操作，一开始就应该建立风险管理机制，确定相关的责任人，协调和监督项目在各阶段的运行情况，协助项目管理者制定各项管理办法，搜集信息，及时反馈，并编制和不断更新各项风险应急预案，在风险出现之前及时采取措施，有效规避风险，保证项目顺利实施。</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jc w:val="center"/>
        <w:textAlignment w:val="baseline"/>
        <w:outlineLvl w:val="9"/>
        <w:rPr>
          <w:rFonts w:hint="eastAsia" w:ascii="宋体" w:hAnsi="宋体" w:eastAsia="宋体" w:cs="宋体"/>
          <w:b/>
          <w:bCs/>
          <w:sz w:val="28"/>
          <w:szCs w:val="28"/>
        </w:rPr>
      </w:pPr>
      <w:r>
        <w:rPr>
          <w:rFonts w:hint="eastAsia" w:ascii="宋体" w:hAnsi="宋体" w:eastAsia="宋体" w:cs="宋体"/>
          <w:b/>
          <w:bCs/>
          <w:sz w:val="28"/>
          <w:szCs w:val="28"/>
        </w:rPr>
        <w:t>表8-1风险因素分析</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2445"/>
        <w:gridCol w:w="2850"/>
      </w:tblGrid>
      <w:tr>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rPr>
              <w:t>风险因素名称</w:t>
            </w:r>
          </w:p>
        </w:tc>
        <w:tc>
          <w:tcPr>
            <w:tcW w:w="244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rPr>
              <w:t>风险程度</w:t>
            </w:r>
          </w:p>
        </w:tc>
        <w:tc>
          <w:tcPr>
            <w:tcW w:w="285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rPr>
              <w:t>说明</w:t>
            </w:r>
          </w:p>
        </w:tc>
      </w:tr>
      <w:tr>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市场风险</w:t>
            </w:r>
          </w:p>
        </w:tc>
        <w:tc>
          <w:tcPr>
            <w:tcW w:w="244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一般</w:t>
            </w:r>
          </w:p>
        </w:tc>
        <w:tc>
          <w:tcPr>
            <w:tcW w:w="285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市场需求及竞争</w:t>
            </w:r>
          </w:p>
        </w:tc>
      </w:tr>
      <w:tr>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资金风险</w:t>
            </w:r>
          </w:p>
        </w:tc>
        <w:tc>
          <w:tcPr>
            <w:tcW w:w="244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一般</w:t>
            </w:r>
          </w:p>
        </w:tc>
        <w:tc>
          <w:tcPr>
            <w:tcW w:w="285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项目投资额较大</w:t>
            </w:r>
          </w:p>
        </w:tc>
      </w:tr>
      <w:tr>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项目策划与管理风险</w:t>
            </w:r>
          </w:p>
        </w:tc>
        <w:tc>
          <w:tcPr>
            <w:tcW w:w="244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一般</w:t>
            </w:r>
          </w:p>
        </w:tc>
        <w:tc>
          <w:tcPr>
            <w:tcW w:w="285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项目功能系统复杂</w:t>
            </w:r>
          </w:p>
        </w:tc>
      </w:tr>
      <w:tr>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政策风险</w:t>
            </w:r>
          </w:p>
        </w:tc>
        <w:tc>
          <w:tcPr>
            <w:tcW w:w="244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一般</w:t>
            </w:r>
          </w:p>
        </w:tc>
        <w:tc>
          <w:tcPr>
            <w:tcW w:w="285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具有政策优势</w:t>
            </w:r>
          </w:p>
        </w:tc>
      </w:tr>
      <w:tr>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技术风险</w:t>
            </w:r>
          </w:p>
        </w:tc>
        <w:tc>
          <w:tcPr>
            <w:tcW w:w="244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较小</w:t>
            </w:r>
          </w:p>
        </w:tc>
        <w:tc>
          <w:tcPr>
            <w:tcW w:w="285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技术成熟</w:t>
            </w:r>
          </w:p>
        </w:tc>
      </w:tr>
    </w:tbl>
    <w:p>
      <w:pPr>
        <w:keepNext w:val="false"/>
        <w:keepLines w:val="false"/>
        <w:pageBreakBefore w:val="false"/>
        <w:widowControl w:val="false"/>
        <w:kinsoku/>
        <w:wordWrap/>
        <w:overflowPunct/>
        <w:topLinePunct w:val="false"/>
        <w:autoSpaceDE w:val="false"/>
        <w:autoSpaceDN w:val="false"/>
        <w:bidi w:val="false"/>
        <w:adjustRightInd/>
        <w:snapToGrid/>
        <w:spacing w:before="157" w:beforeLines="50" w:after="157" w:afterLines="50" w:line="360" w:lineRule="auto"/>
        <w:ind w:right="0" w:rightChars="0" w:firstLine="420" w:firstLineChars="200"/>
        <w:jc w:val="both"/>
        <w:textAlignment w:val="baseline"/>
        <w:rPr>
          <w:sz w:val="21"/>
          <w:szCs w:val="21"/>
        </w:rPr>
      </w:pPr>
      <w:r>
        <w:rPr>
          <w:rFonts w:ascii="宋体" w:hAnsi="宋体" w:eastAsia="宋体" w:cs="宋体"/>
          <w:i w:val="false"/>
          <w:strike w:val="false"/>
          <w:color w:val="000000"/>
          <w:spacing w:val="0"/>
          <w:sz w:val="21"/>
          <w:szCs w:val="21"/>
          <w:u w:val="none"/>
        </w:rPr>
        <w:t>注：上表把风险程度分为五个档次：微小、较小、一般、较大、重大。</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120" w:name="_Toc17787"/>
      <w:bookmarkStart w:id="121" w:name="_Toc17111"/>
      <w:bookmarkStart w:id="122" w:name="_Toc19938"/>
      <w:r>
        <w:rPr>
          <w:rFonts w:hint="eastAsia" w:ascii="宋体" w:hAnsi="宋体" w:eastAsia="宋体" w:cs="宋体"/>
          <w:b/>
          <w:bCs/>
          <w:sz w:val="28"/>
          <w:szCs w:val="28"/>
          <w:lang w:val="en-US" w:eastAsia="zh-CN"/>
        </w:rPr>
        <w:t>8.3 风险管控方案</w:t>
      </w:r>
      <w:bookmarkEnd w:id="120"/>
      <w:bookmarkEnd w:id="121"/>
      <w:bookmarkEnd w:id="122"/>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项目投资的成功在很大程度上依赖于对风险的认识和管理，及早发现或预测到上述风险并能及时地采取有效的措施，可以化解或缓和、减轻、控制这些风险。本项目控制风险的措施如下：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1、政策风险应对措施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加强项目管理和建设，确保项目建设始终沿着正确的方向进行。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2、市场风险应对措施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针对市场风险，应做好配套的项目招商引资方案，从项目前期策划就对市场进行详细分析，制定针对性的营销策略，完善软硬件配套设施，增强服务的深度和广度，不断地开拓新的市场份额。</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3、财务风险应对措施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实行严格的资金借贷和运用审批制度，根据项目发展情况和资金市场成本变化，调整资本结构；使投资项目尽快产生效益，提高资产盈利能力，降低投资风险；加强对业务收入、业务支出、日常现金等的管理，在保持较高的流动性的基础上，减少资金占用；加大资本运营的力度，构筑和拓宽畅通的融资渠道，为项目的资金供应建立稳固的渠道，加强对资金运行情况的监控，最大限度地提高资金使用效率；实施财务预决算制度；建立相应的风险预警机制，加强内部管理，严格规章制度，把可能发生的损失降低到最低程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4、管理风险应对措施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制定完善各项管理制度；加强对管理人员组织结构、管理制度、管理方法等方面的内部培训、外部培训，提高其整体素质和经营管理水平；推行目标成本全面管理，加强成本控制；倡导组织创新、思想创新，以适应不断变化的外部环境。设计项目管理运营模式时应本着“严谨、细实”的原则，建立并完善相应的管理体制和内部组织机构，并使之规范运行。不断向同行业其他经营较好的企业学习，不断丰富自身管理经验，逐步提升管理水平。</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5、技术风险应对措施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提高技术水平，开发具有自主知识产权的技术，重视技术方案的咨询论证，就技术方案的可行性进行研究，对项目方案的风险水平与收益水平进行比较，对方案实施后的可能结果进行猜测。应改善内部组织，建立有利于技术创新的生产过程组织。建立健全技术开发的风险预警系统，及时发现技术开发和项目运营过程中的风险隐患。</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6、自然风险应对措施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避免项目在实施过程中发生意外及其他各种不可抗拒因素给政府造成损失，一方面建议项目单位在财务预算中拨出专款，购买各种保险以规避可能遇到的风险；另一方面建议建设单位建立完善的自然风险预警制度和自然风险应急救援措施。</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123" w:name="_Toc26235"/>
      <w:bookmarkStart w:id="124" w:name="_Toc4480"/>
      <w:bookmarkStart w:id="125" w:name="_Toc30960"/>
      <w:r>
        <w:rPr>
          <w:rFonts w:hint="eastAsia" w:ascii="宋体" w:hAnsi="宋体" w:eastAsia="宋体" w:cs="宋体"/>
          <w:b/>
          <w:bCs/>
          <w:sz w:val="28"/>
          <w:szCs w:val="28"/>
          <w:lang w:val="en-US" w:eastAsia="zh-CN"/>
        </w:rPr>
        <w:t>8.4 重大风险管控应急预案</w:t>
      </w:r>
      <w:bookmarkEnd w:id="123"/>
      <w:bookmarkEnd w:id="124"/>
      <w:bookmarkEnd w:id="125"/>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根据对各种风险因素及风险程度的分析，本项目面临的主要风险已经明确，针对这些风险因素提出如下防范和降低风险的措施：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1、为了使该项目顺利实施，甲方事前做好充分准备，通过多渠道进行融资，利用好各级政府的各项优惠政策，在保证质量的前提下，加快项目实施进度，尽可能规避融资风险。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2、加强工程的施工管理，提高工程质量，保证施工进度。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3、加强企业的自身管理，提高监管能力，有效控制工程造价。</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密切关注国家宏观经济政策的变化，加强对影响行业的政策和相关因素的分析研究，及时制定有效的对策，使建设规模和结构适应行业发展和市场供求的趋势，尽可能把政策影响降低到最低水平，确保本项目的顺利实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5、要严格贯彻执行建设和管理的有关法规，加强人员培训，严格技术管理，严把建设过程的每一道关口，确保工程质量稳定可靠。</w:t>
      </w:r>
    </w:p>
    <w:p>
      <w:pPr>
        <w:rPr>
          <w:rFonts w:ascii="宋体" w:hAnsi="宋体" w:eastAsia="宋体" w:cs="宋体"/>
          <w:i w:val="false"/>
          <w:strike w:val="false"/>
          <w:color w:val="000000"/>
          <w:spacing w:val="0"/>
          <w:sz w:val="28"/>
          <w:u w:val="none"/>
        </w:rPr>
      </w:pPr>
      <w:r>
        <w:rPr>
          <w:rFonts w:ascii="宋体" w:hAnsi="宋体" w:eastAsia="宋体" w:cs="宋体"/>
          <w:i w:val="false"/>
          <w:strike w:val="false"/>
          <w:color w:val="000000"/>
          <w:spacing w:val="0"/>
          <w:sz w:val="28"/>
          <w:u w:val="none"/>
        </w:rPr>
        <w:br w:type="page"/>
      </w:r>
    </w:p>
    <w:p>
      <w:pPr>
        <w:keepNext w:val="false"/>
        <w:keepLines w:val="false"/>
        <w:pageBreakBefore w:val="false"/>
        <w:widowControl w:val="false"/>
        <w:kinsoku/>
        <w:wordWrap/>
        <w:overflowPunct/>
        <w:topLinePunct/>
        <w:autoSpaceDE w:val="false"/>
        <w:autoSpaceDN/>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rPr>
      </w:pPr>
      <w:bookmarkStart w:id="126" w:name="_Toc17603"/>
      <w:bookmarkStart w:id="127" w:name="_Toc14313"/>
      <w:bookmarkStart w:id="128" w:name="_Toc16934"/>
      <w:r>
        <w:rPr>
          <w:rFonts w:hint="eastAsia" w:ascii="宋体" w:hAnsi="宋体" w:eastAsia="宋体" w:cs="宋体"/>
          <w:b/>
          <w:bCs/>
          <w:sz w:val="36"/>
          <w:szCs w:val="36"/>
        </w:rPr>
        <w:t>第九章 结论和建议</w:t>
      </w:r>
      <w:bookmarkEnd w:id="126"/>
      <w:bookmarkEnd w:id="127"/>
      <w:bookmarkEnd w:id="128"/>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129" w:name="_Toc6270"/>
      <w:bookmarkStart w:id="130" w:name="_Toc18930"/>
      <w:bookmarkStart w:id="131" w:name="_Toc23258"/>
      <w:r>
        <w:rPr>
          <w:rFonts w:hint="eastAsia" w:ascii="宋体" w:hAnsi="宋体" w:eastAsia="宋体" w:cs="宋体"/>
          <w:b/>
          <w:bCs/>
          <w:sz w:val="28"/>
          <w:szCs w:val="28"/>
          <w:lang w:val="en-US" w:eastAsia="zh-CN"/>
        </w:rPr>
        <w:t>9.1 结论</w:t>
      </w:r>
      <w:bookmarkEnd w:id="129"/>
      <w:bookmarkEnd w:id="130"/>
      <w:bookmarkEnd w:id="131"/>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获嘉县作为一个工业+农业蓬勃发展的区域，区域内有着众多大中小企业聚集，在经济下行的大环境下，企业亟需降本增效进行转型升级。在此背景下，本项目的实施显得尤为重要。本项目不仅能够帮助获嘉县中小企业降低经营成本，更通过技术创新与资源整合，显著提升了绿色能源的开发和使用，推动了“双碳”的战略发展进度，促进了当地中小企业转型升级，为获嘉县营造了一个更加优越的投资与营商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2、本项目建设规模合理，建设条件具备，建设方案可行，投资规模适中，资金来源有保证，具有一定的抗风险能力、良好的经济和社会效益，建议尽快实施早日建成发挥良好的经济效益和社会效益。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3、本项目的建设是积极顺应供给侧结构性改革大势，大力实施创新驱动战略，努力推动经济发展方式转变和经济结构调整的重要举措。</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132" w:name="_Toc31302"/>
      <w:bookmarkStart w:id="133" w:name="_Toc3775"/>
      <w:bookmarkStart w:id="134" w:name="_Toc31084"/>
      <w:r>
        <w:rPr>
          <w:rFonts w:hint="eastAsia" w:ascii="宋体" w:hAnsi="宋体" w:eastAsia="宋体" w:cs="宋体"/>
          <w:b/>
          <w:bCs/>
          <w:sz w:val="28"/>
          <w:szCs w:val="28"/>
          <w:lang w:val="en-US" w:eastAsia="zh-CN"/>
        </w:rPr>
        <w:t>9.2 建议</w:t>
      </w:r>
      <w:bookmarkEnd w:id="132"/>
      <w:bookmarkEnd w:id="133"/>
      <w:bookmarkEnd w:id="134"/>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议建设单位加快项目的前期工作进程，积极落实建设资金，落实设计及施工单位，尽早开工，保质保量按时完成工程建设，及时投入使用，尽快发挥项目应有的社会效益。同时也建议政府各有关部门积极支持该项目的建设。</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1、向地方政府争取相关政策支持和优惠措施，例如税收优惠等。这些政策能够降低项目建设和运营成本，提高投资回报率，吸引更多资金和资源参与到项目中来。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2、建设项目单位应尽早办理各种手续，抓紧时间落实，做好项目前期工作，并尽早组织开工建设。</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3、水、电、气、通风等设施应积极采用节能、节水、节材并符合环境保护和计量要求的新技术、新设备，电度表、水表等计量设备安装使用前应进行首次强制检测。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4、建议建设单位通过加强管理来控制工程风险。良好的项目管理是项目取得成功的重要保证。从投资开发来看，项目全过程的投资、进度和质量是控制的重点。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5、为了尽快实施该项目，应当优化项目管理流程和执行计划。确保项目各阶段的设计、审批、采购和施工能够高效有序地进行，避免因流程烦琐或延迟导致项目推迟。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6、项目应严格按环保“三同时”原则，搞好环境治理工作。</w:t>
      </w:r>
    </w:p>
    <w:p>
      <w:pPr>
        <w:snapToGrid/>
        <w:spacing w:line="240" w:lineRule="auto"/>
        <w:rPr/>
      </w:pPr>
    </w:p>
    <w:p>
      <w:pPr>
        <w:snapToGrid/>
        <w:spacing w:line="240" w:lineRule="auto"/>
        <w:rPr/>
      </w:pPr>
      <w:r>
        <w:rPr>
          <w:rFonts w:ascii="Arial" w:hAnsi="Arial" w:eastAsia="Arial" w:cs="Arial"/>
          <w:i w:val="false"/>
          <w:strike w:val="false"/>
          <w:color w:val="000000"/>
          <w:sz w:val="21"/>
          <w:u w:val="none"/>
        </w:rPr>
        <w:t> </w:t>
      </w:r>
    </w:p>
    <w:p>
      <w:pPr>
        <w:snapToGrid/>
        <w:spacing w:before="157" w:after="157" w:line="360" w:lineRule="auto"/>
        <w:ind w:right="0" w:rightChars="0" w:firstLine="420" w:firstLineChars="200"/>
        <w:jc w:val="both"/>
        <w:rPr/>
      </w:pPr>
    </w:p>
    <w:p>
      <w:pPr>
        <w:keepNext w:val="false"/>
        <w:keepLines w:val="false"/>
        <w:pageBreakBefore w:val="false"/>
        <w:widowControl w:val="false"/>
        <w:pBdr>
          <w:bottom w:val="none" w:color="auto" w:sz="0" w:space="0"/>
        </w:pBdr>
        <w:kinsoku/>
        <w:wordWrap/>
        <w:overflowPunct/>
        <w:topLinePunct w:val="false"/>
        <w:autoSpaceD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pPr>
      <w:r>
        <w:rPr>
          <w:rFonts w:hint="eastAsia" w:ascii="宋体" w:hAnsi="宋体" w:eastAsia="宋体" w:cs="宋体"/>
          <w:snapToGrid/>
          <w:spacing w:val="0"/>
          <w:w w:val="100"/>
          <w:kern w:val="2"/>
          <w:position w:val="0"/>
          <w:sz w:val="28"/>
          <w:szCs w:val="28"/>
          <w:lang w:val="en-US" w:eastAsia="zh-CN" w:bidi="zh-CN"/>
        </w:rPr>
        <w:br w:type="page"/>
      </w:r>
    </w:p>
    <w:p>
      <w:pPr>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bookmarkStart w:id="135" w:name="_Toc10969"/>
      <w:bookmarkStart w:id="136" w:name="_Toc1013"/>
      <w:bookmarkStart w:id="137" w:name="_Toc21143"/>
      <w:r>
        <w:rPr>
          <w:rFonts w:hint="eastAsia" w:ascii="宋体" w:hAnsi="宋体" w:eastAsia="宋体" w:cs="宋体"/>
          <w:b/>
          <w:bCs/>
          <w:i w:val="false"/>
          <w:iCs w:val="false"/>
          <w:color w:val="auto"/>
          <w:kern w:val="0"/>
          <w:sz w:val="28"/>
          <w:szCs w:val="28"/>
          <w:u w:val="none"/>
          <w:lang w:val="en-US" w:eastAsia="zh-CN"/>
        </w:rPr>
        <w:t>附表1：建设投资估算表</w:t>
      </w:r>
      <w:bookmarkEnd w:id="135"/>
      <w:bookmarkEnd w:id="136"/>
      <w:bookmarkEnd w:id="137"/>
    </w:p>
    <w:tbl>
      <w:tblPr>
        <w:tblStyle w:val="00000a"/>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1"/>
        <w:gridCol w:w="2719"/>
        <w:gridCol w:w="1522"/>
        <w:gridCol w:w="1341"/>
        <w:gridCol w:w="1341"/>
        <w:gridCol w:w="1341"/>
        <w:gridCol w:w="1522"/>
        <w:gridCol w:w="797"/>
        <w:gridCol w:w="1242"/>
        <w:gridCol w:w="1718"/>
      </w:tblGrid>
      <w:tr>
        <w:trPr>
          <w:trHeight w:val="386" w:hRule="atLeast"/>
          <w:tblHeader/>
        </w:trPr>
        <w:tc>
          <w:tcPr>
            <w:tcW w:w="14174" w:type="dxa"/>
            <w:gridSpan w:val="10"/>
            <w:tcBorders>
              <w:top w:val="nil"/>
              <w:left w:val="nil"/>
              <w:bottom w:val="nil"/>
              <w:right w:val="nil"/>
            </w:tcBorders>
            <w:shd w:val="clear" w:color="auto" w:fill="auto"/>
            <w:vAlign w:val="center"/>
          </w:tcPr>
          <w:p>
            <w:pPr>
              <w:keepNext w:val="false"/>
              <w:keepLines w:val="false"/>
              <w:widowControl/>
              <w:suppressLineNumbers w:val="false"/>
              <w:jc w:val="right"/>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单位：万元</w:t>
            </w:r>
          </w:p>
        </w:tc>
      </w:tr>
      <w:tr>
        <w:trPr>
          <w:trHeight w:val="476" w:hRule="atLeast"/>
          <w:tblHeader/>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序号</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工程或费用名称</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建筑工程费</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安装工程费</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设备购置费</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其他费用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合计</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单位</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数量</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综合单价（万元）</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一</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工程费用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128.27</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333.44</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4308.60</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FF0000"/>
                <w:sz w:val="18"/>
                <w:szCs w:val="18"/>
                <w:u w:val="none"/>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4770.32</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89.94%</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1</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光伏组件</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96.75</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160.65</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1451.25</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1708.65</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b/>
                <w:bCs/>
                <w:i w:val="false"/>
                <w:iCs w:val="false"/>
                <w:snapToGrid w:val="false"/>
                <w:color w:val="000000"/>
                <w:kern w:val="0"/>
                <w:sz w:val="18"/>
                <w:szCs w:val="18"/>
                <w:u w:val="none"/>
                <w:lang w:val="en-US" w:eastAsia="zh-CN" w:bidi="ar"/>
              </w:rPr>
              <w:t>kW</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b/>
                <w:bCs/>
                <w:i w:val="false"/>
                <w:iCs w:val="false"/>
                <w:snapToGrid w:val="false"/>
                <w:color w:val="000000"/>
                <w:kern w:val="0"/>
                <w:sz w:val="18"/>
                <w:szCs w:val="18"/>
                <w:u w:val="none"/>
                <w:lang w:val="en-US" w:eastAsia="zh-CN" w:bidi="ar"/>
              </w:rPr>
              <w:t>5956.00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b/>
                <w:bCs/>
                <w:i w:val="false"/>
                <w:iCs w:val="false"/>
                <w:snapToGrid w:val="false"/>
                <w:color w:val="000000"/>
                <w:kern w:val="0"/>
                <w:sz w:val="18"/>
                <w:szCs w:val="18"/>
                <w:u w:val="none"/>
                <w:lang w:val="en-US" w:eastAsia="zh-CN" w:bidi="ar"/>
              </w:rPr>
              <w:t>0.29</w:t>
            </w:r>
          </w:p>
        </w:tc>
      </w:tr>
      <w:tr>
        <w:trPr>
          <w:trHeight w:val="476" w:hRule="atLeast"/>
        </w:trPr>
        <w:tc>
          <w:tcPr>
            <w:tcW w:w="631" w:type="dxa"/>
            <w:tcBorders>
              <w:top w:val="single" w:color="000000" w:sz="4" w:space="0"/>
              <w:left w:val="single" w:color="000000" w:sz="4" w:space="0"/>
              <w:bottom w:val="nil"/>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2719" w:type="dxa"/>
            <w:tcBorders>
              <w:top w:val="single" w:color="000000" w:sz="4" w:space="0"/>
              <w:left w:val="single" w:color="000000" w:sz="4" w:space="0"/>
              <w:bottom w:val="nil"/>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640Wp单晶N型</w:t>
            </w:r>
          </w:p>
        </w:tc>
        <w:tc>
          <w:tcPr>
            <w:tcW w:w="1522" w:type="dxa"/>
            <w:tcBorders>
              <w:top w:val="single" w:color="000000" w:sz="4" w:space="0"/>
              <w:left w:val="single" w:color="000000" w:sz="4" w:space="0"/>
              <w:bottom w:val="nil"/>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p>
        </w:tc>
        <w:tc>
          <w:tcPr>
            <w:tcW w:w="1341" w:type="dxa"/>
            <w:tcBorders>
              <w:top w:val="single" w:color="000000" w:sz="4" w:space="0"/>
              <w:left w:val="single" w:color="000000" w:sz="4" w:space="0"/>
              <w:bottom w:val="nil"/>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p>
        </w:tc>
        <w:tc>
          <w:tcPr>
            <w:tcW w:w="1341" w:type="dxa"/>
            <w:tcBorders>
              <w:top w:val="single" w:color="000000" w:sz="4" w:space="0"/>
              <w:left w:val="single" w:color="000000" w:sz="4" w:space="0"/>
              <w:bottom w:val="nil"/>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882.27</w:t>
            </w:r>
          </w:p>
        </w:tc>
        <w:tc>
          <w:tcPr>
            <w:tcW w:w="1341" w:type="dxa"/>
            <w:tcBorders>
              <w:top w:val="single" w:color="000000" w:sz="4" w:space="0"/>
              <w:left w:val="single" w:color="000000" w:sz="4" w:space="0"/>
              <w:bottom w:val="nil"/>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882.27</w:t>
            </w:r>
          </w:p>
        </w:tc>
        <w:tc>
          <w:tcPr>
            <w:tcW w:w="797" w:type="dxa"/>
            <w:tcBorders>
              <w:top w:val="single" w:color="000000" w:sz="4" w:space="0"/>
              <w:left w:val="single" w:color="000000" w:sz="4" w:space="0"/>
              <w:bottom w:val="nil"/>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块</w:t>
            </w:r>
          </w:p>
        </w:tc>
        <w:tc>
          <w:tcPr>
            <w:tcW w:w="1242" w:type="dxa"/>
            <w:tcBorders>
              <w:top w:val="single" w:color="000000" w:sz="4" w:space="0"/>
              <w:left w:val="single" w:color="000000" w:sz="4" w:space="0"/>
              <w:bottom w:val="nil"/>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11168.00</w:t>
            </w:r>
          </w:p>
        </w:tc>
        <w:tc>
          <w:tcPr>
            <w:tcW w:w="1718" w:type="dxa"/>
            <w:tcBorders>
              <w:top w:val="single" w:color="000000" w:sz="4" w:space="0"/>
              <w:left w:val="single" w:color="000000" w:sz="4" w:space="0"/>
              <w:bottom w:val="nil"/>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0.08</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lang w:val="en-US" w:eastAsia="zh-CN"/>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逆变器</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81.00</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81.00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57.00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1.42</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交流汇流箱</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9.32</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9.32</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9.00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1.04</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1.4</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光伏支架及配件</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157.03</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157.03</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km</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87.29</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1.80</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1.5</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光伏直流电缆</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11.00</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11.00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km</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2.00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5.50</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1.6</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MC4连接器</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1.32</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1.32</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套</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610.00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0.02</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1.7</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交流电缆</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147.62</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147.62</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km</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8.10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18.23</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1.8</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干式变压器（箱变)</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25.26</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25.26</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20.26</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1.9</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光伏接入柜</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5.13</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5.13</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5.13</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并网柜</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5.00</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站用变电柜</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4.71</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4.71</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4.71</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10kV动态无功补偿装置</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39.07</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39.07</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35.00</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高压电缆</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82.51</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82.51</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km</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41.30</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土建基础</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96.75</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96.75</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项</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80.25</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组件、电气安装、辅材等</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160.65</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160.65</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kW</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5950.00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0.03</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电池储能集装箱</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FF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130.00</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2045.40</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FF0000"/>
                <w:kern w:val="0"/>
                <w:sz w:val="18"/>
                <w:szCs w:val="18"/>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2175.40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KWH</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17000.00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0.13</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电池系统 5000KWH</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1003.00</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1003.00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358.21</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储能变流器</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140.00</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140.00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50.00</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集装箱柜体</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42.00</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42.00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15.00</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温控系统</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56.00</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56.00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20.00</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消防系统</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42.00</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42.00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15.00</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2.6</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储能EMS</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140.00</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140.00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50.00</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附件</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22.40</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22.40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8.00</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储能箱基础及连接电缆</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130.00</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130.00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25.00</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15KWH换电系统(3000KWH)</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600.00</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200.00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3.00</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园区配套工程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31.52</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42.79</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811.96</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0.00</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886.27</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5551.30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0.23</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升压/降压变压器</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12.00</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68.00</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80.00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40.00</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中压输电电缆</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22.50</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127.50</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150.00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m</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3000.00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0.05</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绿化等相关配套工程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25.99</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25.99</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82.00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0.32</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3.4</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10kv储能变电站</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5.53</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8.29</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41.46</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55.28</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1.38</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中心配电室变压器2000KVA</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25.00</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25.00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color w:val="FF0000"/>
                <w:sz w:val="18"/>
                <w:szCs w:val="18"/>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color w:val="FF0000"/>
                <w:sz w:val="18"/>
                <w:szCs w:val="18"/>
              </w:rPr>
            </w:pPr>
            <w:r>
              <w:rPr>
                <w:rFonts w:hint="eastAsia" w:ascii="宋体" w:hAnsi="宋体" w:eastAsia="宋体" w:cs="宋体"/>
                <w:i w:val="false"/>
                <w:iCs w:val="false"/>
                <w:snapToGrid w:val="false"/>
                <w:color w:val="000000"/>
                <w:kern w:val="0"/>
                <w:sz w:val="18"/>
                <w:szCs w:val="18"/>
                <w:u w:val="none"/>
                <w:lang w:val="en-US" w:eastAsia="zh-CN" w:bidi="ar"/>
              </w:rPr>
              <w:t>25.00</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光伏充电桩（600kW液冷）</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550.00</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550.00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5</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110</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二</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工程建设其他费用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236.28</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236.28</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4.45%</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建设管理费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23.85</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23.85</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建设工程监理费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28.62</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28.62</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建设项目前期工作咨询费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23.85</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23.85</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4</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工程勘察费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26.17</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26.17</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屋顶荷载检测费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10.64</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10.64</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6</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工程设计费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47.70</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47.70</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7</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环境影响咨询服务费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4.77</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4.77</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场地准备费及临时设施费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26.24</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26.24</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工程保险费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13.90</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13.90</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10</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招标代理服务费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16.22</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16.22</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造价咨询费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14.31</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14.31</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三</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预备费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250.33</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250.33</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sz w:val="18"/>
                <w:szCs w:val="18"/>
              </w:rPr>
            </w:pPr>
            <w:r>
              <w:rPr>
                <w:rFonts w:hint="eastAsia" w:ascii="宋体" w:hAnsi="宋体" w:eastAsia="宋体" w:cs="宋体"/>
                <w:b/>
                <w:bCs/>
                <w:i w:val="false"/>
                <w:iCs w:val="false"/>
                <w:snapToGrid w:val="false"/>
                <w:color w:val="000000"/>
                <w:kern w:val="0"/>
                <w:sz w:val="18"/>
                <w:szCs w:val="18"/>
                <w:u w:val="none"/>
                <w:lang w:val="en-US" w:eastAsia="zh-CN" w:bidi="ar"/>
              </w:rPr>
              <w:t>4.72%</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3.1</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基本预备费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250.33</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250.33</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（一+二）*5%</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3.2</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涨价预备费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四</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建设投资合计</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128.27</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333.44</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4308.60</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486.61</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5256.93</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sz w:val="18"/>
                <w:szCs w:val="18"/>
              </w:rPr>
            </w:pPr>
            <w:r>
              <w:rPr>
                <w:rFonts w:hint="eastAsia" w:ascii="宋体" w:hAnsi="宋体" w:eastAsia="宋体" w:cs="宋体"/>
                <w:b/>
                <w:bCs/>
                <w:i w:val="false"/>
                <w:iCs w:val="false"/>
                <w:snapToGrid w:val="false"/>
                <w:color w:val="000000"/>
                <w:kern w:val="0"/>
                <w:sz w:val="18"/>
                <w:szCs w:val="18"/>
                <w:u w:val="none"/>
                <w:lang w:val="en-US" w:eastAsia="zh-CN" w:bidi="ar"/>
              </w:rPr>
              <w:t>99.11%</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snapToGrid w:val="false"/>
                <w:color w:val="000000"/>
                <w:kern w:val="0"/>
                <w:sz w:val="18"/>
                <w:szCs w:val="18"/>
                <w:u w:val="none"/>
                <w:lang w:val="en-US" w:eastAsia="zh-CN" w:bidi="ar"/>
              </w:rPr>
            </w:pP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比例（%）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2.44%</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6.34%</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81.96%</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9.26%</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100.00%</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五</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建设期利息</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47.25</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0.89%</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六</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固定资产投资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5304.18</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100.00%</w:t>
            </w:r>
          </w:p>
        </w:tc>
      </w:tr>
      <w:bookmarkStart w:id="138" w:name="_Toc7389"/>
      <w:bookmarkStart w:id="139" w:name="_Toc13313"/>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七</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项目总投资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5304.18</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100.00%</w:t>
            </w:r>
          </w:p>
        </w:tc>
      </w:tr>
    </w:tbl>
    <w:p>
      <w:pPr>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bookmarkStart w:id="140" w:name="_Toc7071"/>
      <w:r>
        <w:rPr>
          <w:rFonts w:hint="eastAsia" w:ascii="宋体" w:hAnsi="宋体" w:eastAsia="宋体" w:cs="宋体"/>
          <w:b/>
          <w:bCs/>
          <w:i w:val="false"/>
          <w:iCs w:val="false"/>
          <w:color w:val="auto"/>
          <w:kern w:val="0"/>
          <w:sz w:val="28"/>
          <w:szCs w:val="28"/>
          <w:u w:val="none"/>
          <w:lang w:val="en-US" w:eastAsia="zh-CN"/>
        </w:rPr>
        <w:t>附表2：固定资产折旧表</w:t>
      </w:r>
      <w:bookmarkEnd w:id="138"/>
      <w:bookmarkEnd w:id="139"/>
      <w:bookmarkEnd w:id="140"/>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2"/>
        <w:gridCol w:w="1802"/>
        <w:gridCol w:w="1272"/>
        <w:gridCol w:w="946"/>
        <w:gridCol w:w="960"/>
        <w:gridCol w:w="1378"/>
        <w:gridCol w:w="1378"/>
        <w:gridCol w:w="1378"/>
        <w:gridCol w:w="1378"/>
        <w:gridCol w:w="1378"/>
        <w:gridCol w:w="1381"/>
      </w:tblGrid>
      <w:tr>
        <w:trPr>
          <w:trHeight w:val="270" w:hRule="atLeast"/>
        </w:trPr>
        <w:tc>
          <w:tcPr>
            <w:tcW w:w="13993" w:type="dxa"/>
            <w:gridSpan w:val="11"/>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rPr>
        <w:tc>
          <w:tcPr>
            <w:tcW w:w="742"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1802"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项目</w:t>
            </w:r>
          </w:p>
        </w:tc>
        <w:tc>
          <w:tcPr>
            <w:tcW w:w="1272"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46"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残值率</w:t>
            </w:r>
          </w:p>
        </w:tc>
        <w:tc>
          <w:tcPr>
            <w:tcW w:w="960"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折旧年限</w:t>
            </w:r>
          </w:p>
        </w:tc>
        <w:tc>
          <w:tcPr>
            <w:tcW w:w="827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运营期</w:t>
            </w:r>
          </w:p>
        </w:tc>
      </w:tr>
      <w:tr>
        <w:trPr>
          <w:trHeight w:val="507" w:hRule="atLeast"/>
        </w:trPr>
        <w:tc>
          <w:tcPr>
            <w:tcW w:w="742"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802"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272"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46"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60"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37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0.5</w:t>
            </w:r>
          </w:p>
        </w:tc>
        <w:tc>
          <w:tcPr>
            <w:tcW w:w="137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2</w:t>
            </w:r>
          </w:p>
        </w:tc>
        <w:tc>
          <w:tcPr>
            <w:tcW w:w="137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3</w:t>
            </w:r>
          </w:p>
        </w:tc>
        <w:tc>
          <w:tcPr>
            <w:tcW w:w="137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4</w:t>
            </w:r>
          </w:p>
        </w:tc>
        <w:tc>
          <w:tcPr>
            <w:tcW w:w="137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5</w:t>
            </w:r>
          </w:p>
        </w:tc>
        <w:tc>
          <w:tcPr>
            <w:tcW w:w="1381"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6</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附属物及设备折旧</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0.05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20.00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原值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4783.80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4670.19</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4442.96</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4215.73</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3988.49</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3761.26</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当期折旧额</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2613.15</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113.62</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227.23</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227.23</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227.23</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227.23</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227.23</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净值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4670.19</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4442.96</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4215.73</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3988.49</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3761.26</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3534.03</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折旧费</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2613.15</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113.62</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227.23</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227.23</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227.23</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227.23</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227.23</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无形资产摊销</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原值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当期折旧额</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净值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bl>
    <w:p>
      <w:pPr>
        <w:rPr>
          <w:rFonts w:hint="default" w:eastAsiaTheme="minorEastAsia"/>
          <w:lang w:val="en-US" w:eastAsia="zh-CN"/>
        </w:rPr>
      </w:pPr>
      <w:r>
        <w:rPr>
          <w:rFonts w:hint="default" w:eastAsiaTheme="minorEastAsia"/>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附表2：固定资产折旧表</w:t>
      </w:r>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2"/>
        <w:gridCol w:w="1802"/>
        <w:gridCol w:w="1272"/>
        <w:gridCol w:w="991"/>
        <w:gridCol w:w="975"/>
        <w:gridCol w:w="1368"/>
        <w:gridCol w:w="1368"/>
        <w:gridCol w:w="1368"/>
        <w:gridCol w:w="1368"/>
        <w:gridCol w:w="1368"/>
        <w:gridCol w:w="1371"/>
      </w:tblGrid>
      <w:tr>
        <w:trPr>
          <w:trHeight w:val="270" w:hRule="atLeast"/>
        </w:trPr>
        <w:tc>
          <w:tcPr>
            <w:tcW w:w="13993" w:type="dxa"/>
            <w:gridSpan w:val="11"/>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rPr>
        <w:tc>
          <w:tcPr>
            <w:tcW w:w="742"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1802"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项目</w:t>
            </w:r>
          </w:p>
        </w:tc>
        <w:tc>
          <w:tcPr>
            <w:tcW w:w="1272"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91"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残值率</w:t>
            </w:r>
          </w:p>
        </w:tc>
        <w:tc>
          <w:tcPr>
            <w:tcW w:w="975"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折旧年限</w:t>
            </w:r>
          </w:p>
        </w:tc>
        <w:tc>
          <w:tcPr>
            <w:tcW w:w="821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运营期</w:t>
            </w:r>
          </w:p>
        </w:tc>
      </w:tr>
      <w:tr>
        <w:trPr>
          <w:trHeight w:val="462" w:hRule="atLeast"/>
        </w:trPr>
        <w:tc>
          <w:tcPr>
            <w:tcW w:w="742"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802"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272"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91"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75"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36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7</w:t>
            </w:r>
          </w:p>
        </w:tc>
        <w:tc>
          <w:tcPr>
            <w:tcW w:w="136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8</w:t>
            </w:r>
          </w:p>
        </w:tc>
        <w:tc>
          <w:tcPr>
            <w:tcW w:w="136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9</w:t>
            </w:r>
          </w:p>
        </w:tc>
        <w:tc>
          <w:tcPr>
            <w:tcW w:w="136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10</w:t>
            </w:r>
          </w:p>
        </w:tc>
        <w:tc>
          <w:tcPr>
            <w:tcW w:w="136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11</w:t>
            </w:r>
          </w:p>
        </w:tc>
        <w:tc>
          <w:tcPr>
            <w:tcW w:w="1371"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12</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附属物及设备折旧</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0.05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20.00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原值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3534.03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3306.80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3079.57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2852.34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2625.11</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2397.88</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当期折旧额</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2613.15</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227.23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227.23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227.23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227.23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227.23</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227.23</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净值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3306.80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3079.57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2852.34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2625.11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2397.88</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2170.65</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折旧费</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2613.15</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227.23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227.23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227.23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227.23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227.23</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227.23</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无形资产摊销</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原值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当期折旧额</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净值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bl>
    <w:p>
      <w:pPr>
        <w:ind w:left="0" w:leftChars="0" w:firstLine="0" w:firstLineChars="0"/>
        <w:rPr>
          <w:rFonts w:hint="default" w:eastAsiaTheme="minorEastAsia"/>
          <w:lang w:val="en-US" w:eastAsia="zh-CN"/>
        </w:rPr>
      </w:pPr>
      <w:r>
        <w:rPr>
          <w:rFonts w:hint="default" w:eastAsiaTheme="minorEastAsia"/>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bookmarkStart w:id="141" w:name="_Toc16695"/>
      <w:bookmarkStart w:id="142" w:name="_Toc10373"/>
      <w:bookmarkStart w:id="143" w:name="_Toc10595"/>
      <w:r>
        <w:rPr>
          <w:rFonts w:hint="eastAsia" w:ascii="宋体" w:hAnsi="宋体" w:eastAsia="宋体" w:cs="宋体"/>
          <w:b/>
          <w:bCs/>
          <w:i w:val="false"/>
          <w:iCs w:val="false"/>
          <w:color w:val="auto"/>
          <w:kern w:val="0"/>
          <w:sz w:val="28"/>
          <w:szCs w:val="28"/>
          <w:u w:val="none"/>
          <w:lang w:val="en-US" w:eastAsia="zh-CN"/>
        </w:rPr>
        <w:t>附表3：营业收入及税金表</w:t>
      </w:r>
      <w:bookmarkEnd w:id="141"/>
      <w:bookmarkEnd w:id="142"/>
      <w:bookmarkEnd w:id="143"/>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7"/>
        <w:gridCol w:w="2295"/>
        <w:gridCol w:w="1170"/>
        <w:gridCol w:w="1593"/>
        <w:gridCol w:w="1593"/>
        <w:gridCol w:w="1593"/>
        <w:gridCol w:w="1593"/>
        <w:gridCol w:w="1593"/>
        <w:gridCol w:w="1596"/>
      </w:tblGrid>
      <w:tr>
        <w:trPr>
          <w:trHeight w:val="501" w:hRule="atLeast"/>
          <w:tblHeader/>
        </w:trPr>
        <w:tc>
          <w:tcPr>
            <w:tcW w:w="1399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2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项目</w:t>
            </w: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56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运营期</w:t>
            </w:r>
          </w:p>
        </w:tc>
      </w:tr>
      <w:tr>
        <w:trPr>
          <w:trHeight w:val="420" w:hRule="atLeast"/>
          <w:tblHeader/>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2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cs="宋体"/>
                <w:b/>
                <w:bCs/>
                <w:i w:val="false"/>
                <w:iCs w:val="false"/>
                <w:color w:val="000000"/>
                <w:kern w:val="0"/>
                <w:sz w:val="18"/>
                <w:szCs w:val="18"/>
                <w:u w:val="none"/>
                <w:lang w:val="en-US" w:eastAsia="zh-CN" w:bidi="ar"/>
              </w:rPr>
              <w:t>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cs="宋体"/>
                <w:b/>
                <w:bCs/>
                <w:i w:val="false"/>
                <w:iCs w:val="false"/>
                <w:color w:val="000000"/>
                <w:kern w:val="0"/>
                <w:sz w:val="18"/>
                <w:szCs w:val="18"/>
                <w:u w:val="none"/>
                <w:lang w:val="en-US" w:eastAsia="zh-CN" w:bidi="ar"/>
              </w:rPr>
              <w:t>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6</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营业收入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8038.57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364.59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730.52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731.88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733.24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734.61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734.50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光伏收入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4351.77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202.61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403.59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401.98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400.37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398.77</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397.17</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装机容量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5896.44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5872.85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5849.36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5825.97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5802.66</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5779.45</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衰减值</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1kW 光伏装机容量平均日发电量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年发电天数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1.1.5</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工商业用电平均电价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0.57</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0.57</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储能收入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3554.75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154.55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309.11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309.11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309.11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309.11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309.11</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产能利用率</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放电使用率</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92%</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92%</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峰谷价差加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360天一充一放扣能耗（万kwh/n)</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17000.00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17000.00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17000.00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17000.00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17000.00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17000.00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600kW充电桩收入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294.03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7.43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17.82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20.79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23.76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26.73</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28.22</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充电桩数量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充电使用率</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收费标准</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0.55</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充电桩每小时充电量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1.3.5</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充电小时数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1.3.6</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年运营时间</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营业税金与附加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103.85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4.53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9.06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9.06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9.07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9.08</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9.07</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消费税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城市建设维护税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72.70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6.34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6.35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6.35</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教育费附加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2.72</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2.72</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增值税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1038.52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45.27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90.59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90.70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90.76</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90.69</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销项税额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1080.65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47.10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94.25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94.31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94.37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94.43</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94.36</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进项税额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42.13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3.67</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3.67</w:t>
            </w:r>
          </w:p>
        </w:tc>
      </w:tr>
    </w:tbl>
    <w:p>
      <w:pPr>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附表3：营业收入及税金表</w:t>
      </w:r>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7"/>
        <w:gridCol w:w="2535"/>
        <w:gridCol w:w="1170"/>
        <w:gridCol w:w="1593"/>
        <w:gridCol w:w="1593"/>
        <w:gridCol w:w="1593"/>
        <w:gridCol w:w="1593"/>
        <w:gridCol w:w="1593"/>
        <w:gridCol w:w="1596"/>
      </w:tblGrid>
      <w:tr>
        <w:trPr>
          <w:trHeight w:val="501" w:hRule="atLeast"/>
          <w:tblHeader/>
        </w:trPr>
        <w:tc>
          <w:tcPr>
            <w:tcW w:w="1399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5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项目</w:t>
            </w: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56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运营期</w:t>
            </w:r>
          </w:p>
        </w:tc>
      </w:tr>
      <w:tr>
        <w:trPr>
          <w:trHeight w:val="420" w:hRule="atLeast"/>
          <w:tblHeader/>
        </w:trPr>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5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8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9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10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11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12 </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营业收入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8038.57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732.91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731.33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729.75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728.18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726.62</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725.06</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光伏收入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4351.77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395.58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394.00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392.43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390.86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389.29</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387.74</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装机容量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5756.33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5733.31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5710.37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5687.53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5664.78</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5642.12</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衰减值</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1kW 光伏装机容量平均日发电量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1.1.4</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年发电天数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1.1.5</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工商业用电平均电价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0.57</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0.57</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储能收入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3554.75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309.11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309.11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309.11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309.11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309.11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309.11</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产能利用率</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放电使用率</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92%</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92%</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1.2.3</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峰谷价差加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1.2.4</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360天一充一放扣能耗（万kwh/n)</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17000.00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17000.00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17000.00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17000.00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17000.00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17000.00</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1.3</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600kW充电桩收入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294.03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28.22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28.22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28.22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28.22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28.22</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28.22</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充电桩数量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充电使用率</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1.3.3</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收费标准</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0.55</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1.3.4</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充电桩每小时充电量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600.00</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1.3.5</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充电小时数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1.3.6</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年运营时间</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营业税金与附加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103.85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9.05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9.03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9.01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8.99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8.97</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8.95</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消费税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城市建设维护税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72.70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6.33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6.32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6.31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6.29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6.28</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6.26</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教育费附加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2.69</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2.68</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增值税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1038.52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90.48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90.28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90.08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89.88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89.68</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89.48</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销项税额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1080.65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94.15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93.94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93.74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93.53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93.33</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93.13</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进项税额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42.13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3.66</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3.65</w:t>
            </w:r>
          </w:p>
        </w:tc>
      </w:tr>
    </w:tbl>
    <w:p>
      <w:pPr>
        <w:ind w:left="0" w:leftChars="0" w:firstLine="0" w:firstLineChars="0"/>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bookmarkStart w:id="144" w:name="_Toc27140"/>
      <w:bookmarkStart w:id="145" w:name="_Toc6072"/>
      <w:bookmarkStart w:id="146" w:name="_Toc21044"/>
      <w:r>
        <w:rPr>
          <w:rFonts w:hint="eastAsia" w:ascii="宋体" w:hAnsi="宋体" w:eastAsia="宋体" w:cs="宋体"/>
          <w:b/>
          <w:bCs/>
          <w:i w:val="false"/>
          <w:iCs w:val="false"/>
          <w:color w:val="auto"/>
          <w:kern w:val="0"/>
          <w:sz w:val="28"/>
          <w:szCs w:val="28"/>
          <w:u w:val="none"/>
          <w:lang w:val="en-US" w:eastAsia="zh-CN"/>
        </w:rPr>
        <w:t>附表4：总成本费用表</w:t>
      </w:r>
      <w:bookmarkEnd w:id="144"/>
      <w:bookmarkEnd w:id="145"/>
      <w:bookmarkEnd w:id="146"/>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2"/>
        <w:gridCol w:w="2461"/>
        <w:gridCol w:w="1169"/>
        <w:gridCol w:w="1588"/>
        <w:gridCol w:w="1588"/>
        <w:gridCol w:w="1588"/>
        <w:gridCol w:w="1588"/>
        <w:gridCol w:w="1588"/>
        <w:gridCol w:w="1591"/>
      </w:tblGrid>
      <w:tr>
        <w:trPr>
          <w:trHeight w:val="420" w:hRule="atLeast"/>
          <w:tblHeader/>
        </w:trPr>
        <w:tc>
          <w:tcPr>
            <w:tcW w:w="1396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8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4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项目</w:t>
            </w:r>
          </w:p>
        </w:tc>
        <w:tc>
          <w:tcPr>
            <w:tcW w:w="11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5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运营期</w:t>
            </w:r>
          </w:p>
        </w:tc>
      </w:tr>
      <w:tr>
        <w:trPr>
          <w:trHeight w:val="420" w:hRule="atLeast"/>
          <w:tblHeader/>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4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0.5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4</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5</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6</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外购燃料及动力费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207.70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9.01</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18.06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18.06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18.06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18.06</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18.06</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工资及福利费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460.00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20.00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40.00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40.00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40.00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40.00</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40.00</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保洁维护费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209.05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9.09</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18.18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18.18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18.18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18.18</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18.18</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管理费及其他</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168.06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7.29</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14.61</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14.64</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14.66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14.69</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14.69</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经营成本（1+2+3+4+5+6）</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1044.81</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45.39</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90.85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90.88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90.91</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90.93</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90.93</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折旧费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2613.15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113.62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227.23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227.23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227.23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227.23</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227.23</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摊销费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利息支出</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1196.55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92.93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176.40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163.35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149.63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135.45</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120.38</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总成本费用合计（6+7+8+9）</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4854.51</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251.93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494.48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481.46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467.76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453.61</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438.54</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其中：固定成本</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3977.76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213.83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418.24</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405.22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391.52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377.37</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362.30</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可变成本</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876.75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38.10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76.24</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76.24</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76.24</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76.24</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76.24</w:t>
            </w:r>
          </w:p>
        </w:tc>
      </w:tr>
    </w:tbl>
    <w:p>
      <w:pPr>
        <w:rPr>
          <w:rFonts w:hint="eastAsia" w:ascii="宋体" w:hAnsi="宋体" w:eastAsia="宋体" w:cs="宋体"/>
          <w:b/>
          <w:bCs/>
          <w:lang w:val="en-US" w:eastAsia="zh-CN"/>
        </w:rPr>
      </w:pPr>
      <w:bookmarkStart w:id="147" w:name="_Toc32655"/>
      <w:r>
        <w:rPr>
          <w:rFonts w:hint="eastAsia" w:ascii="宋体" w:hAnsi="宋体" w:eastAsia="宋体" w:cs="宋体"/>
          <w:b/>
          <w:bCs/>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附表4：总成本费用表</w:t>
      </w:r>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2"/>
        <w:gridCol w:w="2461"/>
        <w:gridCol w:w="1214"/>
        <w:gridCol w:w="1581"/>
        <w:gridCol w:w="1581"/>
        <w:gridCol w:w="1581"/>
        <w:gridCol w:w="1581"/>
        <w:gridCol w:w="1581"/>
        <w:gridCol w:w="1581"/>
      </w:tblGrid>
      <w:tr>
        <w:trPr>
          <w:trHeight w:val="420" w:hRule="atLeast"/>
          <w:tblHeader/>
        </w:trPr>
        <w:tc>
          <w:tcPr>
            <w:tcW w:w="1396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单位：万元</w:t>
            </w:r>
          </w:p>
        </w:tc>
      </w:tr>
      <w:tr>
        <w:trPr>
          <w:trHeight w:val="420" w:hRule="atLeast"/>
          <w:tblHeader/>
        </w:trPr>
        <w:tc>
          <w:tcPr>
            <w:tcW w:w="8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4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项目</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48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运营期</w:t>
            </w:r>
          </w:p>
        </w:tc>
      </w:tr>
      <w:tr>
        <w:trPr>
          <w:trHeight w:val="420" w:hRule="atLeast"/>
          <w:tblHeader/>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4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7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8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9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10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11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12 </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外购燃料及动力费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207.70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18.06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18.06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18.06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18.06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18.06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18.06</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工资及福利费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460.00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40.00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40.00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40.00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40.00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40.00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40.00</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保洁维护费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209.05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18.18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18.18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18.18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18.18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18.18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18.18</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管理费及其他</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168.06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14.66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14.63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14.59</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14.56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14.53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14.50</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经营成本（1+2+3+4+5+6）</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1044.81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90.90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90.87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90.84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90.80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90.77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90.74</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折旧费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2613.15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227.23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227.23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227.23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227.23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227.23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227.23</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摊销费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利息支出</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1196.55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104.18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87.30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69.75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50.85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30.83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15.53</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总成本费用合计（6+7+8+9）</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4854.51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422.30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405.40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387.82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368.89</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348.83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333.50</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其中：固定成本</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3977.76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346.06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329.16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311.58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292.64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272.59</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257.26</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可变成本</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876.75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76.24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76.24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76.24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76.24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76.24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76.24</w:t>
            </w:r>
          </w:p>
        </w:tc>
      </w:tr>
    </w:tbl>
    <w:p>
      <w:pPr>
        <w:ind w:left="0" w:leftChars="0" w:firstLine="0" w:firstLineChars="0"/>
        <w:rPr>
          <w:rFonts w:hint="eastAsia" w:ascii="宋体" w:hAnsi="宋体" w:eastAsia="宋体" w:cs="宋体"/>
          <w:b/>
          <w:bCs/>
          <w:lang w:val="en-US" w:eastAsia="zh-CN"/>
        </w:rPr>
      </w:pPr>
      <w:r>
        <w:rPr>
          <w:rFonts w:hint="eastAsia" w:ascii="宋体" w:hAnsi="宋体" w:eastAsia="宋体" w:cs="宋体"/>
          <w:b/>
          <w:bCs/>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bookmarkStart w:id="148" w:name="_Toc3902"/>
      <w:bookmarkStart w:id="149" w:name="_Toc31574"/>
      <w:r>
        <w:rPr>
          <w:rFonts w:hint="eastAsia" w:ascii="宋体" w:hAnsi="宋体" w:eastAsia="宋体" w:cs="宋体"/>
          <w:b/>
          <w:bCs/>
          <w:i w:val="false"/>
          <w:iCs w:val="false"/>
          <w:color w:val="auto"/>
          <w:kern w:val="0"/>
          <w:sz w:val="28"/>
          <w:szCs w:val="28"/>
          <w:u w:val="none"/>
          <w:lang w:val="en-US" w:eastAsia="zh-CN"/>
        </w:rPr>
        <w:t>附表5：利润及利润分配表</w:t>
      </w:r>
      <w:bookmarkEnd w:id="147"/>
      <w:bookmarkEnd w:id="148"/>
      <w:bookmarkEnd w:id="149"/>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2"/>
        <w:gridCol w:w="3015"/>
        <w:gridCol w:w="1440"/>
        <w:gridCol w:w="1446"/>
        <w:gridCol w:w="1446"/>
        <w:gridCol w:w="1446"/>
        <w:gridCol w:w="1446"/>
        <w:gridCol w:w="1446"/>
        <w:gridCol w:w="1446"/>
      </w:tblGrid>
      <w:tr>
        <w:trPr>
          <w:trHeight w:val="270" w:hRule="atLeast"/>
          <w:tblHeader/>
        </w:trPr>
        <w:tc>
          <w:tcPr>
            <w:tcW w:w="1396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8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30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 目</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867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运营期</w:t>
            </w:r>
          </w:p>
        </w:tc>
      </w:tr>
      <w:tr>
        <w:trPr>
          <w:trHeight w:val="420" w:hRule="atLeast"/>
          <w:tblHeader/>
        </w:trPr>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30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cs="宋体"/>
                <w:b/>
                <w:bCs/>
                <w:i w:val="false"/>
                <w:iCs w:val="false"/>
                <w:color w:val="000000"/>
                <w:kern w:val="0"/>
                <w:sz w:val="18"/>
                <w:szCs w:val="18"/>
                <w:u w:val="none"/>
                <w:lang w:val="en-US" w:eastAsia="zh-CN" w:bidi="ar"/>
              </w:rPr>
              <w:t>0.5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cs="宋体"/>
                <w:b/>
                <w:bCs/>
                <w:i w:val="false"/>
                <w:iCs w:val="false"/>
                <w:color w:val="000000"/>
                <w:kern w:val="0"/>
                <w:sz w:val="18"/>
                <w:szCs w:val="18"/>
                <w:u w:val="none"/>
                <w:lang w:val="en-US" w:eastAsia="zh-CN" w:bidi="ar"/>
              </w:rPr>
              <w:t>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6</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8403.16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364.59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730.52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731.88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733.24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734.61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734.50</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营业税金及附加</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103.85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9.07</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增值税</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1038.52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45.27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90.59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90.65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90.70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90.76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90.69</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总成本费用</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4854.51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251.93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494.48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481.46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467.76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453.61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438.54</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补贴收入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利润总额（1-2-3+4）</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2406.27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62.85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136.39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150.71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165.70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181.16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196.21</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弥补以前年度亏损</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应纳税所得额（5-6）</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2406.27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62.85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136.39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150.71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165.70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181.16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196.21</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601.57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15.71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34.10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37.68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41.43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45.29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49.05</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净利润（5-8）</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1804.70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47.14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102.29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113.03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124.28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135.87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147.15</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期初未分配利润</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7204.27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42.43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134.49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236.21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348.06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470.35</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可供分配的利润（9+10）</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9008.97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47.14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144.72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247.52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360.49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483.93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617.50</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提取法定盈余公积金</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180.47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10.23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12.43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13.59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14.72</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可供投资者分配的利润（11-12）</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8828.50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42.43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134.49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236.21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348.06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470.35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602.78</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应付优先股股利</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提取任意盈余公积金</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应付普通股股利（13-14-15）</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各投资方利润分配</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32"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其中：</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未分配利润（13-14-15-17）</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8828.50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42.43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134.49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236.21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348.06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470.35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602.78</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息税前利润（利润总额+利息支出）</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3602.82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155.78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312.79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314.06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315.33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316.61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316.58</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息税折旧摊销前利润（息税前利润+折旧+摊销）</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6215.97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269.39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540.02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541.29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542.56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543.84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543.81</w:t>
            </w:r>
          </w:p>
        </w:tc>
      </w:tr>
    </w:tbl>
    <w:p>
      <w:pPr>
        <w:rPr>
          <w:rFonts w:hint="default" w:eastAsiaTheme="minorEastAsia"/>
          <w:lang w:val="en-US" w:eastAsia="zh-CN"/>
        </w:rPr>
      </w:pPr>
      <w:r>
        <w:rPr>
          <w:rFonts w:hint="default" w:eastAsiaTheme="minorEastAsia"/>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附表5：利润及利润分配表</w:t>
      </w:r>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2"/>
        <w:gridCol w:w="3015"/>
        <w:gridCol w:w="1440"/>
        <w:gridCol w:w="1446"/>
        <w:gridCol w:w="1446"/>
        <w:gridCol w:w="1446"/>
        <w:gridCol w:w="1446"/>
        <w:gridCol w:w="1446"/>
        <w:gridCol w:w="1446"/>
      </w:tblGrid>
      <w:tr>
        <w:trPr>
          <w:trHeight w:val="270" w:hRule="atLeast"/>
          <w:tblHeader/>
        </w:trPr>
        <w:tc>
          <w:tcPr>
            <w:tcW w:w="1396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8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30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 目</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867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运营期</w:t>
            </w:r>
          </w:p>
        </w:tc>
      </w:tr>
      <w:tr>
        <w:trPr>
          <w:trHeight w:val="420" w:hRule="atLeast"/>
          <w:tblHeader/>
        </w:trPr>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30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10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11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12</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8403.16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732.91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731.33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729.75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728.18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726.62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725.06</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营业税金及附加</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103.85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9.05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9.03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9.01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8.99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8.97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8.95</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增值税</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1038.52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90.48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90.28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90.08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89.88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89.68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89.48</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总成本费用</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4854.51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422.30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405.40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387.82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368.89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348.83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333.50</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补贴收入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利润总额（1-2-3+4）</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2406.27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211.07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226.62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242.85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260.43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279.14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293.14</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弥补以前年度亏损</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应纳税所得额（5-6）</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2406.27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211.07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226.62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242.85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260.43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279.14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293.14</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601.57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52.77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56.66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60.71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65.11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69.79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73.28</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净利润（5-8）</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1804.70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158.30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169.97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182.14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195.32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209.36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219.85</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期初未分配利润</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7204.27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602.78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745.26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898.23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1062.15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1237.94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1426.36</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可供分配的利润（9+10）</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9008.97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761.09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915.22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1080.36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1257.47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1447.30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1646.22</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提取法定盈余公积金</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180.47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15.83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17.00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18.21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19.53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20.94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21.99</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可供投资者分配的利润（11-12）</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8828.50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745.26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898.23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1062.15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1237.94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1426.36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1624.23</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应付优先股股利</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提取任意盈余公积金</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应付普通股股利（13-14-15）</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各投资方利润分配</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其中：</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未分配利润（13-14-15-17）</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8828.50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745.26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898.23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1062.15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1237.94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1426.36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1624.23</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息税前利润（利润总额+利息支出）</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3602.82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315.25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313.92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312.60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311.28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309.97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308.66</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息税折旧摊销前利润（息税前利润+折旧+摊销）</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6215.97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542.48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541.15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539.83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538.51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537.20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535.89</w:t>
            </w:r>
          </w:p>
        </w:tc>
      </w:tr>
    </w:tbl>
    <w:p>
      <w:pPr>
        <w:keepNext w:val="false"/>
        <w:keepLines w:val="false"/>
        <w:pageBreakBefore w:val="false"/>
        <w:kinsoku/>
        <w:wordWrap/>
        <w:overflowPunct/>
        <w:topLinePunct w:val="false"/>
        <w:autoSpaceDE/>
        <w:autoSpaceDN/>
        <w:bidi w:val="false"/>
        <w:adjustRightInd/>
        <w:snapToGrid/>
        <w:spacing w:line="240" w:lineRule="auto"/>
        <w:ind w:left="0" w:leftChars="0" w:firstLine="0" w:firstLineChars="0"/>
        <w:rPr>
          <w:rFonts w:hint="default" w:eastAsiaTheme="minorEastAsia"/>
          <w:lang w:val="en-US" w:eastAsia="zh-CN"/>
        </w:rPr>
      </w:pPr>
      <w:r>
        <w:rPr>
          <w:rFonts w:hint="default" w:eastAsiaTheme="minorEastAsia"/>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bookmarkStart w:id="150" w:name="_Toc9189"/>
      <w:bookmarkStart w:id="151" w:name="_Toc19934"/>
      <w:bookmarkStart w:id="152" w:name="_Toc1883"/>
      <w:r>
        <w:rPr>
          <w:rFonts w:hint="eastAsia" w:ascii="宋体" w:hAnsi="宋体" w:eastAsia="宋体" w:cs="宋体"/>
          <w:b/>
          <w:bCs/>
          <w:i w:val="false"/>
          <w:iCs w:val="false"/>
          <w:color w:val="auto"/>
          <w:kern w:val="0"/>
          <w:sz w:val="28"/>
          <w:szCs w:val="28"/>
          <w:u w:val="none"/>
          <w:lang w:val="en-US" w:eastAsia="zh-CN"/>
        </w:rPr>
        <w:t>附表6：项目投资现金流量表</w:t>
      </w:r>
      <w:bookmarkEnd w:id="150"/>
      <w:bookmarkEnd w:id="151"/>
      <w:bookmarkEnd w:id="152"/>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8"/>
        <w:gridCol w:w="2835"/>
        <w:gridCol w:w="1169"/>
        <w:gridCol w:w="1538"/>
        <w:gridCol w:w="1538"/>
        <w:gridCol w:w="1538"/>
        <w:gridCol w:w="1538"/>
        <w:gridCol w:w="1538"/>
        <w:gridCol w:w="1541"/>
      </w:tblGrid>
      <w:tr>
        <w:trPr>
          <w:trHeight w:val="354" w:hRule="atLeast"/>
          <w:tblHeader/>
        </w:trPr>
        <w:tc>
          <w:tcPr>
            <w:tcW w:w="1399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firstLine="0" w:firstLineChars="0"/>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7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8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 目</w:t>
            </w:r>
          </w:p>
        </w:tc>
        <w:tc>
          <w:tcPr>
            <w:tcW w:w="11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2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7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2</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3</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4</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5</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6</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现金流入</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11046.93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837.71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730.52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731.88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733.24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734.61</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734.50</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营业收入</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8403.16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364.59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730.52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731.88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733.24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734.61</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734.50</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留抵退税</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473.12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1.3</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回收固定资产余值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2170.65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1.4</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回收流动资金</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现金流出</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7444.11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5352.12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190.50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190.59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190.68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190.77</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190.69</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建设投资</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5256.93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5256.93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2.2</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流动资金</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2.3</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经营成本</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1044.81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45.39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90.85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90.88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90.91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90.93</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90.93</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2.4</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营业税金及附加</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103.85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9.08</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9.07</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2.5</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增值税</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1038.52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45.27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90.59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90.65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90.70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90.76</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90.69</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2.6</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维持运营投资</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所得税前净现金流量（1-2）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3602.82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-4514.41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540.02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541.29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542.56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543.84</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543.81</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累计所得税前净现金流量</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-4514.41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-3974.39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-3433.10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-2890.54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-2346.71</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-1802.89</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所得税前净现金流量现值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1646.59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-4332.44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497.36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478.44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460.23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442.72</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424.86</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累计所得税前净现金流量现值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-4332.44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-3835.08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-3356.65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-2896.41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-2453.69</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-2028.84</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调整所得税</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585.85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34.10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37.68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41.43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45.29</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49.05</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所得税后净现金流量（3-5）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3016.97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-4514.41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505.92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503.61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501.13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498.55</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494.76</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累计所得税后净现金流量</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-4514.41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-4008.49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-3504.88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-3003.74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-2505.19</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-2010.43</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所得税后净现金流量现值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1210.00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-4332.44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465.96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445.13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425.09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405.85</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386.53</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累计所得税后净现金流量现值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-4332.44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-3866.49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-3421.35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-2996.26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-2590.41</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-2203.87</w:t>
            </w:r>
          </w:p>
        </w:tc>
      </w:tr>
    </w:tbl>
    <w:p>
      <w:pPr>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附表6：项目投资现金流量表</w:t>
      </w:r>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31"/>
        <w:gridCol w:w="2710"/>
        <w:gridCol w:w="851"/>
        <w:gridCol w:w="416"/>
        <w:gridCol w:w="236"/>
        <w:gridCol w:w="984"/>
        <w:gridCol w:w="280"/>
        <w:gridCol w:w="704"/>
        <w:gridCol w:w="795"/>
        <w:gridCol w:w="189"/>
        <w:gridCol w:w="984"/>
        <w:gridCol w:w="326"/>
        <w:gridCol w:w="658"/>
        <w:gridCol w:w="841"/>
        <w:gridCol w:w="143"/>
        <w:gridCol w:w="984"/>
        <w:gridCol w:w="371"/>
        <w:gridCol w:w="612"/>
        <w:gridCol w:w="942"/>
      </w:tblGrid>
      <w:tr>
        <w:trPr>
          <w:trHeight w:val="23" w:hRule="atLeast"/>
          <w:tblHeader/>
        </w:trPr>
        <w:tc>
          <w:tcPr>
            <w:tcW w:w="13957" w:type="dxa"/>
            <w:gridSpan w:val="1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firstLine="0" w:firstLineChars="0"/>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9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 目</w:t>
            </w:r>
          </w:p>
        </w:tc>
        <w:tc>
          <w:tcPr>
            <w:tcW w:w="126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049"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9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26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7</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8</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9</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10</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11</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12</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现金流入</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11046.93</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732.91</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731.33</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729.75</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728.18</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726.62</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2895.71</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营业收入</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8403.16</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732.91</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731.33</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729.75</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728.18</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726.62</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725.06</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留抵退税</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1.3</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回收固定资产余值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2170.65</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2170.65</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1.4</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回收流动资金</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现金流出</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7444.11</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190.43</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190.17</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189.92</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189.67</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189.42</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189.17</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建设投资</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5256.93</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2.2</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流动资金</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2.3</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经营成本</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1044.81</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90.90</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90.87</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90.84</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90.80</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90.77</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90.74</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2.4</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营业税金及附加</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103.85</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9.05</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9.03</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9.01</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8.99</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8.97</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8.95</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2.5</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增值税</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1038.52</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90.48</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90.28</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90.08</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89.88</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89.68</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89.48</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2.6</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维持运营投资</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所得税前净现金流量（1-2）</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3602.82</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542.48</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541.15</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539.83</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538.51</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537.20</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2706.54</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累计所得税前净现金流量</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-1260.42</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-719.26</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-179.44</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359.08</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896.28</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3602.82</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所得税前净现金流量现值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1646.59</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406.73</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389.38</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372.77</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356.88</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356.01</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1793.65</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累计所得税前净现金流量现值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-1622.10</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-1232.72</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-859.95</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-503.07</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-147.06</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1646.59</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调整所得税</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585.85</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52.77</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56.66</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60.71</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65.11</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69.79</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73.28</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所得税后净现金流量（3-5）</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3016.97</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489.71</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484.50</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479.12</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473.40</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467.41</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2633.26</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累计所得税后净现金流量</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-1520.72</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-1036.23</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-557.11</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-83.71</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383.71</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3016.97</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所得税后净现金流量现值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1210.00</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367.17</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347.28</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330.85</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313.73</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309.76</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1745.08</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累计所得税后净现金流量现值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-1836.70</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-1489.42</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-1158.57</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-844.84</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-535.08</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1210.00</w:t>
            </w:r>
          </w:p>
        </w:tc>
      </w:tr>
      <w:tr>
        <w:trPr>
          <w:trHeight w:val="420" w:hRule="atLeast"/>
        </w:trPr>
        <w:tc>
          <w:tcPr>
            <w:tcW w:w="3641"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计算指标：</w:t>
            </w:r>
          </w:p>
        </w:tc>
        <w:tc>
          <w:tcPr>
            <w:tcW w:w="851"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652"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3" w:type="dxa"/>
            <w:gridSpan w:val="2"/>
            <w:tcBorders>
              <w:top w:val="nil"/>
              <w:left w:val="nil"/>
              <w:bottom w:val="nil"/>
              <w:right w:val="nil"/>
            </w:tcBorders>
            <w:shd w:val="clear" w:color="auto" w:fill="auto"/>
            <w:noWrap/>
            <w:vAlign w:val="center"/>
          </w:tcPr>
          <w:p>
            <w:pPr>
              <w:keepNext w:val="false"/>
              <w:keepLines w:val="false"/>
              <w:pageBreakBefore w:val="false"/>
              <w:kinsoku/>
              <w:wordWrap/>
              <w:overflowPunct/>
              <w:topLinePunct w:val="false"/>
              <w:autoSpaceDE/>
              <w:autoSpaceDN/>
              <w:bidi w:val="false"/>
              <w:adjustRightInd/>
              <w:snapToGrid/>
              <w:spacing w:line="240" w:lineRule="auto"/>
              <w:jc w:val="center"/>
              <w:rPr>
                <w:rFonts w:hint="eastAsia" w:ascii="宋体" w:hAnsi="宋体" w:eastAsia="宋体" w:cs="宋体"/>
                <w:i w:val="false"/>
                <w:iCs w:val="false"/>
                <w:color w:val="000000"/>
                <w:sz w:val="18"/>
                <w:szCs w:val="18"/>
                <w:u w:val="none"/>
              </w:rPr>
            </w:pPr>
          </w:p>
        </w:tc>
        <w:tc>
          <w:tcPr>
            <w:tcW w:w="942" w:type="dxa"/>
            <w:tcBorders>
              <w:top w:val="nil"/>
              <w:left w:val="nil"/>
              <w:bottom w:val="nil"/>
              <w:right w:val="nil"/>
            </w:tcBorders>
            <w:shd w:val="clear" w:color="auto" w:fill="auto"/>
            <w:noWrap/>
            <w:vAlign w:val="center"/>
          </w:tcPr>
          <w:p>
            <w:pPr>
              <w:keepNext w:val="false"/>
              <w:keepLines w:val="false"/>
              <w:pageBreakBefore w:val="false"/>
              <w:kinsoku/>
              <w:wordWrap/>
              <w:overflowPunct/>
              <w:topLinePunct w:val="false"/>
              <w:autoSpaceDE/>
              <w:autoSpaceDN/>
              <w:bidi w:val="false"/>
              <w:adjustRightInd/>
              <w:snapToGrid/>
              <w:spacing w:line="240" w:lineRule="auto"/>
              <w:jc w:val="center"/>
              <w:rPr>
                <w:rFonts w:hint="eastAsia" w:ascii="宋体" w:hAnsi="宋体" w:eastAsia="宋体" w:cs="宋体"/>
                <w:i w:val="false"/>
                <w:iCs w:val="false"/>
                <w:color w:val="000000"/>
                <w:sz w:val="18"/>
                <w:szCs w:val="18"/>
                <w:u w:val="none"/>
              </w:rPr>
            </w:pPr>
          </w:p>
        </w:tc>
      </w:tr>
      <w:tr>
        <w:trPr>
          <w:trHeight w:val="420" w:hRule="atLeast"/>
        </w:trPr>
        <w:tc>
          <w:tcPr>
            <w:tcW w:w="4492" w:type="dxa"/>
            <w:gridSpan w:val="3"/>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项目投资财务内部收益率（%）（所得税前）</w:t>
            </w:r>
          </w:p>
        </w:tc>
        <w:tc>
          <w:tcPr>
            <w:tcW w:w="652"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9.03%</w:t>
            </w: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3936" w:type="dxa"/>
            <w:gridSpan w:val="7"/>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项目投资财务内部收益率（%）（所得税后）</w:t>
            </w: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3"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7.70%</w:t>
            </w:r>
          </w:p>
        </w:tc>
        <w:tc>
          <w:tcPr>
            <w:tcW w:w="942" w:type="dxa"/>
            <w:tcBorders>
              <w:top w:val="nil"/>
              <w:left w:val="nil"/>
              <w:bottom w:val="nil"/>
              <w:right w:val="nil"/>
            </w:tcBorders>
            <w:shd w:val="clear" w:color="auto" w:fill="auto"/>
            <w:noWrap/>
            <w:vAlign w:val="center"/>
          </w:tcPr>
          <w:p>
            <w:pPr>
              <w:keepNext w:val="false"/>
              <w:keepLines w:val="false"/>
              <w:pageBreakBefore w:val="false"/>
              <w:kinsoku/>
              <w:wordWrap/>
              <w:overflowPunct/>
              <w:topLinePunct w:val="false"/>
              <w:autoSpaceDE/>
              <w:autoSpaceDN/>
              <w:bidi w:val="false"/>
              <w:adjustRightInd/>
              <w:snapToGrid/>
              <w:spacing w:line="240" w:lineRule="auto"/>
              <w:jc w:val="center"/>
              <w:rPr>
                <w:rFonts w:hint="eastAsia" w:ascii="宋体" w:hAnsi="宋体" w:eastAsia="宋体" w:cs="宋体"/>
                <w:i w:val="false"/>
                <w:iCs w:val="false"/>
                <w:color w:val="000000"/>
                <w:sz w:val="18"/>
                <w:szCs w:val="18"/>
                <w:u w:val="none"/>
              </w:rPr>
            </w:pPr>
          </w:p>
        </w:tc>
      </w:tr>
      <w:tr>
        <w:trPr>
          <w:trHeight w:val="420" w:hRule="atLeast"/>
        </w:trPr>
        <w:tc>
          <w:tcPr>
            <w:tcW w:w="4492" w:type="dxa"/>
            <w:gridSpan w:val="3"/>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项目投资财务净现值（所得税前）（ic=4.2%）</w:t>
            </w:r>
          </w:p>
        </w:tc>
        <w:tc>
          <w:tcPr>
            <w:tcW w:w="652"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1646.59</w:t>
            </w: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3936" w:type="dxa"/>
            <w:gridSpan w:val="7"/>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项目投资财务净现值（所得税后）（ic=4.2%）</w:t>
            </w: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3"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1210.00</w:t>
            </w:r>
          </w:p>
        </w:tc>
        <w:tc>
          <w:tcPr>
            <w:tcW w:w="942" w:type="dxa"/>
            <w:tcBorders>
              <w:top w:val="nil"/>
              <w:left w:val="nil"/>
              <w:bottom w:val="nil"/>
              <w:right w:val="nil"/>
            </w:tcBorders>
            <w:shd w:val="clear" w:color="auto" w:fill="auto"/>
            <w:noWrap/>
            <w:vAlign w:val="center"/>
          </w:tcPr>
          <w:p>
            <w:pPr>
              <w:keepNext w:val="false"/>
              <w:keepLines w:val="false"/>
              <w:pageBreakBefore w:val="false"/>
              <w:kinsoku/>
              <w:wordWrap/>
              <w:overflowPunct/>
              <w:topLinePunct w:val="false"/>
              <w:autoSpaceDE/>
              <w:autoSpaceDN/>
              <w:bidi w:val="false"/>
              <w:adjustRightInd/>
              <w:snapToGrid/>
              <w:spacing w:line="240" w:lineRule="auto"/>
              <w:jc w:val="center"/>
              <w:rPr>
                <w:rFonts w:hint="eastAsia" w:ascii="宋体" w:hAnsi="宋体" w:eastAsia="宋体" w:cs="宋体"/>
                <w:i w:val="false"/>
                <w:iCs w:val="false"/>
                <w:color w:val="000000"/>
                <w:sz w:val="18"/>
                <w:szCs w:val="18"/>
                <w:u w:val="none"/>
              </w:rPr>
            </w:pPr>
          </w:p>
        </w:tc>
      </w:tr>
      <w:tr>
        <w:trPr>
          <w:trHeight w:val="420" w:hRule="atLeast"/>
        </w:trPr>
        <w:tc>
          <w:tcPr>
            <w:tcW w:w="4492" w:type="dxa"/>
            <w:gridSpan w:val="3"/>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项目投资回收期（年）（所得税前）</w:t>
            </w:r>
          </w:p>
        </w:tc>
        <w:tc>
          <w:tcPr>
            <w:tcW w:w="652"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11.08</w:t>
            </w: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3936" w:type="dxa"/>
            <w:gridSpan w:val="7"/>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项目投资回收期（年）（所得税后）</w:t>
            </w: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3"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11.31</w:t>
            </w:r>
          </w:p>
        </w:tc>
        <w:tc>
          <w:tcPr>
            <w:tcW w:w="942" w:type="dxa"/>
            <w:tcBorders>
              <w:top w:val="nil"/>
              <w:left w:val="nil"/>
              <w:bottom w:val="nil"/>
              <w:right w:val="nil"/>
            </w:tcBorders>
            <w:shd w:val="clear" w:color="auto" w:fill="auto"/>
            <w:noWrap/>
            <w:vAlign w:val="center"/>
          </w:tcPr>
          <w:p>
            <w:pPr>
              <w:keepNext w:val="false"/>
              <w:keepLines w:val="false"/>
              <w:pageBreakBefore w:val="false"/>
              <w:kinsoku/>
              <w:wordWrap/>
              <w:overflowPunct/>
              <w:topLinePunct w:val="false"/>
              <w:autoSpaceDE/>
              <w:autoSpaceDN/>
              <w:bidi w:val="false"/>
              <w:adjustRightInd/>
              <w:snapToGrid/>
              <w:spacing w:line="240" w:lineRule="auto"/>
              <w:jc w:val="center"/>
              <w:rPr>
                <w:rFonts w:hint="eastAsia" w:ascii="宋体" w:hAnsi="宋体" w:eastAsia="宋体" w:cs="宋体"/>
                <w:i w:val="false"/>
                <w:iCs w:val="false"/>
                <w:color w:val="000000"/>
                <w:sz w:val="18"/>
                <w:szCs w:val="18"/>
                <w:u w:val="none"/>
              </w:rPr>
            </w:pPr>
          </w:p>
        </w:tc>
      </w:tr>
    </w:tbl>
    <w:p>
      <w:pPr>
        <w:ind w:left="0" w:leftChars="0" w:firstLine="0" w:firstLineChars="0"/>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bookmarkStart w:id="153" w:name="_Toc28353"/>
      <w:bookmarkStart w:id="154" w:name="_Toc8075"/>
      <w:bookmarkStart w:id="155" w:name="_Toc13946"/>
      <w:r>
        <w:rPr>
          <w:rFonts w:hint="eastAsia" w:ascii="宋体" w:hAnsi="宋体" w:eastAsia="宋体" w:cs="宋体"/>
          <w:b/>
          <w:bCs/>
          <w:i w:val="false"/>
          <w:iCs w:val="false"/>
          <w:color w:val="auto"/>
          <w:kern w:val="0"/>
          <w:sz w:val="28"/>
          <w:szCs w:val="28"/>
          <w:u w:val="none"/>
          <w:lang w:val="en-US" w:eastAsia="zh-CN"/>
        </w:rPr>
        <w:t>附表7：还本付息表</w:t>
      </w:r>
      <w:bookmarkEnd w:id="153"/>
      <w:bookmarkEnd w:id="154"/>
      <w:bookmarkEnd w:id="155"/>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2"/>
        <w:gridCol w:w="2145"/>
        <w:gridCol w:w="1020"/>
        <w:gridCol w:w="1438"/>
        <w:gridCol w:w="1438"/>
        <w:gridCol w:w="1438"/>
        <w:gridCol w:w="1438"/>
        <w:gridCol w:w="1438"/>
        <w:gridCol w:w="1438"/>
        <w:gridCol w:w="1441"/>
      </w:tblGrid>
      <w:tr>
        <w:trPr>
          <w:trHeight w:val="323" w:hRule="atLeast"/>
        </w:trPr>
        <w:tc>
          <w:tcPr>
            <w:tcW w:w="13946" w:type="dxa"/>
            <w:gridSpan w:val="10"/>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firstLine="0" w:firstLineChars="0"/>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42" w:hRule="atLeast"/>
        </w:trPr>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1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 目</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10069" w:type="dxa"/>
            <w:gridSpan w:val="7"/>
            <w:tcBorders>
              <w:top w:val="single" w:color="000000" w:sz="4" w:space="0"/>
              <w:left w:val="single" w:color="000000" w:sz="4" w:space="0"/>
              <w:bottom w:val="single" w:color="000000" w:sz="4" w:space="0"/>
              <w:right w:val="nil"/>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42" w:hRule="atLeast"/>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0.5建设期</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0.5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3</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5</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6</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 </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建设投资借款</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1.1 </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期初借款余额</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4060.00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3780.00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3480.00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3170.00</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2850.00</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1.2 </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当期还本付息</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5443.80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47.25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232.93</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456.40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463.35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459.63</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455.45</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470.38</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其中：还本</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320.00</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350.00</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付息</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1243.80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47.25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92.93</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176.40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163.35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149.63</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135.45</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120.38</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1.3 </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期末借款余额</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30640.00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4060.00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3780.00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3480.00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3170.00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2850.00</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2500.00</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default"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 </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可用于还本付息的资金</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6215.97</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269.39</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540.02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541.29</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542.56</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543.84</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543.81</w:t>
            </w:r>
          </w:p>
        </w:tc>
      </w:tr>
      <w:tr>
        <w:trPr>
          <w:trHeight w:val="420" w:hRule="atLeast"/>
        </w:trPr>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指标</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利息备付率</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3.06</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3.31</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3.63</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4.02</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4.52</w:t>
            </w:r>
          </w:p>
        </w:tc>
      </w:tr>
      <w:tr>
        <w:trPr>
          <w:trHeight w:val="420" w:hRule="atLeast"/>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偿债备付率</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1.16</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1.17</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1.19</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1.16</w:t>
            </w:r>
          </w:p>
        </w:tc>
      </w:tr>
    </w:tbl>
    <w:p>
      <w:pPr>
        <w:rPr/>
      </w:pPr>
      <w:r>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附表7：还本付息表</w:t>
      </w:r>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2"/>
        <w:gridCol w:w="2085"/>
        <w:gridCol w:w="1200"/>
        <w:gridCol w:w="1633"/>
        <w:gridCol w:w="1633"/>
        <w:gridCol w:w="1633"/>
        <w:gridCol w:w="1633"/>
        <w:gridCol w:w="1633"/>
        <w:gridCol w:w="1634"/>
      </w:tblGrid>
      <w:tr>
        <w:trPr>
          <w:trHeight w:val="323" w:hRule="atLeast"/>
        </w:trPr>
        <w:tc>
          <w:tcPr>
            <w:tcW w:w="13946"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firstLine="0" w:firstLineChars="0"/>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rPr>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0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 目</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799" w:type="dxa"/>
            <w:gridSpan w:val="6"/>
            <w:tcBorders>
              <w:top w:val="single" w:color="000000" w:sz="4" w:space="0"/>
              <w:left w:val="single" w:color="000000" w:sz="4" w:space="0"/>
              <w:bottom w:val="single" w:color="000000" w:sz="4" w:space="0"/>
              <w:right w:val="nil"/>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7</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9</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12</w:t>
            </w: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建设投资借款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期初借款余额</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2130.00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1750.00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1350.00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910.00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460.00</w:t>
            </w: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当期还本付息</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5443.80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474.18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467.30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469.75</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490.85</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480.83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475.53</w:t>
            </w: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default" w:ascii="宋体" w:hAnsi="宋体" w:eastAsia="宋体" w:cs="宋体"/>
                <w:i w:val="false"/>
                <w:iCs w:val="false"/>
                <w:color w:val="000000"/>
                <w:kern w:val="0"/>
                <w:sz w:val="18"/>
                <w:szCs w:val="18"/>
                <w:u w:val="none"/>
                <w:lang w:val="en-US" w:eastAsia="zh-CN" w:bidi="ar"/>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其中：还本</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440.00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450.00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460.00</w:t>
            </w: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default" w:ascii="宋体" w:hAnsi="宋体" w:eastAsia="宋体" w:cs="宋体"/>
                <w:i w:val="false"/>
                <w:iCs w:val="false"/>
                <w:color w:val="000000"/>
                <w:kern w:val="0"/>
                <w:sz w:val="18"/>
                <w:szCs w:val="18"/>
                <w:u w:val="none"/>
                <w:lang w:val="en-US" w:eastAsia="zh-CN" w:bidi="ar"/>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付息</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1243.80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104.18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87.30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69.75</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50.85</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30.83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15.53</w:t>
            </w: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期末借款余额</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30640.00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2130.00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1750.00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1350.00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910.00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460.00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default"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2</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可用于还本付息的资金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6215.97</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542.48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541.15</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539.83</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538.51</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537.20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535.89</w:t>
            </w:r>
          </w:p>
        </w:tc>
      </w:tr>
      <w:tr>
        <w:trPr>
          <w:trHeight w:val="420" w:hRule="atLeast"/>
        </w:trPr>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指标</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利息备付率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5.21</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6.20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7.74</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10.59</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34.52</w:t>
            </w:r>
          </w:p>
        </w:tc>
      </w:tr>
      <w:tr>
        <w:trPr>
          <w:trHeight w:val="420" w:hRule="atLeast"/>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偿债备付率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1.14</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1.14</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1.16</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1.15</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w:t>
            </w:r>
          </w:p>
        </w:tc>
      </w:tr>
    </w:tbl>
    <w:p>
      <w:pPr>
        <w:rPr>
          <w:rFonts w:hint="eastAsia"/>
          <w:lang w:val="en-US" w:eastAsia="zh-CN"/>
        </w:rPr>
      </w:pPr>
      <w:r>
        <w:rPr>
          <w:rFonts w:hint="eastAsia"/>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bookmarkStart w:id="156" w:name="_Toc13125"/>
      <w:r>
        <w:rPr>
          <w:rFonts w:hint="eastAsia" w:ascii="宋体" w:hAnsi="宋体" w:eastAsia="宋体" w:cs="宋体"/>
          <w:b/>
          <w:bCs/>
          <w:i w:val="false"/>
          <w:iCs w:val="false"/>
          <w:color w:val="auto"/>
          <w:kern w:val="0"/>
          <w:sz w:val="28"/>
          <w:szCs w:val="28"/>
          <w:u w:val="none"/>
          <w:lang w:val="en-US" w:eastAsia="zh-CN"/>
        </w:rPr>
        <w:t>附表8：大成包装2025年7月10日—2025年10月10日用电量统计</w:t>
      </w:r>
      <w:bookmarkEnd w:id="156"/>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drawing>
          <wp:inline distT="0" distB="0" distL="114300" distR="114300">
            <wp:extent cx="8498840" cy="5051425"/>
            <wp:effectExtent l="0" t="0" r="10160" b="3175"/>
            <wp:docPr id="74" name="图片 6" descr="1"/>
            <wp:cNvGraphicFramePr>
              <a:graphicFrameLocks noChangeAspect="true"/>
            </wp:cNvGraphicFramePr>
            <a:graphic>
              <a:graphicData uri="http://schemas.openxmlformats.org/drawingml/2006/picture">
                <pic:pic>
                  <pic:nvPicPr>
                    <pic:cNvPr id="75" name="图片 6" descr="1"/>
                    <pic:cNvPicPr>
                      <a:picLocks noChangeAspect="true"/>
                    </pic:cNvPicPr>
                  </pic:nvPicPr>
                  <pic:blipFill>
                    <a:blip r:embed="rId30"/>
                    <a:stretch>
                      <a:fillRect/>
                    </a:stretch>
                  </pic:blipFill>
                  <pic:spPr>
                    <a:xfrm>
                      <a:off x="0" y="0"/>
                      <a:ext cx="8498840" cy="5051425"/>
                    </a:xfrm>
                    <a:prstGeom prst="rect">
                      <a:avLst/>
                    </a:prstGeom>
                  </pic:spPr>
                </pic:pic>
              </a:graphicData>
            </a:graphic>
          </wp:inline>
        </w:drawing>
      </w:r>
    </w:p>
    <w:p>
      <w:pPr>
        <w:jc w:val="both"/>
        <w:rPr>
          <w:rFonts w:hint="eastAsia"/>
          <w:lang w:val="en-US" w:eastAsia="zh-CN"/>
        </w:rPr>
      </w:pPr>
      <w:r>
        <w:rPr>
          <w:rFonts w:hint="eastAsia"/>
          <w:lang w:val="en-US" w:eastAsia="zh-CN"/>
        </w:rPr>
        <w:drawing>
          <wp:inline distT="0" distB="0" distL="114300" distR="114300">
            <wp:extent cx="8858250" cy="5059680"/>
            <wp:effectExtent l="0" t="0" r="6350" b="7620"/>
            <wp:docPr id="77" name="图片 7" descr="2"/>
            <wp:cNvGraphicFramePr>
              <a:graphicFrameLocks noChangeAspect="true"/>
            </wp:cNvGraphicFramePr>
            <a:graphic>
              <a:graphicData uri="http://schemas.openxmlformats.org/drawingml/2006/picture">
                <pic:pic>
                  <pic:nvPicPr>
                    <pic:cNvPr id="78" name="图片 7" descr="2"/>
                    <pic:cNvPicPr>
                      <a:picLocks noChangeAspect="true"/>
                    </pic:cNvPicPr>
                  </pic:nvPicPr>
                  <pic:blipFill>
                    <a:blip r:embed="rId31"/>
                    <a:stretch>
                      <a:fillRect/>
                    </a:stretch>
                  </pic:blipFill>
                  <pic:spPr>
                    <a:xfrm>
                      <a:off x="0" y="0"/>
                      <a:ext cx="8858250" cy="5059680"/>
                    </a:xfrm>
                    <a:prstGeom prst="rect">
                      <a:avLst/>
                    </a:prstGeom>
                  </pic:spPr>
                </pic:pic>
              </a:graphicData>
            </a:graphic>
          </wp:inline>
        </w:drawing>
      </w:r>
    </w:p>
    <w:p>
      <w:pPr>
        <w:jc w:val="both"/>
        <w:rPr>
          <w:rFonts w:hint="eastAsia"/>
          <w:lang w:val="en-US" w:eastAsia="zh-CN"/>
        </w:rPr>
      </w:pPr>
      <w:r>
        <w:rPr>
          <w:rFonts w:hint="eastAsia"/>
          <w:lang w:val="en-US" w:eastAsia="zh-CN"/>
        </w:rPr>
        <w:drawing>
          <wp:inline distT="0" distB="0" distL="114300" distR="114300">
            <wp:extent cx="8959215" cy="5044440"/>
            <wp:effectExtent l="0" t="0" r="6985" b="10160"/>
            <wp:docPr id="80" name="图片 9" descr="3"/>
            <wp:cNvGraphicFramePr>
              <a:graphicFrameLocks noChangeAspect="true"/>
            </wp:cNvGraphicFramePr>
            <a:graphic>
              <a:graphicData uri="http://schemas.openxmlformats.org/drawingml/2006/picture">
                <pic:pic>
                  <pic:nvPicPr>
                    <pic:cNvPr id="81" name="图片 9" descr="3"/>
                    <pic:cNvPicPr>
                      <a:picLocks noChangeAspect="true"/>
                    </pic:cNvPicPr>
                  </pic:nvPicPr>
                  <pic:blipFill>
                    <a:blip r:embed="rId32"/>
                    <a:stretch>
                      <a:fillRect/>
                    </a:stretch>
                  </pic:blipFill>
                  <pic:spPr>
                    <a:xfrm>
                      <a:off x="0" y="0"/>
                      <a:ext cx="8959215" cy="5044440"/>
                    </a:xfrm>
                    <a:prstGeom prst="rect">
                      <a:avLst/>
                    </a:prstGeom>
                  </pic:spPr>
                </pic:pic>
              </a:graphicData>
            </a:graphic>
          </wp:inline>
        </w:drawing>
      </w:r>
    </w:p>
    <w:sectPr>
      <w:pgSz w:w="16838" w:h="11906" w:orient="landscape"/>
      <w:pgMar w:top="1610" w:right="1440" w:bottom="1134"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http://schemas.openxmlformats.org/wordprocessingml/2006/main">
  <w:endnote w:type="continuationSeparator" w:id="0">
    <w:p>
      <w:pPr>
        <w:spacing w:line="240" w:lineRule="auto"/>
        <w:rPr/>
      </w:pPr>
      <w:r>
        <w:rPr/>
        <w:continuationSeparator/>
      </w:r>
    </w:p>
  </w:endnote>
  <w:endnote w:type="separator" w:id="1">
    <w:p>
      <w:pPr>
        <w:spacing w:line="240" w:lineRule="auto"/>
        <w:rPr/>
      </w:pPr>
      <w:r>
        <w:rPr/>
        <w:separator/>
      </w:r>
    </w:p>
  </w:endnote>
</w:endnotes>
</file>

<file path=word/fontTable.xml><?xml version="1.0" encoding="utf-8"?>
<w:fonts xmlns:w="http://schemas.openxmlformats.org/wordprocessingml/2006/main">
  <w:font w:name="楷体_GB2312">
    <w:altName w:val="楷体"/>
    <w:panose1 w:val="02010609030101010101"/>
    <w:charset w:val="86" w:characterSet="ISO-8859-1"/>
    <w:family w:val="modern"/>
    <w:pitch w:val="default"/>
    <w:sig w:usb0="00000000" w:usb1="00000000" w:usb2="00000000" w:usb3="00000000" w:csb0="00040000" w:csb1="00000000"/>
  </w:font>
  <w:font w:name="宋体">
    <w:panose1 w:val="02010600030101010101"/>
    <w:charset w:val="50" w:characterSet="ISO-8859-1"/>
    <w:family w:val="auto"/>
    <w:pitch w:val="default"/>
    <w:sig w:usb0="00000203" w:usb1="288F0000" w:usb2="00000006" w:usb3="00000000" w:csb0="00040001" w:csb1="00000000"/>
  </w:font>
  <w:font w:name="Arial">
    <w:panose1 w:val="020B0604020202020204"/>
    <w:charset w:val="01" w:characterSet="ISO-8859-1"/>
    <w:family w:val="swiss"/>
    <w:pitch w:val="default"/>
    <w:sig w:usb0="E0002EFF" w:usb1="C000785B" w:usb2="00000009" w:usb3="00000000" w:csb0="400001FF" w:csb1="FFFF0000"/>
  </w:font>
  <w:font w:name="Calibri">
    <w:panose1 w:val="020F0502020204030204"/>
    <w:charset w:val="00" w:characterSet="ISO-8859-1"/>
    <w:family w:val="swiss"/>
    <w:pitch w:val="default"/>
    <w:sig w:usb0="E4002EFF" w:usb1="C200247B" w:usb2="00000009" w:usb3="00000000" w:csb0="200001FF" w:csb1="00000000"/>
  </w:font>
  <w:font w:name="微软雅黑">
    <w:panose1 w:val="020B0503020204020204"/>
    <w:charset w:val="86" w:characterSet="ISO-8859-1"/>
    <w:family w:val="auto"/>
    <w:pitch w:val="default"/>
    <w:sig w:usb0="80000287" w:usb1="2ACF3C50" w:usb2="00000016" w:usb3="00000000" w:csb0="0004001F" w:csb1="00000000"/>
  </w:font>
  <w:font w:name="仿宋_GB2312">
    <w:altName w:val="仿宋"/>
    <w:panose1 w:val="02010609030101010101"/>
    <w:charset w:val="86" w:characterSet="ISO-8859-1"/>
    <w:family w:val="modern"/>
    <w:pitch w:val="default"/>
    <w:sig w:usb0="00000000" w:usb1="00000000" w:usb2="00000000" w:usb3="00000000" w:csb0="00040000" w:csb1="00000000"/>
  </w:font>
  <w:font w:name="Symbol">
    <w:panose1 w:val="05050102010706020507"/>
    <w:charset w:val="02" w:characterSet="ISO-8859-1"/>
    <w:family w:val="roman"/>
    <w:pitch w:val="default"/>
    <w:sig w:usb0="00000000" w:usb1="00000000" w:usb2="00000000" w:usb3="00000000" w:csb0="80000000" w:csb1="00000000"/>
  </w:font>
  <w:font w:name="黑体">
    <w:panose1 w:val="02010609060101010101"/>
    <w:charset w:val="86" w:characterSet="ISO-8859-1"/>
    <w:family w:val="auto"/>
    <w:pitch w:val="default"/>
    <w:sig w:usb0="800002BF" w:usb1="38CF7CFA" w:usb2="00000016" w:usb3="00000000" w:csb0="00040001" w:csb1="00000000"/>
  </w:font>
  <w:font w:name="Courier New">
    <w:panose1 w:val="02070309020205020404"/>
    <w:charset w:val="01" w:characterSet="ISO-8859-1"/>
    <w:family w:val="modern"/>
    <w:pitch w:val="default"/>
    <w:sig w:usb0="E0002EFF" w:usb1="C0007843" w:usb2="00000009" w:usb3="00000000" w:csb0="400001FF" w:csb1="FFFF0000"/>
  </w:font>
  <w:font w:name="楷体">
    <w:panose1 w:val="02010609060101010101"/>
    <w:charset w:val="86" w:characterSet="ISO-8859-1"/>
    <w:family w:val="auto"/>
    <w:pitch w:val="default"/>
    <w:sig w:usb0="800002BF" w:usb1="38CF7CFA" w:usb2="00000016" w:usb3="00000000" w:csb0="00040001" w:csb1="00000000"/>
  </w:font>
  <w:font w:name="仿宋">
    <w:panose1 w:val="02010609060101010101"/>
    <w:charset w:val="86" w:characterSet="ISO-8859-1"/>
    <w:family w:val="auto"/>
    <w:pitch w:val="default"/>
    <w:sig w:usb0="800002BF" w:usb1="38CF7CFA" w:usb2="00000016" w:usb3="00000000" w:csb0="00040001" w:csb1="00000000"/>
  </w:font>
  <w:font w:name="Tahoma">
    <w:panose1 w:val="020B0604030504040204"/>
    <w:charset w:val="00" w:characterSet="ISO-8859-1"/>
    <w:family w:val="auto"/>
    <w:pitch w:val="default"/>
    <w:sig w:usb0="E1002EFF" w:usb1="C000605B" w:usb2="00000029" w:usb3="00000000" w:csb0="200101FF" w:csb1="20280000"/>
  </w:font>
  <w:font w:name="Times New Roman">
    <w:panose1 w:val="02020603050405020304"/>
    <w:charset w:val="80" w:characterSet="ISO-8859-1"/>
    <w:family w:val="auto"/>
    <w:pitch w:val="default"/>
    <w:sig w:usb0="E0002EFF" w:usb1="C000785B" w:usb2="00000009" w:usb3="00000000" w:csb0="400001FF" w:csb1="FFFF0000"/>
  </w:font>
  <w:font w:name="Wingdings">
    <w:panose1 w:val="05000000000000000000"/>
    <w:charset w:val="02" w:characterSet="ISO-8859-1"/>
    <w:family w:val="auto"/>
    <w:pitch w:val="default"/>
    <w:sig w:usb0="00000000" w:usb1="00000000" w:usb2="00000000" w:usb3="00000000" w:csb0="80000000" w:csb1="00000000"/>
  </w:font>
  <w:font w:name="Leelawadee UI">
    <w:panose1 w:val="020B0502040204020203"/>
    <w:charset w:val="00" w:characterSet="ISO-8859-1"/>
    <w:family w:val="auto"/>
    <w:pitch w:val="default"/>
    <w:sig w:usb0="83000003" w:usb1="00000000" w:usb2="00010000" w:usb3="00000001" w:csb0="00010101" w:csb1="00000000"/>
  </w:font>
</w:fonts>
</file>

<file path=word/footer1.xml><?xml version="1.0" encoding="utf-8"?>
<w:ftr xmlns:a="http://schemas.openxmlformats.org/drawingml/2006/main" xmlns:w="http://schemas.openxmlformats.org/wordprocessingml/2006/main" xmlns:wps="http://schemas.microsoft.com/office/word/2010/wordprocessingShape" xmlns:wp="http://schemas.openxmlformats.org/drawingml/2006/wordprocessingDrawing" xmlns:mc="http://schemas.openxmlformats.org/markup-compatibility/2006" mc:Ignorable="wps">
  <w:p>
    <w:pPr>
      <w:pStyle w:val="00000f"/>
      <w:rPr/>
    </w:pPr>
    <w:r>
      <w:rPr>
        <w:sz w:val="18"/>
      </w:rPr>
      <w:drawing>
        <wp:anchor distT="0" distB="0" distL="114300" distR="114300" simplePos="false" relativeHeight="251659264"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83" name="文本框 3"/>
          <wp:cNvGraphicFramePr/>
          <a:graphic>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00000f"/>
                        <w:rPr/>
                      </w:pPr>
                      <w:r>
                        <w:rPr/>
                        <w:fldChar w:fldCharType="begin"/>
                      </w:r>
                      <w:r>
                        <w:rPr/>
                        <w:instrText xml:space="preserve"> PAGE  \* MERGEFORMAT </w:instrText>
                      </w:r>
                      <w:r>
                        <w:rPr/>
                        <w:fldChar w:fldCharType="separate"/>
                      </w:r>
                      <w:r>
                        <w:rPr/>
                        <w:t>1</w:t>
                      </w:r>
                      <w:r>
                        <w:rPr/>
                        <w:fldChar w:fldCharType="end"/>
                      </w:r>
                    </w:p>
                  </w:txbxContent>
                </wps:txbx>
                <wps:bodyPr rot="0" spcFirstLastPara="false" vertOverflow="overflow" horzOverflow="overflow" vert="horz" wrap="none" lIns="0" tIns="0" rIns="0" bIns="0" numCol="1" spcCol="0" rtlCol="false" fromWordArt="false" anchor="t" anchorCtr="false" forceAA="false" upright="false" compatLnSpc="true">
                  <a:spAutoFit/>
                </wps:bodyPr>
              </wps:wsp>
            </a:graphicData>
          </a:graphic>
        </wp:anchor>
      </w:drawing>
    </w:r>
  </w:p>
</w:ftr>
</file>

<file path=word/footnotes.xml><?xml version="1.0" encoding="utf-8"?>
<w:footnotes xmlns:w="http://schemas.openxmlformats.org/wordprocessingml/2006/main">
  <w:footnote w:type="continuationSeparator" w:id="0">
    <w:p>
      <w:pPr>
        <w:spacing w:line="240" w:lineRule="auto"/>
        <w:rPr/>
      </w:pPr>
      <w:r>
        <w:rPr/>
        <w:continuationSeparator/>
      </w:r>
    </w:p>
  </w:footnote>
  <w:footnote w:type="separator" w:id="1">
    <w:p>
      <w:pPr>
        <w:spacing w:line="240" w:lineRule="auto"/>
        <w:rPr/>
      </w:pPr>
      <w:r>
        <w:rPr/>
        <w:separator/>
      </w:r>
    </w:p>
  </w:footnote>
</w:footnotes>
</file>

<file path=word/settings.xml><?xml version="1.0" encoding="utf-8"?>
<w:settings xmlns:w="http://schemas.openxmlformats.org/wordprocessingml/2006/main">
  <w:zoom w:percent="100"/>
  <w:embedSystemFonts/>
  <w:bordersDoNotSurroundHeader w:val="false"/>
  <w:bordersDoNotSurroundFooter w:val="false"/>
  <w:documentProtection w:enforcement="false"/>
  <w:defaultTabStop w:val="420"/>
  <w:drawingGridVerticalSpacing w:val="156"/>
  <w:displayHorizontalDrawingGridEvery w:val="1"/>
  <w:displayVerticalDrawingGridEvery w:val="1"/>
  <w:noPunctuationKerning/>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doNotFlipMirrorIndents" w:uri="http://schemas.microsoft.com/office/word" w:val="1"/>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
  <w:docVars>
    <w:docVar w:name="commondata" w:val="eyJoZGlkIjoiMjg5Y2I0MjJhNjk2YTNkNTBmZDQzOWRjNmQ4ZWQxMjUifQ=="/>
    <w:docVar w:name="KSO_WPS_MARK_KEY" w:val="74114926-c3c3-48e1-ab3c-148467b7437e"/>
  </w:docVars>
  <w:rsids>
    <w:rsidRoot w:val="00000000"/>
    <w:rsid w:val="00000871"/>
    <w:rsid w:val="00276E33"/>
    <w:rsid w:val="003A6B66"/>
    <w:rsid w:val="007F6C6F"/>
    <w:rsid w:val="00AA3CEC"/>
    <w:rsid w:val="00BF0E19"/>
    <w:rsid w:val="00F00AF2"/>
    <w:rsid w:val="00F86A1F"/>
    <w:rsid w:val="00FF56BA"/>
    <w:rsid w:val="011854D6"/>
    <w:rsid w:val="01233A9E"/>
    <w:rsid w:val="01590227"/>
    <w:rsid w:val="017405AF"/>
    <w:rsid w:val="0198566A"/>
    <w:rsid w:val="01A2719B"/>
    <w:rsid w:val="02785724"/>
    <w:rsid w:val="028125AD"/>
    <w:rsid w:val="028669F8"/>
    <w:rsid w:val="030E5A2F"/>
    <w:rsid w:val="03766107"/>
    <w:rsid w:val="03B31109"/>
    <w:rsid w:val="03EF5EB9"/>
    <w:rsid w:val="047B1719"/>
    <w:rsid w:val="04854128"/>
    <w:rsid w:val="049F51EA"/>
    <w:rsid w:val="04D86DBD"/>
    <w:rsid w:val="053E00D1"/>
    <w:rsid w:val="058F1702"/>
    <w:rsid w:val="05A87C8C"/>
    <w:rsid w:val="05AD007F"/>
    <w:rsid w:val="05D666A6"/>
    <w:rsid w:val="05EB4D05"/>
    <w:rsid w:val="0622270A"/>
    <w:rsid w:val="066E1317"/>
    <w:rsid w:val="072D2F81"/>
    <w:rsid w:val="07612484"/>
    <w:rsid w:val="08017F69"/>
    <w:rsid w:val="087566B7"/>
    <w:rsid w:val="089B216C"/>
    <w:rsid w:val="08A234FA"/>
    <w:rsid w:val="08AA23AF"/>
    <w:rsid w:val="08B31F1F"/>
    <w:rsid w:val="09104908"/>
    <w:rsid w:val="09293C1C"/>
    <w:rsid w:val="093920B1"/>
    <w:rsid w:val="093F0D49"/>
    <w:rsid w:val="099F4BAF"/>
    <w:rsid w:val="09E85885"/>
    <w:rsid w:val="0A5F5B47"/>
    <w:rsid w:val="0A882AFE"/>
    <w:rsid w:val="0ACA55BE"/>
    <w:rsid w:val="0B185CF6"/>
    <w:rsid w:val="0B3643CE"/>
    <w:rsid w:val="0B8D2240"/>
    <w:rsid w:val="0C1F6495"/>
    <w:rsid w:val="0CA710DF"/>
    <w:rsid w:val="0CD506D6"/>
    <w:rsid w:val="0CE42333"/>
    <w:rsid w:val="0CFB142B"/>
    <w:rsid w:val="0DA815B3"/>
    <w:rsid w:val="0DFF01A7"/>
    <w:rsid w:val="0E0F5966"/>
    <w:rsid w:val="0E2A765C"/>
    <w:rsid w:val="0E325320"/>
    <w:rsid w:val="0E7771D7"/>
    <w:rsid w:val="0EF40828"/>
    <w:rsid w:val="0F38025F"/>
    <w:rsid w:val="0F9E1CEC"/>
    <w:rsid w:val="0FA55526"/>
    <w:rsid w:val="0FE30D65"/>
    <w:rsid w:val="10262C63"/>
    <w:rsid w:val="113D0264"/>
    <w:rsid w:val="11AB78C4"/>
    <w:rsid w:val="11D861DF"/>
    <w:rsid w:val="11DD2029"/>
    <w:rsid w:val="11ED4408"/>
    <w:rsid w:val="121A05A5"/>
    <w:rsid w:val="12E3308D"/>
    <w:rsid w:val="130D1EB8"/>
    <w:rsid w:val="132F795F"/>
    <w:rsid w:val="133728C5"/>
    <w:rsid w:val="13707696"/>
    <w:rsid w:val="137B4E47"/>
    <w:rsid w:val="13F319E8"/>
    <w:rsid w:val="13FB7F63"/>
    <w:rsid w:val="14116861"/>
    <w:rsid w:val="144933C4"/>
    <w:rsid w:val="147F6DE6"/>
    <w:rsid w:val="14A32263"/>
    <w:rsid w:val="14AA20B4"/>
    <w:rsid w:val="14E05AD6"/>
    <w:rsid w:val="151E7BE7"/>
    <w:rsid w:val="155B515D"/>
    <w:rsid w:val="15747FCD"/>
    <w:rsid w:val="15D45137"/>
    <w:rsid w:val="163836F0"/>
    <w:rsid w:val="163D0D06"/>
    <w:rsid w:val="16534086"/>
    <w:rsid w:val="16574965"/>
    <w:rsid w:val="165E3157"/>
    <w:rsid w:val="166B68BC"/>
    <w:rsid w:val="166C09FE"/>
    <w:rsid w:val="16897AA8"/>
    <w:rsid w:val="170535D2"/>
    <w:rsid w:val="17081314"/>
    <w:rsid w:val="17C04584"/>
    <w:rsid w:val="17D95B0F"/>
    <w:rsid w:val="18123EA2"/>
    <w:rsid w:val="18270379"/>
    <w:rsid w:val="18846779"/>
    <w:rsid w:val="19AC41D9"/>
    <w:rsid w:val="19BC5B82"/>
    <w:rsid w:val="1A156DAE"/>
    <w:rsid w:val="1A1846E1"/>
    <w:rsid w:val="1A424B3D"/>
    <w:rsid w:val="1A452F93"/>
    <w:rsid w:val="1A705206"/>
    <w:rsid w:val="1A8707A2"/>
    <w:rsid w:val="1A9315F3"/>
    <w:rsid w:val="1AC27A2C"/>
    <w:rsid w:val="1ACD08AB"/>
    <w:rsid w:val="1B1A33C4"/>
    <w:rsid w:val="1B6A5707"/>
    <w:rsid w:val="1B7A0CC2"/>
    <w:rsid w:val="1BBF5DF0"/>
    <w:rsid w:val="1BEA2D97"/>
    <w:rsid w:val="1BEB1F58"/>
    <w:rsid w:val="1C817B9F"/>
    <w:rsid w:val="1CE95744"/>
    <w:rsid w:val="1D531DAF"/>
    <w:rsid w:val="1D9B6AF0"/>
    <w:rsid w:val="1E1E766F"/>
    <w:rsid w:val="1E9E4585"/>
    <w:rsid w:val="1EC41FC5"/>
    <w:rsid w:val="1EF205A4"/>
    <w:rsid w:val="1F026649"/>
    <w:rsid w:val="1F0C3210"/>
    <w:rsid w:val="1F4871EC"/>
    <w:rsid w:val="1FB5190D"/>
    <w:rsid w:val="201C7BDE"/>
    <w:rsid w:val="204719C1"/>
    <w:rsid w:val="206C2DC3"/>
    <w:rsid w:val="20904294"/>
    <w:rsid w:val="209459C7"/>
    <w:rsid w:val="213F0657"/>
    <w:rsid w:val="217512E3"/>
    <w:rsid w:val="226338A3"/>
    <w:rsid w:val="23492CED"/>
    <w:rsid w:val="23A14683"/>
    <w:rsid w:val="23BE3486"/>
    <w:rsid w:val="23D56D8B"/>
    <w:rsid w:val="23DB7500"/>
    <w:rsid w:val="244905A6"/>
    <w:rsid w:val="24977834"/>
    <w:rsid w:val="24A26904"/>
    <w:rsid w:val="24BC729A"/>
    <w:rsid w:val="24EE4B38"/>
    <w:rsid w:val="24F06F8E"/>
    <w:rsid w:val="25080F6A"/>
    <w:rsid w:val="25381095"/>
    <w:rsid w:val="253B4663"/>
    <w:rsid w:val="25542B36"/>
    <w:rsid w:val="25636D77"/>
    <w:rsid w:val="259605E0"/>
    <w:rsid w:val="25F84A15"/>
    <w:rsid w:val="26235823"/>
    <w:rsid w:val="26377520"/>
    <w:rsid w:val="269C55D5"/>
    <w:rsid w:val="269F1099"/>
    <w:rsid w:val="279278A0"/>
    <w:rsid w:val="280451E0"/>
    <w:rsid w:val="281178FD"/>
    <w:rsid w:val="2838132E"/>
    <w:rsid w:val="283F16DD"/>
    <w:rsid w:val="284D7A15"/>
    <w:rsid w:val="2859082E"/>
    <w:rsid w:val="28C8445F"/>
    <w:rsid w:val="28DE0127"/>
    <w:rsid w:val="295220ED"/>
    <w:rsid w:val="29656152"/>
    <w:rsid w:val="29AD2DF9"/>
    <w:rsid w:val="29E4176D"/>
    <w:rsid w:val="2A0E0598"/>
    <w:rsid w:val="2A4C284B"/>
    <w:rsid w:val="2A9F5694"/>
    <w:rsid w:val="2B202325"/>
    <w:rsid w:val="2B6C37C8"/>
    <w:rsid w:val="2B730DE7"/>
    <w:rsid w:val="2B844FB6"/>
    <w:rsid w:val="2BFD08C4"/>
    <w:rsid w:val="2C4C35F9"/>
    <w:rsid w:val="2C525485"/>
    <w:rsid w:val="2C680433"/>
    <w:rsid w:val="2CA60F5C"/>
    <w:rsid w:val="2CDF7FCA"/>
    <w:rsid w:val="2D664671"/>
    <w:rsid w:val="2D7A1670"/>
    <w:rsid w:val="2D990F72"/>
    <w:rsid w:val="2DC87FA5"/>
    <w:rsid w:val="2E320542"/>
    <w:rsid w:val="2F261EE0"/>
    <w:rsid w:val="2F8E3583"/>
    <w:rsid w:val="2FFD2D9D"/>
    <w:rsid w:val="303932A5"/>
    <w:rsid w:val="30444D13"/>
    <w:rsid w:val="31644EEA"/>
    <w:rsid w:val="317732C2"/>
    <w:rsid w:val="3184468B"/>
    <w:rsid w:val="3246740A"/>
    <w:rsid w:val="32827D75"/>
    <w:rsid w:val="328C4750"/>
    <w:rsid w:val="32B515DD"/>
    <w:rsid w:val="33071375"/>
    <w:rsid w:val="33185FE3"/>
    <w:rsid w:val="3337290D"/>
    <w:rsid w:val="3422536C"/>
    <w:rsid w:val="346F60D7"/>
    <w:rsid w:val="34931537"/>
    <w:rsid w:val="34AB04B7"/>
    <w:rsid w:val="35260DFF"/>
    <w:rsid w:val="35E06B6A"/>
    <w:rsid w:val="35F26FC0"/>
    <w:rsid w:val="369E5C39"/>
    <w:rsid w:val="36FD79CA"/>
    <w:rsid w:val="37737C8C"/>
    <w:rsid w:val="37A61E10"/>
    <w:rsid w:val="37C52BDE"/>
    <w:rsid w:val="37DE7398"/>
    <w:rsid w:val="383C09C6"/>
    <w:rsid w:val="384C5A92"/>
    <w:rsid w:val="38696D18"/>
    <w:rsid w:val="386E0C42"/>
    <w:rsid w:val="386F1D36"/>
    <w:rsid w:val="38D570C3"/>
    <w:rsid w:val="38ED4133"/>
    <w:rsid w:val="394C4C39"/>
    <w:rsid w:val="3960579A"/>
    <w:rsid w:val="397F0B6A"/>
    <w:rsid w:val="39C944DB"/>
    <w:rsid w:val="39E21E54"/>
    <w:rsid w:val="3A254889"/>
    <w:rsid w:val="3A993EAE"/>
    <w:rsid w:val="3ABD5E67"/>
    <w:rsid w:val="3AC542D5"/>
    <w:rsid w:val="3B070A7D"/>
    <w:rsid w:val="3B922EDF"/>
    <w:rsid w:val="3BA526F6"/>
    <w:rsid w:val="3BEC0297"/>
    <w:rsid w:val="3C027033"/>
    <w:rsid w:val="3C8446EA"/>
    <w:rsid w:val="3CC0731A"/>
    <w:rsid w:val="3D0F66A9"/>
    <w:rsid w:val="3D8F1598"/>
    <w:rsid w:val="3DC01751"/>
    <w:rsid w:val="3DF80EEB"/>
    <w:rsid w:val="3F185CE9"/>
    <w:rsid w:val="3F3276DC"/>
    <w:rsid w:val="3F565EE8"/>
    <w:rsid w:val="3F5860E5"/>
    <w:rsid w:val="3F8418F6"/>
    <w:rsid w:val="3FA94B93"/>
    <w:rsid w:val="3FE73128"/>
    <w:rsid w:val="400E49F6"/>
    <w:rsid w:val="40300E10"/>
    <w:rsid w:val="409A6AE6"/>
    <w:rsid w:val="40D75730"/>
    <w:rsid w:val="40F97472"/>
    <w:rsid w:val="41061B71"/>
    <w:rsid w:val="410D4CAE"/>
    <w:rsid w:val="413D1BB0"/>
    <w:rsid w:val="414556C6"/>
    <w:rsid w:val="41475031"/>
    <w:rsid w:val="415832F8"/>
    <w:rsid w:val="419E1093"/>
    <w:rsid w:val="41C2018E"/>
    <w:rsid w:val="41D852BC"/>
    <w:rsid w:val="41ED05C6"/>
    <w:rsid w:val="42312C1E"/>
    <w:rsid w:val="42894808"/>
    <w:rsid w:val="42A9218F"/>
    <w:rsid w:val="42AF56AF"/>
    <w:rsid w:val="4352404F"/>
    <w:rsid w:val="437454B8"/>
    <w:rsid w:val="43B62A59"/>
    <w:rsid w:val="43B753A5"/>
    <w:rsid w:val="43DD111E"/>
    <w:rsid w:val="44613C8E"/>
    <w:rsid w:val="449F0313"/>
    <w:rsid w:val="453749EF"/>
    <w:rsid w:val="4545387C"/>
    <w:rsid w:val="457E261E"/>
    <w:rsid w:val="45B24076"/>
    <w:rsid w:val="45BB22F1"/>
    <w:rsid w:val="46072613"/>
    <w:rsid w:val="46210CC6"/>
    <w:rsid w:val="462C66C9"/>
    <w:rsid w:val="465F41FD"/>
    <w:rsid w:val="466510E8"/>
    <w:rsid w:val="469240A5"/>
    <w:rsid w:val="46EB3CE3"/>
    <w:rsid w:val="46FB3202"/>
    <w:rsid w:val="474E2E70"/>
    <w:rsid w:val="47A5361A"/>
    <w:rsid w:val="47E946A7"/>
    <w:rsid w:val="47FE76D1"/>
    <w:rsid w:val="4805359A"/>
    <w:rsid w:val="4840638E"/>
    <w:rsid w:val="48757D08"/>
    <w:rsid w:val="48833275"/>
    <w:rsid w:val="48D12A65"/>
    <w:rsid w:val="4965742B"/>
    <w:rsid w:val="496B2EB9"/>
    <w:rsid w:val="499A66C0"/>
    <w:rsid w:val="49CE4465"/>
    <w:rsid w:val="4A196CF5"/>
    <w:rsid w:val="4A431740"/>
    <w:rsid w:val="4B667DDC"/>
    <w:rsid w:val="4BAA3732"/>
    <w:rsid w:val="4C2E7CCC"/>
    <w:rsid w:val="4C5D5CF6"/>
    <w:rsid w:val="4C6A6F94"/>
    <w:rsid w:val="4CA77A88"/>
    <w:rsid w:val="4CBE2E20"/>
    <w:rsid w:val="4CFE5C0C"/>
    <w:rsid w:val="4D325C6C"/>
    <w:rsid w:val="4D5A571F"/>
    <w:rsid w:val="4D7A7B6F"/>
    <w:rsid w:val="4D8600A4"/>
    <w:rsid w:val="4D8C4B13"/>
    <w:rsid w:val="4D930C30"/>
    <w:rsid w:val="4DA47DE9"/>
    <w:rsid w:val="4E0F02B7"/>
    <w:rsid w:val="4EB1136E"/>
    <w:rsid w:val="4EEC23A6"/>
    <w:rsid w:val="4F1920A0"/>
    <w:rsid w:val="4F691C49"/>
    <w:rsid w:val="4F777D03"/>
    <w:rsid w:val="4F812059"/>
    <w:rsid w:val="4F983C1B"/>
    <w:rsid w:val="4FA709C3"/>
    <w:rsid w:val="4FAC3EAB"/>
    <w:rsid w:val="50007ACD"/>
    <w:rsid w:val="500B41B1"/>
    <w:rsid w:val="50240068"/>
    <w:rsid w:val="50252D29"/>
    <w:rsid w:val="503F0996"/>
    <w:rsid w:val="50515E4B"/>
    <w:rsid w:val="50EA6DB9"/>
    <w:rsid w:val="50FE76EC"/>
    <w:rsid w:val="51165913"/>
    <w:rsid w:val="5118277B"/>
    <w:rsid w:val="513A1AEF"/>
    <w:rsid w:val="514E559A"/>
    <w:rsid w:val="516A23F3"/>
    <w:rsid w:val="51791EEB"/>
    <w:rsid w:val="519C6BF2"/>
    <w:rsid w:val="51FC55B1"/>
    <w:rsid w:val="52067C23"/>
    <w:rsid w:val="52342D13"/>
    <w:rsid w:val="523D0814"/>
    <w:rsid w:val="52642B9B"/>
    <w:rsid w:val="53D855EF"/>
    <w:rsid w:val="541C0185"/>
    <w:rsid w:val="543C3357"/>
    <w:rsid w:val="546D5D37"/>
    <w:rsid w:val="547A7D75"/>
    <w:rsid w:val="54C47921"/>
    <w:rsid w:val="54DE7D82"/>
    <w:rsid w:val="560650D6"/>
    <w:rsid w:val="560A5808"/>
    <w:rsid w:val="56443BC7"/>
    <w:rsid w:val="56C500AD"/>
    <w:rsid w:val="577477EE"/>
    <w:rsid w:val="57A2219C"/>
    <w:rsid w:val="57A91349"/>
    <w:rsid w:val="57C32112"/>
    <w:rsid w:val="57CC7219"/>
    <w:rsid w:val="583D3C73"/>
    <w:rsid w:val="5A47527D"/>
    <w:rsid w:val="5A6E45B7"/>
    <w:rsid w:val="5AA1498D"/>
    <w:rsid w:val="5AE54EDC"/>
    <w:rsid w:val="5B6D486F"/>
    <w:rsid w:val="5B932866"/>
    <w:rsid w:val="5BCA7F13"/>
    <w:rsid w:val="5C1F54B9"/>
    <w:rsid w:val="5C6E089F"/>
    <w:rsid w:val="5CBB0025"/>
    <w:rsid w:val="5CEF46C8"/>
    <w:rsid w:val="5D0255A9"/>
    <w:rsid w:val="5D215911"/>
    <w:rsid w:val="5D982B15"/>
    <w:rsid w:val="5DD82F19"/>
    <w:rsid w:val="5E155921"/>
    <w:rsid w:val="5E4556A0"/>
    <w:rsid w:val="5E4D0988"/>
    <w:rsid w:val="5E6F6B50"/>
    <w:rsid w:val="5E816FDD"/>
    <w:rsid w:val="5E897C12"/>
    <w:rsid w:val="5E987E55"/>
    <w:rsid w:val="5EB1239D"/>
    <w:rsid w:val="5EBA4D17"/>
    <w:rsid w:val="5EDE1337"/>
    <w:rsid w:val="5F222469"/>
    <w:rsid w:val="5F357D99"/>
    <w:rsid w:val="5F6D46B6"/>
    <w:rsid w:val="5F8E0A77"/>
    <w:rsid w:val="5F93686E"/>
    <w:rsid w:val="5F994316"/>
    <w:rsid w:val="5FA30C8D"/>
    <w:rsid w:val="5FEF0574"/>
    <w:rsid w:val="5FFC716E"/>
    <w:rsid w:val="600960BD"/>
    <w:rsid w:val="600E201D"/>
    <w:rsid w:val="60591866"/>
    <w:rsid w:val="605F052B"/>
    <w:rsid w:val="60BB42CE"/>
    <w:rsid w:val="61313E32"/>
    <w:rsid w:val="613A51F3"/>
    <w:rsid w:val="61655E91"/>
    <w:rsid w:val="618B5A4F"/>
    <w:rsid w:val="61DD02D7"/>
    <w:rsid w:val="61F60880"/>
    <w:rsid w:val="62BE1E54"/>
    <w:rsid w:val="631A2B9C"/>
    <w:rsid w:val="632F68AE"/>
    <w:rsid w:val="635C3B47"/>
    <w:rsid w:val="639037F0"/>
    <w:rsid w:val="63A64DC2"/>
    <w:rsid w:val="63AF7503"/>
    <w:rsid w:val="64882719"/>
    <w:rsid w:val="64A01811"/>
    <w:rsid w:val="64E831B8"/>
    <w:rsid w:val="65075D34"/>
    <w:rsid w:val="651E6BDA"/>
    <w:rsid w:val="65702D9F"/>
    <w:rsid w:val="65921AA2"/>
    <w:rsid w:val="65D75707"/>
    <w:rsid w:val="6618187B"/>
    <w:rsid w:val="661F0E5C"/>
    <w:rsid w:val="66456B14"/>
    <w:rsid w:val="66C11F13"/>
    <w:rsid w:val="66D659BE"/>
    <w:rsid w:val="66F81DD8"/>
    <w:rsid w:val="67391614"/>
    <w:rsid w:val="67E704B4"/>
    <w:rsid w:val="68127258"/>
    <w:rsid w:val="686139AD"/>
    <w:rsid w:val="68A70650"/>
    <w:rsid w:val="696077C1"/>
    <w:rsid w:val="69787200"/>
    <w:rsid w:val="697C5825"/>
    <w:rsid w:val="697D65C5"/>
    <w:rsid w:val="699F76FF"/>
    <w:rsid w:val="69CE6E20"/>
    <w:rsid w:val="6A132060"/>
    <w:rsid w:val="6A9260A0"/>
    <w:rsid w:val="6AD40467"/>
    <w:rsid w:val="6B364C7D"/>
    <w:rsid w:val="6B3D4C00"/>
    <w:rsid w:val="6B7D0AFE"/>
    <w:rsid w:val="6B9419A4"/>
    <w:rsid w:val="6BC77FCB"/>
    <w:rsid w:val="6BE41585"/>
    <w:rsid w:val="6C1256EA"/>
    <w:rsid w:val="6C1476AE"/>
    <w:rsid w:val="6C3A254B"/>
    <w:rsid w:val="6CAB169B"/>
    <w:rsid w:val="6CBE2DF9"/>
    <w:rsid w:val="6D050DAB"/>
    <w:rsid w:val="6D46375B"/>
    <w:rsid w:val="6D967C55"/>
    <w:rsid w:val="6DAA54AF"/>
    <w:rsid w:val="6DC413FE"/>
    <w:rsid w:val="6DFD1A82"/>
    <w:rsid w:val="6E076D69"/>
    <w:rsid w:val="6E62222D"/>
    <w:rsid w:val="6E7F14AD"/>
    <w:rsid w:val="6E89242D"/>
    <w:rsid w:val="6EE449F0"/>
    <w:rsid w:val="6EEB3FD1"/>
    <w:rsid w:val="6F253543"/>
    <w:rsid w:val="6F437969"/>
    <w:rsid w:val="6F926B42"/>
    <w:rsid w:val="6FC52A74"/>
    <w:rsid w:val="6FC565D0"/>
    <w:rsid w:val="6FDE4B71"/>
    <w:rsid w:val="709F5073"/>
    <w:rsid w:val="70DF5DB7"/>
    <w:rsid w:val="710769A7"/>
    <w:rsid w:val="71B66B18"/>
    <w:rsid w:val="723742E5"/>
    <w:rsid w:val="72604CD6"/>
    <w:rsid w:val="72DF5BFA"/>
    <w:rsid w:val="72F62F44"/>
    <w:rsid w:val="7304539B"/>
    <w:rsid w:val="731B5B01"/>
    <w:rsid w:val="735544D4"/>
    <w:rsid w:val="735E3EDB"/>
    <w:rsid w:val="73B74C9B"/>
    <w:rsid w:val="73D239B1"/>
    <w:rsid w:val="73D2750D"/>
    <w:rsid w:val="73E84818"/>
    <w:rsid w:val="741A77EC"/>
    <w:rsid w:val="742D4BB0"/>
    <w:rsid w:val="744523D5"/>
    <w:rsid w:val="745B7503"/>
    <w:rsid w:val="74A907A6"/>
    <w:rsid w:val="74AE1682"/>
    <w:rsid w:val="74B17A6A"/>
    <w:rsid w:val="752C70F1"/>
    <w:rsid w:val="7548217D"/>
    <w:rsid w:val="75846F2D"/>
    <w:rsid w:val="75BC66C7"/>
    <w:rsid w:val="75ED4AD2"/>
    <w:rsid w:val="76034BED"/>
    <w:rsid w:val="76601FDC"/>
    <w:rsid w:val="76B4114C"/>
    <w:rsid w:val="76D610EF"/>
    <w:rsid w:val="771A18F7"/>
    <w:rsid w:val="774553A6"/>
    <w:rsid w:val="776F591B"/>
    <w:rsid w:val="77B24750"/>
    <w:rsid w:val="77C81353"/>
    <w:rsid w:val="77D01FB6"/>
    <w:rsid w:val="78484242"/>
    <w:rsid w:val="7872306D"/>
    <w:rsid w:val="78E55401"/>
    <w:rsid w:val="78EF49CB"/>
    <w:rsid w:val="78F41CD4"/>
    <w:rsid w:val="79774D59"/>
    <w:rsid w:val="79E20842"/>
    <w:rsid w:val="79F00974"/>
    <w:rsid w:val="79FC7092"/>
    <w:rsid w:val="7A2E133F"/>
    <w:rsid w:val="7A682979"/>
    <w:rsid w:val="7B66217C"/>
    <w:rsid w:val="7B762E74"/>
    <w:rsid w:val="7BDA1655"/>
    <w:rsid w:val="7BE81FC4"/>
    <w:rsid w:val="7BF344C5"/>
    <w:rsid w:val="7BFD5343"/>
    <w:rsid w:val="7C1D1542"/>
    <w:rsid w:val="7C2154D6"/>
    <w:rsid w:val="7C6815AF"/>
    <w:rsid w:val="7CD460A4"/>
    <w:rsid w:val="7CDB5685"/>
    <w:rsid w:val="7D237AA8"/>
    <w:rsid w:val="7DD547CA"/>
    <w:rsid w:val="7DF05680"/>
    <w:rsid w:val="7E3B648D"/>
    <w:rsid w:val="7E67175F"/>
    <w:rsid w:val="7EB70333"/>
    <w:rsid w:val="7EE12CFA"/>
    <w:rsid w:val="7F0C1437"/>
    <w:rsid w:val="7F3472CE"/>
    <w:rsid w:val="7F5434CC"/>
    <w:rsid w:val="7F71399A"/>
    <w:rsid w:val="7F7E1C1E"/>
    <w:rsid w:val="7FB64187"/>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w="http://schemas.openxmlformats.org/wordprocessingml/2006/main">
  <w:docDefaults>
    <w:rPrDefault>
      <w:rPr>
        <w:rFonts w:ascii="Times New Roman" w:hAnsi="Times New Roman" w:eastAsia="宋体" w:cs="Times New Roman"/>
      </w:rPr>
    </w:rPrDefault>
    <w:pPrDefault/>
  </w:docDefaults>
  <w:latentStyles w:defLockedState="false" w:defUIPriority="99" w:defSemiHidden="true" w:defUnhideWhenUsed="true" w:defQFormat="false" w:count="260">
    <w:lsdException w:name="Dark List Accent 2" w:uiPriority="70" w:semiHidden="false" w:unhideWhenUsed="false"/>
    <w:lsdException w:name="index 7" w:uiPriority="0" w:semiHidden="false" w:unhideWhenUsed="false"/>
    <w:lsdException w:name="HTML Address" w:uiPriority="0" w:semiHidden="false" w:unhideWhenUsed="false"/>
    <w:lsdException w:name="Emphasis" w:uiPriority="0" w:semiHidden="false" w:unhideWhenUsed="false" w:qFormat="true"/>
    <w:lsdException w:name="Table List 1" w:uiPriority="0" w:semiHidden="false" w:unhideWhenUsed="false"/>
    <w:lsdException w:name="Table Columns 1" w:uiPriority="0" w:semiHidden="false" w:unhideWhenUsed="false"/>
    <w:lsdException w:name="Medium List 1 Accent 5" w:uiPriority="65" w:semiHidden="false" w:unhideWhenUsed="false"/>
    <w:lsdException w:name="Table Simple 1" w:uiPriority="0" w:semiHidden="false" w:unhideWhenUsed="false"/>
    <w:lsdException w:name="Medium Grid 3 Accent 2" w:uiPriority="69" w:semiHidden="false" w:unhideWhenUsed="false"/>
    <w:lsdException w:name="index 4" w:uiPriority="0" w:semiHidden="false" w:unhideWhenUsed="false"/>
    <w:lsdException w:name="Table Grid 6" w:uiPriority="0" w:semiHidden="false" w:unhideWhenUsed="false"/>
    <w:lsdException w:name="Table List 3" w:uiPriority="0" w:semiHidden="false" w:unhideWhenUsed="false"/>
    <w:lsdException w:name="Table Colorful 2" w:uiPriority="0" w:semiHidden="false" w:unhideWhenUsed="false"/>
    <w:lsdException w:name="Medium Grid 2 Accent 5" w:uiPriority="68" w:semiHidden="false" w:unhideWhenUsed="false"/>
    <w:lsdException w:name="Colorful Grid Accent 6" w:uiPriority="73" w:semiHidden="false" w:unhideWhenUsed="false"/>
    <w:lsdException w:name="Table Professional" w:uiPriority="0" w:semiHidden="false" w:unhideWhenUsed="false"/>
    <w:lsdException w:name="toc 3" w:uiPriority="0" w:semiHidden="false" w:unhideWhenUsed="false"/>
    <w:lsdException w:name="header" w:uiPriority="99" w:semiHidden="false" w:unhideWhenUsed="false" w:qFormat="true"/>
    <w:lsdException w:name="Table Grid 5" w:uiPriority="0" w:semiHidden="false" w:unhideWhenUsed="false"/>
    <w:lsdException w:name="Medium Shading 2 Accent 4" w:uiPriority="64" w:semiHidden="false" w:unhideWhenUsed="false"/>
    <w:lsdException w:name="List 5" w:uiPriority="0" w:semiHidden="false" w:unhideWhenUsed="false"/>
    <w:lsdException w:name="Colorful List Accent 1" w:uiPriority="72" w:semiHidden="false" w:unhideWhenUsed="false"/>
    <w:lsdException w:name="List Bullet 3" w:uiPriority="0" w:semiHidden="false" w:unhideWhenUsed="false"/>
    <w:lsdException w:name="Colorful List Accent 4" w:uiPriority="72" w:semiHidden="false" w:unhideWhenUsed="false"/>
    <w:lsdException w:name="List Number 5" w:uiPriority="0" w:semiHidden="false" w:unhideWhenUsed="false"/>
    <w:lsdException w:name="Medium List 2" w:uiPriority="66" w:semiHidden="false" w:unhideWhenUsed="false"/>
    <w:lsdException w:name="Medium Grid 1 Accent 6" w:uiPriority="67" w:semiHidden="false" w:unhideWhenUsed="false"/>
    <w:lsdException w:name="Table List 4" w:uiPriority="0" w:semiHidden="false" w:unhideWhenUsed="false"/>
    <w:lsdException w:name="Light Shading Accent 3" w:uiPriority="60" w:semiHidden="false" w:unhideWhenUsed="false"/>
    <w:lsdException w:name="List Bullet" w:uiPriority="0" w:semiHidden="false" w:unhideWhenUsed="false"/>
    <w:lsdException w:name="Normal" w:uiPriority="0" w:semiHidden="false" w:unhideWhenUsed="false" w:qFormat="true"/>
    <w:lsdException w:name="toa heading" w:uiPriority="0" w:semiHidden="false" w:unhideWhenUsed="false"/>
    <w:lsdException w:name="Medium Shading 2 Accent 1" w:uiPriority="64" w:semiHidden="false" w:unhideWhenUsed="false"/>
    <w:lsdException w:name="Table Web 3" w:uiPriority="0" w:semiHidden="false" w:unhideWhenUsed="false"/>
    <w:lsdException w:name="Normal Table" w:uiPriority="99" w:semiHidden="false" w:unhideWhenUsed="false" w:qFormat="true"/>
    <w:lsdException w:name="List Number" w:uiPriority="0" w:semiHidden="false" w:unhideWhenUsed="false"/>
    <w:lsdException w:name="toc 5" w:uiPriority="0" w:semiHidden="false" w:unhideWhenUsed="false"/>
    <w:lsdException w:name="List Paragraph" w:uiPriority="1" w:semiHidden="false" w:unhideWhenUsed="false" w:qFormat="true"/>
    <w:lsdException w:name="Medium Grid 2 Accent 2" w:uiPriority="68" w:semiHidden="false" w:unhideWhenUsed="false"/>
    <w:lsdException w:name="Colorful Grid Accent 5" w:uiPriority="73" w:semiHidden="false" w:unhideWhenUsed="false"/>
    <w:lsdException w:name="Note Heading" w:uiPriority="0" w:semiHidden="false" w:unhideWhenUsed="false"/>
    <w:lsdException w:name="Medium List 2 Accent 2" w:uiPriority="66" w:semiHidden="false" w:unhideWhenUsed="false"/>
    <w:lsdException w:name="HTML Sample" w:uiPriority="0" w:semiHidden="false" w:unhideWhenUsed="false"/>
    <w:lsdException w:name="List Bullet 4" w:uiPriority="0" w:semiHidden="false" w:unhideWhenUsed="false"/>
    <w:lsdException w:name="Medium List 2 Accent 6" w:uiPriority="66" w:semiHidden="false" w:unhideWhenUsed="false"/>
    <w:lsdException w:name="envelope address" w:uiPriority="0" w:semiHidden="false" w:unhideWhenUsed="false"/>
    <w:lsdException w:name="Medium Shading 1 Accent 5" w:uiPriority="63" w:semiHidden="false" w:unhideWhenUsed="false"/>
    <w:lsdException w:name="Body Text First Indent" w:uiPriority="0" w:semiHidden="false" w:unhideWhenUsed="false"/>
    <w:lsdException w:name="Light List Accent 1" w:uiPriority="61" w:semiHidden="false" w:unhideWhenUsed="false"/>
    <w:lsdException w:name="Body Text Indent" w:uiPriority="99" w:semiHidden="false" w:unhideWhenUsed="false" w:qFormat="true"/>
    <w:lsdException w:name="Medium Grid 1 Accent 5" w:uiPriority="67" w:semiHidden="false" w:unhideWhenUsed="false"/>
    <w:lsdException w:name="Block Text" w:uiPriority="0" w:semiHidden="false" w:unhideWhenUsed="false"/>
    <w:lsdException w:name="macro" w:uiPriority="0" w:semiHidden="false" w:unhideWhenUsed="false"/>
    <w:lsdException w:name="index 1" w:uiPriority="0" w:semiHidden="false" w:unhideWhenUsed="false"/>
    <w:lsdException w:name="annotation reference" w:uiPriority="0" w:semiHidden="false" w:unhideWhenUsed="false"/>
    <w:lsdException w:name="index 8" w:uiPriority="0" w:semiHidden="false" w:unhideWhenUsed="false"/>
    <w:lsdException w:name="Medium Shading 2 Accent 3" w:uiPriority="64" w:semiHidden="false" w:unhideWhenUsed="false"/>
    <w:lsdException w:name="Medium Shading 1 Accent 3" w:uiPriority="63" w:semiHidden="false" w:unhideWhenUsed="false"/>
    <w:lsdException w:name="Medium Grid 3" w:uiPriority="69" w:semiHidden="false" w:unhideWhenUsed="false"/>
    <w:lsdException w:name="footer" w:uiPriority="99" w:semiHidden="false" w:unhideWhenUsed="false" w:qFormat="true"/>
    <w:lsdException w:name="Default Paragraph Font" w:uiPriority="1" w:semiHidden="false" w:unhideWhenUsed="false" w:qFormat="true"/>
    <w:lsdException w:name="Table Grid 2" w:uiPriority="0" w:semiHidden="false" w:unhideWhenUsed="false"/>
    <w:lsdException w:name="Medium List 2 Accent 4" w:uiPriority="66" w:semiHidden="false" w:unhideWhenUsed="false"/>
    <w:lsdException w:name="Table List 6" w:uiPriority="0" w:semiHidden="false" w:unhideWhenUsed="false"/>
    <w:lsdException w:name="Medium Grid 2 Accent 1" w:uiPriority="68" w:semiHidden="false" w:unhideWhenUsed="false"/>
    <w:lsdException w:name="Light Shading Accent 4" w:uiPriority="60" w:semiHidden="false" w:unhideWhenUsed="false"/>
    <w:lsdException w:name="heading 1" w:uiPriority="9" w:semiHidden="false" w:unhideWhenUsed="false" w:qFormat="true"/>
    <w:lsdException w:name="Table 3D effects 2" w:uiPriority="0" w:semiHidden="false" w:unhideWhenUsed="false"/>
    <w:lsdException w:name="heading 8" w:uiPriority="0" w:qFormat="true"/>
    <w:lsdException w:name="Table List 2" w:uiPriority="0" w:semiHidden="false" w:unhideWhenUsed="false"/>
    <w:lsdException w:name="Colorful Grid Accent 4" w:uiPriority="73" w:semiHidden="false" w:unhideWhenUsed="false"/>
    <w:lsdException w:name="Medium Shading 1 Accent 2" w:uiPriority="63" w:semiHidden="false" w:unhideWhenUsed="false"/>
    <w:lsdException w:name="List Number 4" w:uiPriority="0" w:semiHidden="false" w:unhideWhenUsed="false"/>
    <w:lsdException w:name="List 3" w:uiPriority="0" w:semiHidden="false" w:unhideWhenUsed="false"/>
    <w:lsdException w:name="Light Shading Accent 5" w:uiPriority="60" w:semiHidden="false" w:unhideWhenUsed="false"/>
    <w:lsdException w:name="Light Grid" w:uiPriority="62" w:semiHidden="false" w:unhideWhenUsed="false"/>
    <w:lsdException w:name="Table Colorful 1" w:uiPriority="0" w:semiHidden="false" w:unhideWhenUsed="false"/>
    <w:lsdException w:name="Salutation" w:uiPriority="0" w:semiHidden="false" w:unhideWhenUsed="false"/>
    <w:lsdException w:name="endnote text" w:uiPriority="0" w:semiHidden="false" w:unhideWhenUsed="false"/>
    <w:lsdException w:name="Table Web 2" w:uiPriority="0" w:semiHidden="false" w:unhideWhenUsed="false"/>
    <w:lsdException w:name="HTML Variable" w:uiPriority="0" w:semiHidden="false" w:unhideWhenUsed="false"/>
    <w:lsdException w:name="List" w:uiPriority="0" w:semiHidden="false" w:unhideWhenUsed="false"/>
    <w:lsdException w:name="Medium Grid 3 Accent 3" w:uiPriority="69" w:semiHidden="false" w:unhideWhenUsed="false"/>
    <w:lsdException w:name="toc 9" w:uiPriority="0" w:semiHidden="false" w:unhideWhenUsed="false"/>
    <w:lsdException w:name="List 2" w:uiPriority="0" w:semiHidden="false" w:unhideWhenUsed="false"/>
    <w:lsdException w:name="Colorful Shading Accent 1" w:uiPriority="71" w:semiHidden="false" w:unhideWhenUsed="false"/>
    <w:lsdException w:name="Medium Grid 2" w:uiPriority="68" w:semiHidden="false" w:unhideWhenUsed="false"/>
    <w:lsdException w:name="Normal (Web)" w:uiPriority="99" w:semiHidden="false" w:unhideWhenUsed="false" w:qFormat="true"/>
    <w:lsdException w:name="Colorful Grid Accent 2" w:uiPriority="73" w:semiHidden="false" w:unhideWhenUsed="false"/>
    <w:lsdException w:name="index 6" w:uiPriority="0" w:semiHidden="false" w:unhideWhenUsed="false"/>
    <w:lsdException w:name="heading 4" w:uiPriority="0" w:qFormat="true"/>
    <w:lsdException w:name="toc 1" w:uiPriority="39" w:semiHidden="false" w:unhideWhenUsed="false" w:qFormat="true"/>
    <w:lsdException w:name="HTML Preformatted" w:uiPriority="0" w:semiHidden="false" w:unhideWhenUsed="false"/>
    <w:lsdException w:name="Medium List 1 Accent 4" w:uiPriority="65" w:semiHidden="false" w:unhideWhenUsed="false"/>
    <w:lsdException w:name="Light List" w:uiPriority="61" w:semiHidden="false" w:unhideWhenUsed="false"/>
    <w:lsdException w:name="Table Contemporary" w:uiPriority="0" w:semiHidden="false" w:unhideWhenUsed="false"/>
    <w:lsdException w:name="Medium Grid 3 Accent 1" w:uiPriority="69" w:semiHidden="false" w:unhideWhenUsed="false"/>
    <w:lsdException w:name="Light Shading" w:uiPriority="60" w:semiHidden="false" w:unhideWhenUsed="false"/>
    <w:lsdException w:name="HTML Acronym" w:uiPriority="0" w:semiHidden="false" w:unhideWhenUsed="false"/>
    <w:lsdException w:name="HTML Definition" w:uiPriority="0" w:semiHidden="false" w:unhideWhenUsed="false"/>
    <w:lsdException w:name="Table 3D effects 3" w:uiPriority="0" w:semiHidden="false" w:unhideWhenUsed="false"/>
    <w:lsdException w:name="List Number 3" w:uiPriority="0" w:semiHidden="false" w:unhideWhenUsed="false"/>
    <w:lsdException w:name="Medium Grid 1" w:uiPriority="67" w:semiHidden="false" w:unhideWhenUsed="false"/>
    <w:lsdException w:name="Light Shading Accent 1" w:uiPriority="60" w:semiHidden="false" w:unhideWhenUsed="false"/>
    <w:lsdException w:name="Signature" w:uiPriority="0" w:semiHidden="false" w:unhideWhenUsed="false"/>
    <w:lsdException w:name="Colorful Shading Accent 4" w:uiPriority="71" w:semiHidden="false" w:unhideWhenUsed="false"/>
    <w:lsdException w:name="Colorful Shading Accent 6" w:uiPriority="71" w:semiHidden="false" w:unhideWhenUsed="false"/>
    <w:lsdException w:name="Body Text Indent 3" w:uiPriority="0" w:semiHidden="false" w:unhideWhenUsed="false"/>
    <w:lsdException w:name="List Number 2" w:uiPriority="0" w:semiHidden="false" w:unhideWhenUsed="false"/>
    <w:lsdException w:name="FollowedHyperlink" w:uiPriority="0" w:semiHidden="false" w:unhideWhenUsed="false"/>
    <w:lsdException w:name="Light Grid Accent 1" w:uiPriority="62" w:semiHidden="false" w:unhideWhenUsed="false"/>
    <w:lsdException w:name="page number" w:uiPriority="0" w:semiHidden="false" w:unhideWhenUsed="false"/>
    <w:lsdException w:name="Medium Grid 3 Accent 4" w:uiPriority="69" w:semiHidden="false" w:unhideWhenUsed="false"/>
    <w:lsdException w:name="List 4" w:uiPriority="0" w:semiHidden="false" w:unhideWhenUsed="false"/>
    <w:lsdException w:name="Table Simple 2" w:uiPriority="0" w:semiHidden="false" w:unhideWhenUsed="false"/>
    <w:lsdException w:name="Light Shading Accent 6" w:uiPriority="60" w:semiHidden="false" w:unhideWhenUsed="false"/>
    <w:lsdException w:name="Table List 7" w:uiPriority="0" w:semiHidden="false" w:unhideWhenUsed="false"/>
    <w:lsdException w:name="Medium List 1 Accent 6" w:uiPriority="65" w:semiHidden="false" w:unhideWhenUsed="false"/>
    <w:lsdException w:name="Light Grid Accent 4" w:uiPriority="62" w:semiHidden="false" w:unhideWhenUsed="false"/>
    <w:lsdException w:name="Medium Grid 2 Accent 3" w:uiPriority="68" w:semiHidden="false" w:unhideWhenUsed="false"/>
    <w:lsdException w:name="Table 3D effects 1" w:uiPriority="0" w:semiHidden="false" w:unhideWhenUsed="false"/>
    <w:lsdException w:name="Colorful Shading Accent 3" w:uiPriority="71" w:semiHidden="false" w:unhideWhenUsed="false"/>
    <w:lsdException w:name="annotation subject" w:uiPriority="0" w:semiHidden="false" w:unhideWhenUsed="false"/>
    <w:lsdException w:name="Colorful List" w:uiPriority="72" w:semiHidden="false" w:unhideWhenUsed="false"/>
    <w:lsdException w:name="Table Grid 8" w:uiPriority="0" w:semiHidden="false" w:unhideWhenUsed="false"/>
    <w:lsdException w:name="endnote reference" w:uiPriority="0" w:semiHidden="false" w:unhideWhenUsed="false"/>
    <w:lsdException w:name="Medium Grid 3 Accent 6" w:uiPriority="69" w:semiHidden="false" w:unhideWhenUsed="false"/>
    <w:lsdException w:name="Medium Shading 1 Accent 4" w:uiPriority="63" w:semiHidden="false" w:unhideWhenUsed="false"/>
    <w:lsdException w:name="Light List Accent 4" w:uiPriority="61" w:semiHidden="false" w:unhideWhenUsed="false"/>
    <w:lsdException w:name="Dark List Accent 1" w:uiPriority="70" w:semiHidden="false" w:unhideWhenUsed="false"/>
    <w:lsdException w:name="Medium Shading 2" w:uiPriority="64" w:semiHidden="false" w:unhideWhenUsed="false"/>
    <w:lsdException w:name="Dark List Accent 5" w:uiPriority="70" w:semiHidden="false" w:unhideWhenUsed="false"/>
    <w:lsdException w:name="Table Grid 4" w:uiPriority="0" w:semiHidden="false" w:unhideWhenUsed="false"/>
    <w:lsdException w:name="Dark List Accent 3" w:uiPriority="70" w:semiHidden="false" w:unhideWhenUsed="false"/>
    <w:lsdException w:name="List Continue 5" w:uiPriority="0" w:semiHidden="false" w:unhideWhenUsed="false"/>
    <w:lsdException w:name="Table Theme" w:uiPriority="0" w:semiHidden="false" w:unhideWhenUsed="false"/>
    <w:lsdException w:name="Colorful Shading Accent 2" w:uiPriority="71" w:semiHidden="false" w:unhideWhenUsed="false"/>
    <w:lsdException w:name="heading 6" w:uiPriority="0" w:qFormat="true"/>
    <w:lsdException w:name="Medium List 1 Accent 1" w:uiPriority="65" w:semiHidden="false" w:unhideWhenUsed="false"/>
    <w:lsdException w:name="Closing" w:uiPriority="0" w:semiHidden="false" w:unhideWhenUsed="false"/>
    <w:lsdException w:name="Medium Grid 2 Accent 4" w:uiPriority="68" w:semiHidden="false" w:unhideWhenUsed="false"/>
    <w:lsdException w:name="Medium Grid 3 Accent 5" w:uiPriority="69" w:semiHidden="false" w:unhideWhenUsed="false"/>
    <w:lsdException w:name="Colorful Shading Accent 5" w:uiPriority="71" w:semiHidden="false" w:unhideWhenUsed="false"/>
    <w:lsdException w:name="Light List Accent 6" w:uiPriority="61" w:semiHidden="false" w:unhideWhenUsed="false"/>
    <w:lsdException w:name="Table Subtle 1" w:uiPriority="0" w:semiHidden="false" w:unhideWhenUsed="false"/>
    <w:lsdException w:name="Medium Grid 1 Accent 3" w:uiPriority="67" w:semiHidden="false" w:unhideWhenUsed="false"/>
    <w:lsdException w:name="footnote reference" w:uiPriority="0" w:semiHidden="false" w:unhideWhenUsed="false"/>
    <w:lsdException w:name="List Continue 3" w:uiPriority="0" w:semiHidden="false" w:unhideWhenUsed="false"/>
    <w:lsdException w:name="Colorful Grid Accent 3" w:uiPriority="73" w:semiHidden="false" w:unhideWhenUsed="false"/>
    <w:lsdException w:name="Light Grid Accent 3" w:uiPriority="62" w:semiHidden="false" w:unhideWhenUsed="false"/>
    <w:lsdException w:name="HTML Typewriter" w:uiPriority="0" w:semiHidden="false" w:unhideWhenUsed="false"/>
    <w:lsdException w:name="Table Elegant" w:uiPriority="0" w:semiHidden="false" w:unhideWhenUsed="false"/>
    <w:lsdException w:name="heading 3" w:uiPriority="9" w:semiHidden="false" w:unhideWhenUsed="false" w:qFormat="true"/>
    <w:lsdException w:name="Table Classic 1" w:uiPriority="0" w:semiHidden="false" w:unhideWhenUsed="false"/>
    <w:lsdException w:name="Document Map" w:uiPriority="0" w:semiHidden="false" w:unhideWhenUsed="false"/>
    <w:lsdException w:name="toc 4" w:uiPriority="0" w:semiHidden="false" w:unhideWhenUsed="false"/>
    <w:lsdException w:name="Hyperlink" w:uiPriority="99" w:semiHidden="false" w:unhideWhenUsed="false" w:qFormat="true"/>
    <w:lsdException w:name="line number" w:uiPriority="0" w:semiHidden="false" w:unhideWhenUsed="false"/>
    <w:lsdException w:name="Table Grid 3" w:uiPriority="0" w:semiHidden="false" w:unhideWhenUsed="false"/>
    <w:lsdException w:name="heading 9" w:uiPriority="0" w:qFormat="true"/>
    <w:lsdException w:name="index 2" w:uiPriority="0" w:semiHidden="false" w:unhideWhenUsed="false"/>
    <w:lsdException w:name="Table Columns 3" w:uiPriority="0" w:semiHidden="false" w:unhideWhenUsed="false"/>
    <w:lsdException w:name="Colorful List Accent 3" w:uiPriority="72" w:semiHidden="false" w:unhideWhenUsed="false"/>
    <w:lsdException w:name="Medium List 1 Accent 2" w:uiPriority="65" w:semiHidden="false" w:unhideWhenUsed="false"/>
    <w:lsdException w:name="Colorful Shading" w:uiPriority="71" w:semiHidden="false" w:unhideWhenUsed="false"/>
    <w:lsdException w:name="table of authorities" w:uiPriority="0" w:semiHidden="false" w:unhideWhenUsed="false"/>
    <w:lsdException w:name="Light List Accent 3" w:uiPriority="61" w:semiHidden="false" w:unhideWhenUsed="false"/>
    <w:lsdException w:name="Table Classic 2" w:uiPriority="0" w:semiHidden="false" w:unhideWhenUsed="false"/>
    <w:lsdException w:name="Table Columns 5" w:uiPriority="0" w:semiHidden="false" w:unhideWhenUsed="false"/>
    <w:lsdException w:name="Dark List Accent 6" w:uiPriority="70" w:semiHidden="false" w:unhideWhenUsed="false"/>
    <w:lsdException w:name="Medium Shading 2 Accent 2" w:uiPriority="64" w:semiHidden="false" w:unhideWhenUsed="false"/>
    <w:lsdException w:name="List Continue 4" w:uiPriority="0" w:semiHidden="false" w:unhideWhenUsed="false"/>
    <w:lsdException w:name="toc 7" w:uiPriority="0" w:semiHidden="false" w:unhideWhenUsed="false"/>
    <w:lsdException w:name="Message Header" w:uiPriority="0" w:semiHidden="false" w:unhideWhenUsed="false"/>
    <w:lsdException w:name="Colorful List Accent 2" w:uiPriority="72" w:semiHidden="false" w:unhideWhenUsed="false"/>
    <w:lsdException w:name="E-mail Signature" w:uiPriority="0" w:semiHidden="false" w:unhideWhenUsed="false"/>
    <w:lsdException w:name="List Continue 2" w:uiPriority="0" w:semiHidden="false" w:unhideWhenUsed="false"/>
    <w:lsdException w:name="Normal Indent" w:uiPriority="0" w:semiHidden="false" w:unhideWhenUsed="false"/>
    <w:lsdException w:name="HTML Code" w:uiPriority="0" w:semiHidden="false" w:unhideWhenUsed="false"/>
    <w:lsdException w:name="heading 5" w:uiPriority="0" w:qFormat="true"/>
    <w:lsdException w:name="Medium List 1" w:uiPriority="65" w:semiHidden="false" w:unhideWhenUsed="false"/>
    <w:lsdException w:name="Dark List Accent 4" w:uiPriority="70" w:semiHidden="false" w:unhideWhenUsed="false"/>
    <w:lsdException w:name="Colorful List Accent 5" w:uiPriority="72" w:semiHidden="false" w:unhideWhenUsed="false"/>
    <w:lsdException w:name="Medium Grid 1 Accent 2" w:uiPriority="67" w:semiHidden="false" w:unhideWhenUsed="false"/>
    <w:lsdException w:name="Title" w:uiPriority="0" w:semiHidden="false" w:unhideWhenUsed="false" w:qFormat="true"/>
    <w:lsdException w:name="Body Text Indent 2" w:uiPriority="0" w:semiHidden="false" w:unhideWhenUsed="false"/>
    <w:lsdException w:name="Table Columns 4" w:uiPriority="0" w:semiHidden="false" w:unhideWhenUsed="false"/>
    <w:lsdException w:name="Body Text 2" w:uiPriority="99" w:semiHidden="false" w:unhideWhenUsed="false" w:qFormat="true"/>
    <w:lsdException w:name="Light Grid Accent 5" w:uiPriority="62" w:semiHidden="false" w:unhideWhenUsed="false"/>
    <w:lsdException w:name="index 9" w:uiPriority="0" w:semiHidden="false" w:unhideWhenUsed="false"/>
    <w:lsdException w:name="Medium List 2 Accent 1" w:uiPriority="66" w:semiHidden="false" w:unhideWhenUsed="false"/>
    <w:lsdException w:name="Date" w:uiPriority="0" w:semiHidden="false" w:unhideWhenUsed="false"/>
    <w:lsdException w:name="Table Colorful 3" w:uiPriority="0" w:semiHidden="false" w:unhideWhenUsed="false"/>
    <w:lsdException w:name="Dark List" w:uiPriority="70" w:semiHidden="false" w:unhideWhenUsed="false"/>
    <w:lsdException w:name="Plain Text" w:uiPriority="0" w:semiHidden="false" w:unhideWhenUsed="false"/>
    <w:lsdException w:name="Light List Accent 5" w:uiPriority="61" w:semiHidden="false" w:unhideWhenUsed="false"/>
    <w:lsdException w:name="Table Grid 1" w:uiPriority="0" w:semiHidden="false" w:unhideWhenUsed="false"/>
    <w:lsdException w:name="Medium Shading 2 Accent 5" w:uiPriority="64" w:semiHidden="false" w:unhideWhenUsed="false"/>
    <w:lsdException w:name="Medium Grid 1 Accent 4" w:uiPriority="67" w:semiHidden="false" w:unhideWhenUsed="false"/>
    <w:lsdException w:name="List Bullet 5" w:uiPriority="0" w:semiHidden="false" w:unhideWhenUsed="false"/>
    <w:lsdException w:name="Light Grid Accent 6" w:uiPriority="62" w:semiHidden="false" w:unhideWhenUsed="false"/>
    <w:lsdException w:name="Medium List 1 Accent 3" w:uiPriority="65" w:semiHidden="false" w:unhideWhenUsed="false"/>
    <w:lsdException w:name="HTML Cite" w:uiPriority="0" w:semiHidden="false" w:unhideWhenUsed="false"/>
    <w:lsdException w:name="Body Text" w:uiPriority="99" w:semiHidden="false" w:unhideWhenUsed="false" w:qFormat="true"/>
    <w:lsdException w:name="List Continue" w:uiPriority="0" w:semiHidden="false" w:unhideWhenUsed="false"/>
    <w:lsdException w:name="toc 2" w:uiPriority="39" w:semiHidden="false" w:unhideWhenUsed="false" w:qFormat="true"/>
    <w:lsdException w:name="Strong" w:uiPriority="22" w:semiHidden="false" w:unhideWhenUsed="false" w:qFormat="true"/>
    <w:lsdException w:name="table of figures" w:uiPriority="0" w:semiHidden="false" w:unhideWhenUsed="false"/>
    <w:lsdException w:name="Table Classic 3" w:uiPriority="0" w:semiHidden="false" w:unhideWhenUsed="false"/>
    <w:lsdException w:name="Medium List 2 Accent 3" w:uiPriority="66" w:semiHidden="false" w:unhideWhenUsed="false"/>
    <w:lsdException w:name="Medium Shading 2 Accent 6" w:uiPriority="64" w:semiHidden="false" w:unhideWhenUsed="false"/>
    <w:lsdException w:name="Colorful Grid" w:uiPriority="73" w:semiHidden="false" w:unhideWhenUsed="false"/>
    <w:lsdException w:name="Subtitle" w:uiPriority="0" w:semiHidden="false" w:unhideWhenUsed="false" w:qFormat="true"/>
    <w:lsdException w:name="heading 7" w:uiPriority="0" w:qFormat="true"/>
    <w:lsdException w:name="Medium Shading 1" w:uiPriority="63" w:semiHidden="false" w:unhideWhenUsed="false"/>
    <w:lsdException w:name="Table Grid 7" w:uiPriority="0" w:semiHidden="false" w:unhideWhenUsed="false"/>
    <w:lsdException w:name="annotation text" w:uiPriority="99" w:semiHidden="false" w:unhideWhenUsed="false" w:qFormat="true"/>
    <w:lsdException w:name="Table Subtle 2" w:uiPriority="0" w:semiHidden="false" w:unhideWhenUsed="false"/>
    <w:lsdException w:name="heading 2" w:uiPriority="9" w:semiHidden="false" w:unhideWhenUsed="false" w:qFormat="true"/>
    <w:lsdException w:name="List Bullet 2" w:uiPriority="0" w:semiHidden="false" w:unhideWhenUsed="false"/>
    <w:lsdException w:name="Colorful List Accent 6" w:uiPriority="72" w:semiHidden="false" w:unhideWhenUsed="false"/>
    <w:lsdException w:name="Table Classic 4" w:uiPriority="0" w:semiHidden="false" w:unhideWhenUsed="false"/>
    <w:lsdException w:name="Table Simple 3" w:uiPriority="0" w:semiHidden="false" w:unhideWhenUsed="false"/>
    <w:lsdException w:name="Colorful Grid Accent 1" w:uiPriority="73" w:semiHidden="false" w:unhideWhenUsed="false"/>
    <w:lsdException w:name="Light List Accent 2" w:uiPriority="61" w:semiHidden="false" w:unhideWhenUsed="false"/>
    <w:lsdException w:name="Medium List 2 Accent 5" w:uiPriority="66" w:semiHidden="false" w:unhideWhenUsed="false"/>
    <w:lsdException w:name="Medium Grid 1 Accent 1" w:uiPriority="67" w:semiHidden="false" w:unhideWhenUsed="false"/>
    <w:lsdException w:name="Body Text First Indent 2" w:uiPriority="99" w:semiHidden="false" w:unhideWhenUsed="false" w:qFormat="true"/>
    <w:lsdException w:name="Table Grid" w:uiPriority="39" w:semiHidden="false" w:unhideWhenUsed="false" w:qFormat="true"/>
    <w:lsdException w:name="Light Grid Accent 2" w:uiPriority="62" w:semiHidden="false" w:unhideWhenUsed="false"/>
    <w:lsdException w:name="index heading" w:uiPriority="0" w:semiHidden="false" w:unhideWhenUsed="false"/>
    <w:lsdException w:name="Light Shading Accent 2" w:uiPriority="60" w:semiHidden="false" w:unhideWhenUsed="false"/>
    <w:lsdException w:name="index 3" w:uiPriority="0" w:semiHidden="false" w:unhideWhenUsed="false"/>
    <w:lsdException w:name="Medium Shading 1 Accent 6" w:uiPriority="63" w:semiHidden="false" w:unhideWhenUsed="false"/>
    <w:lsdException w:name="Medium Grid 2 Accent 6" w:uiPriority="68" w:semiHidden="false" w:unhideWhenUsed="false"/>
    <w:lsdException w:name="footnote text" w:uiPriority="0" w:semiHidden="false" w:unhideWhenUsed="false"/>
    <w:lsdException w:name="index 5" w:uiPriority="0" w:semiHidden="false" w:unhideWhenUsed="false"/>
    <w:lsdException w:name="Table Columns 2" w:uiPriority="0" w:semiHidden="false" w:unhideWhenUsed="false"/>
    <w:lsdException w:name="envelope return" w:uiPriority="99" w:semiHidden="false" w:unhideWhenUsed="false" w:qFormat="true"/>
    <w:lsdException w:name="HTML Keyboard" w:uiPriority="0" w:semiHidden="false" w:unhideWhenUsed="false"/>
    <w:lsdException w:name="toc 6" w:uiPriority="0" w:semiHidden="false" w:unhideWhenUsed="false"/>
    <w:lsdException w:name="Table List 5" w:uiPriority="0" w:semiHidden="false" w:unhideWhenUsed="false"/>
    <w:lsdException w:name="Medium Shading 1 Accent 1" w:uiPriority="63" w:semiHidden="false" w:unhideWhenUsed="false"/>
    <w:lsdException w:name="Table List 8" w:uiPriority="0" w:semiHidden="false" w:unhideWhenUsed="false"/>
    <w:lsdException w:name="caption" w:uiPriority="0" w:qFormat="true"/>
    <w:lsdException w:name="toc 8" w:uiPriority="0" w:semiHidden="false" w:unhideWhenUsed="false"/>
    <w:lsdException w:name="Table Web 1" w:uiPriority="0" w:semiHidden="false" w:unhideWhenUsed="false"/>
    <w:lsdException w:name="Balloon Text" w:uiPriority="0" w:semiHidden="false" w:unhideWhenUsed="false"/>
    <w:lsdException w:name="Body Text 3" w:uiPriority="0" w:semiHidden="false" w:unhideWhenUsed="false"/>
  </w:latentStyles>
  <w:style w:type="character" w:styleId="000009" w:default="true">
    <w:name w:val="Default Paragraph Font"/>
    <w:uiPriority w:val="1"/>
    <w:qFormat/>
  </w:style>
  <w:style w:type="paragraph" w:styleId="00000f">
    <w:name w:val="footer"/>
    <w:basedOn w:val="000005"/>
    <w:uiPriority w:val="99"/>
    <w:qFormat/>
    <w:pPr>
      <w:tabs>
        <w:tab w:val="center" w:pos="4153"/>
        <w:tab w:val="right" w:pos="8306"/>
      </w:tabs>
      <w:snapToGrid w:val="false"/>
      <w:jc w:val="left"/>
    </w:pPr>
    <w:rPr>
      <w:sz w:val="18"/>
    </w:rPr>
  </w:style>
  <w:style w:type="paragraph" w:styleId="000031" w:customStyle="true">
    <w:name w:val="Table Paragraph1"/>
    <w:uiPriority w:val="1"/>
    <w:qFormat/>
    <w:pPr>
      <w:kinsoku w:val="false"/>
      <w:autoSpaceDE w:val="false"/>
      <w:autoSpaceDN w:val="false"/>
      <w:adjustRightInd w:val="false"/>
      <w:snapToGrid w:val="false"/>
      <w:spacing w:line="240" w:lineRule="auto"/>
      <w:jc w:val="center"/>
      <w:textAlignment w:val="baseline"/>
    </w:pPr>
    <w:rPr>
      <w:rFonts w:ascii="Times New Roman" w:hAnsi="Times New Roman" w:eastAsia="Times New Roman" w:cs="Times New Roman"/>
      <w:snapToGrid w:val="false"/>
      <w:color w:val="000000"/>
      <w:kern w:val="0"/>
      <w:sz w:val="21"/>
      <w:szCs w:val="21"/>
      <w:lang w:val="zh-CN" w:eastAsia="zh-CN" w:bidi="zh-CN"/>
    </w:rPr>
  </w:style>
  <w:style w:type="character" w:styleId="000033" w:customStyle="true">
    <w:name w:val="font101"/>
    <w:basedOn w:val="000009"/>
    <w:uiPriority w:val="0"/>
    <w:qFormat/>
    <w:rPr>
      <w:rFonts w:hint="default" w:ascii="Times New Roman" w:hAnsi="Times New Roman" w:cs="Times New Roman"/>
      <w:color w:val="000000"/>
      <w:sz w:val="14"/>
      <w:szCs w:val="14"/>
      <w:u w:val="none"/>
    </w:rPr>
  </w:style>
  <w:style w:type="paragraph" w:styleId="00000e">
    <w:name w:val="envelope return"/>
    <w:basedOn w:val="000005"/>
    <w:uiPriority w:val="99"/>
    <w:qFormat/>
    <w:pPr>
      <w:widowControl w:val="false"/>
      <w:kinsoku/>
      <w:autoSpaceDE/>
      <w:autoSpaceDN/>
      <w:adjustRightInd w:val="false"/>
      <w:snapToGrid w:val="false"/>
      <w:spacing w:line="240" w:lineRule="auto"/>
      <w:ind w:firstLine="0" w:firstLineChars="0"/>
      <w:jc w:val="both"/>
      <w:textAlignment w:val="auto"/>
    </w:pPr>
    <w:rPr>
      <w:rFonts w:ascii="Arial" w:hAnsi="Arial" w:eastAsia="宋体" w:cs="宋体"/>
      <w:snapToGrid/>
      <w:kern w:val="2"/>
      <w:szCs w:val="20"/>
      <w:lang w:eastAsia="zh-CN"/>
    </w:rPr>
  </w:style>
  <w:style w:type="character" w:styleId="000027" w:customStyle="true">
    <w:name w:val="font121"/>
    <w:basedOn w:val="000009"/>
    <w:uiPriority w:val="0"/>
    <w:qFormat/>
    <w:rPr>
      <w:rFonts w:hint="eastAsia" w:ascii="宋体" w:hAnsi="宋体" w:eastAsia="宋体" w:cs="宋体"/>
      <w:color w:val="000000"/>
      <w:sz w:val="14"/>
      <w:szCs w:val="14"/>
      <w:u w:val="none"/>
    </w:rPr>
  </w:style>
  <w:style w:type="table" w:styleId="00000a" w:default="true">
    <w:name w:val="Normal Table"/>
    <w:uiPriority w:val="99"/>
    <w:qFormat/>
    <w:tblPr>
      <w:tblCellMar>
        <w:top w:w="0" w:type="dxa"/>
        <w:left w:w="108" w:type="dxa"/>
        <w:bottom w:w="0" w:type="dxa"/>
        <w:right w:w="108" w:type="dxa"/>
      </w:tblCellMar>
    </w:tblPr>
  </w:style>
  <w:style w:type="paragraph" w:styleId="000014">
    <w:name w:val="Normal (Web)"/>
    <w:basedOn w:val="000005"/>
    <w:uiPriority w:val="99"/>
    <w:qFormat/>
    <w:pPr>
      <w:spacing w:before="0" w:beforeAutospacing="true" w:after="0" w:afterAutospacing="true"/>
      <w:ind w:left="0" w:right="0"/>
      <w:jc w:val="left"/>
    </w:pPr>
    <w:rPr>
      <w:kern w:val="0"/>
      <w:sz w:val="24"/>
      <w:lang w:val="en-US" w:eastAsia="zh-CN"/>
    </w:rPr>
  </w:style>
  <w:style w:type="character" w:styleId="000034" w:customStyle="true">
    <w:name w:val="font112"/>
    <w:basedOn w:val="000009"/>
    <w:uiPriority w:val="0"/>
    <w:qFormat/>
    <w:rPr>
      <w:rFonts w:hint="eastAsia" w:ascii="宋体" w:hAnsi="宋体" w:eastAsia="宋体" w:cs="宋体"/>
      <w:color w:val="000000"/>
      <w:sz w:val="14"/>
      <w:szCs w:val="14"/>
      <w:u w:val="none"/>
    </w:rPr>
  </w:style>
  <w:style w:type="character" w:styleId="000018">
    <w:name w:val="Hyperlink"/>
    <w:basedOn w:val="000009"/>
    <w:uiPriority w:val="99"/>
    <w:qFormat/>
    <w:rPr>
      <w:rFonts w:ascii="Times New Roman" w:hAnsi="Times New Roman" w:eastAsia="宋体" w:cs="Times New Roman"/>
      <w:color w:val="0000FF"/>
      <w:u w:val="single"/>
    </w:rPr>
  </w:style>
  <w:style w:type="paragraph" w:styleId="00002f" w:customStyle="true">
    <w:name w:val="Table Text"/>
    <w:basedOn w:val="000005"/>
    <w:uiPriority w:val="0"/>
    <w:qFormat/>
    <w:rPr>
      <w:rFonts w:ascii="仿宋" w:hAnsi="仿宋" w:eastAsia="仿宋" w:cs="仿宋"/>
      <w:sz w:val="20"/>
      <w:szCs w:val="20"/>
      <w:lang w:val="en-US" w:eastAsia="en-US" w:bidi="ar-SA"/>
    </w:rPr>
  </w:style>
  <w:style w:type="character" w:styleId="000023" w:customStyle="true">
    <w:name w:val="font122"/>
    <w:basedOn w:val="000009"/>
    <w:uiPriority w:val="0"/>
    <w:qFormat/>
    <w:rPr>
      <w:rFonts w:hint="eastAsia" w:ascii="宋体" w:hAnsi="宋体" w:eastAsia="宋体" w:cs="宋体"/>
      <w:color w:val="000000"/>
      <w:sz w:val="14"/>
      <w:szCs w:val="14"/>
      <w:u w:val="none"/>
    </w:rPr>
  </w:style>
  <w:style w:type="paragraph" w:styleId="00001e" w:customStyle="true">
    <w:name w:val="封面日期"/>
    <w:basedOn w:val="000005"/>
    <w:uiPriority w:val="0"/>
    <w:qFormat/>
    <w:pPr>
      <w:widowControl w:val="false"/>
      <w:kinsoku/>
      <w:autoSpaceDE/>
      <w:autoSpaceDN/>
      <w:adjustRightInd/>
      <w:snapToGrid/>
      <w:spacing w:line="240" w:lineRule="auto"/>
      <w:jc w:val="center"/>
      <w:textAlignment w:val="auto"/>
    </w:pPr>
    <w:rPr>
      <w:rFonts w:ascii="黑体" w:hAnsi="Times New Roman" w:eastAsia="黑体" w:cs="Times New Roman"/>
      <w:snapToGrid/>
      <w:kern w:val="2"/>
      <w:sz w:val="32"/>
      <w:szCs w:val="32"/>
      <w:lang w:eastAsia="zh-CN"/>
    </w:rPr>
  </w:style>
  <w:style w:type="character" w:styleId="000019" w:customStyle="true">
    <w:name w:val="font151"/>
    <w:basedOn w:val="000009"/>
    <w:uiPriority w:val="0"/>
    <w:qFormat/>
    <w:rPr>
      <w:rFonts w:hint="default" w:ascii="Times New Roman" w:hAnsi="Times New Roman" w:cs="Times New Roman"/>
      <w:color w:val="000000"/>
      <w:sz w:val="14"/>
      <w:szCs w:val="14"/>
      <w:u w:val="none"/>
    </w:rPr>
  </w:style>
  <w:style w:type="paragraph" w:styleId="000008">
    <w:name w:val="heading 3"/>
    <w:basedOn w:val="000005"/>
    <w:next w:val="000005"/>
    <w:uiPriority w:val="9"/>
    <w:qFormat/>
    <w:pPr>
      <w:keepNext/>
      <w:keepLines/>
      <w:spacing w:before="260" w:beforeAutospacing="false" w:after="260" w:afterAutospacing="false" w:line="413" w:lineRule="auto"/>
      <w:outlineLvl w:val="2"/>
    </w:pPr>
    <w:rPr>
      <w:rFonts w:ascii="Calibri" w:hAnsi="Calibri" w:eastAsia="黑体"/>
      <w:b/>
      <w:sz w:val="28"/>
    </w:rPr>
  </w:style>
  <w:style w:type="character" w:styleId="00001a" w:customStyle="true">
    <w:name w:val="font21"/>
    <w:basedOn w:val="000009"/>
    <w:uiPriority w:val="0"/>
    <w:qFormat/>
    <w:rPr>
      <w:rFonts w:ascii="Arial" w:hAnsi="Arial" w:cs="Arial"/>
      <w:color w:val="000000"/>
      <w:sz w:val="16"/>
      <w:szCs w:val="16"/>
      <w:u w:val="none"/>
    </w:rPr>
  </w:style>
  <w:style w:type="paragraph" w:styleId="000011">
    <w:name w:val="toc 1"/>
    <w:basedOn w:val="000005"/>
    <w:next w:val="000005"/>
    <w:uiPriority w:val="39"/>
    <w:qFormat/>
  </w:style>
  <w:style w:type="paragraph" w:styleId="000015">
    <w:name w:val="Body Text First Indent 2"/>
    <w:basedOn w:val="00000d"/>
    <w:uiPriority w:val="99"/>
    <w:qFormat/>
    <w:pPr>
      <w:spacing w:line="360" w:lineRule="auto"/>
      <w:ind w:firstLine="420"/>
    </w:pPr>
    <w:rPr>
      <w:szCs w:val="22"/>
    </w:rPr>
  </w:style>
  <w:style w:type="paragraph" w:styleId="00000c">
    <w:name w:val="Body Text"/>
    <w:basedOn w:val="000005"/>
    <w:uiPriority w:val="99"/>
    <w:qFormat/>
    <w:rPr>
      <w:rFonts w:ascii="Arial" w:hAnsi="Arial" w:eastAsia="Arial" w:cs="Arial"/>
      <w:sz w:val="21"/>
      <w:szCs w:val="21"/>
      <w:lang w:val="en-US" w:eastAsia="en-US" w:bidi="ar-SA"/>
    </w:rPr>
  </w:style>
  <w:style w:type="paragraph" w:styleId="000013">
    <w:name w:val="Body Text 2"/>
    <w:basedOn w:val="000005"/>
    <w:uiPriority w:val="99"/>
    <w:qFormat/>
    <w:rPr>
      <w:color w:val="0000FF"/>
    </w:rPr>
  </w:style>
  <w:style w:type="character" w:styleId="00002b" w:customStyle="true">
    <w:name w:val="font131"/>
    <w:basedOn w:val="000009"/>
    <w:uiPriority w:val="0"/>
    <w:qFormat/>
    <w:rPr>
      <w:rFonts w:hint="default" w:ascii="Times New Roman" w:hAnsi="Times New Roman" w:cs="Times New Roman"/>
      <w:color w:val="000000"/>
      <w:sz w:val="14"/>
      <w:szCs w:val="14"/>
      <w:u w:val="none"/>
    </w:rPr>
  </w:style>
  <w:style w:type="paragraph" w:styleId="00001f" w:customStyle="true">
    <w:name w:val="正文11"/>
    <w:uiPriority w:val="0"/>
    <w:qFormat/>
    <w:pPr>
      <w:widowControl w:val="false"/>
      <w:spacing w:line="360" w:lineRule="auto"/>
      <w:ind w:firstLine="200" w:firstLineChars="200"/>
      <w:jc w:val="both"/>
    </w:pPr>
    <w:rPr>
      <w:rFonts w:ascii="Times New Roman" w:hAnsi="Times New Roman" w:eastAsia="宋体" w:cs="Times New Roman"/>
      <w:kern w:val="2"/>
      <w:sz w:val="28"/>
      <w:szCs w:val="32"/>
      <w:lang w:val="en-US" w:eastAsia="zh-CN" w:bidi="ar-SA"/>
    </w:rPr>
  </w:style>
  <w:style w:type="paragraph" w:styleId="000007">
    <w:name w:val="heading 2"/>
    <w:basedOn w:val="000005"/>
    <w:next w:val="000005"/>
    <w:uiPriority w:val="9"/>
    <w:qFormat/>
    <w:pPr>
      <w:keepNext/>
      <w:keepLines/>
      <w:spacing w:before="260" w:beforeAutospacing="false" w:after="260" w:afterAutospacing="false" w:line="413" w:lineRule="auto"/>
      <w:outlineLvl w:val="1"/>
    </w:pPr>
    <w:rPr>
      <w:rFonts w:ascii="Arial" w:hAnsi="Arial" w:eastAsia="黑体"/>
      <w:b/>
      <w:sz w:val="30"/>
    </w:rPr>
  </w:style>
  <w:style w:type="paragraph" w:styleId="000026" w:customStyle="true">
    <w:name w:val="WPSOffice手动目录 2"/>
    <w:uiPriority w:val="0"/>
    <w:qFormat/>
    <w:pPr>
      <w:ind w:leftChars="200"/>
    </w:pPr>
    <w:rPr>
      <w:rFonts w:ascii="Times New Roman" w:hAnsi="Times New Roman" w:eastAsia="宋体" w:cs="Times New Roman"/>
      <w:sz w:val="20"/>
      <w:szCs w:val="20"/>
    </w:rPr>
  </w:style>
  <w:style w:type="paragraph" w:styleId="000028" w:customStyle="true">
    <w:name w:val="硕士学位论文"/>
    <w:basedOn w:val="000005"/>
    <w:uiPriority w:val="0"/>
    <w:qFormat/>
    <w:pPr>
      <w:widowControl w:val="false"/>
      <w:kinsoku/>
      <w:autoSpaceDE/>
      <w:autoSpaceDN/>
      <w:adjustRightInd/>
      <w:snapToGrid/>
      <w:spacing w:before="240" w:line="240" w:lineRule="auto"/>
      <w:jc w:val="center"/>
      <w:textAlignment w:val="auto"/>
    </w:pPr>
    <w:rPr>
      <w:rFonts w:ascii="Times New Roman" w:hAnsi="Times New Roman" w:eastAsia="宋体" w:cs="Times New Roman"/>
      <w:snapToGrid/>
      <w:kern w:val="2"/>
      <w:sz w:val="44"/>
      <w:szCs w:val="44"/>
      <w:lang w:eastAsia="zh-CN"/>
    </w:rPr>
  </w:style>
  <w:style w:type="character" w:styleId="00002d" w:customStyle="true">
    <w:name w:val="font61"/>
    <w:basedOn w:val="000009"/>
    <w:uiPriority w:val="0"/>
    <w:qFormat/>
    <w:rPr>
      <w:rFonts w:ascii="Arial" w:hAnsi="Arial" w:cs="Arial"/>
      <w:color w:val="000000"/>
      <w:sz w:val="16"/>
      <w:szCs w:val="16"/>
      <w:u w:val="none"/>
    </w:rPr>
  </w:style>
  <w:style w:type="character" w:styleId="000035" w:customStyle="true">
    <w:name w:val="font91"/>
    <w:basedOn w:val="000009"/>
    <w:uiPriority w:val="0"/>
    <w:qFormat/>
    <w:rPr>
      <w:rFonts w:hint="default" w:ascii="Times New Roman" w:hAnsi="Times New Roman" w:cs="Times New Roman"/>
      <w:color w:val="000000"/>
      <w:sz w:val="14"/>
      <w:szCs w:val="14"/>
      <w:u w:val="none"/>
    </w:rPr>
  </w:style>
  <w:style w:type="paragraph" w:styleId="00001d" w:customStyle="true">
    <w:name w:val="分类号"/>
    <w:basedOn w:val="000005"/>
    <w:uiPriority w:val="0"/>
    <w:qFormat/>
    <w:pPr>
      <w:widowControl w:val="false"/>
      <w:kinsoku/>
      <w:autoSpaceDE/>
      <w:autoSpaceDN/>
      <w:adjustRightInd/>
      <w:snapToGrid/>
      <w:spacing w:line="240" w:lineRule="auto"/>
      <w:jc w:val="both"/>
      <w:textAlignment w:val="auto"/>
    </w:pPr>
    <w:rPr>
      <w:rFonts w:ascii="仿宋_GB2312" w:hAnsi="Times New Roman" w:eastAsia="仿宋_GB2312" w:cs="Times New Roman"/>
      <w:snapToGrid/>
      <w:kern w:val="2"/>
      <w:sz w:val="28"/>
      <w:szCs w:val="28"/>
      <w:lang w:eastAsia="zh-CN"/>
    </w:rPr>
  </w:style>
  <w:style w:type="character" w:styleId="00002c" w:customStyle="true">
    <w:name w:val="font132"/>
    <w:basedOn w:val="000009"/>
    <w:uiPriority w:val="0"/>
    <w:qFormat/>
    <w:rPr>
      <w:rFonts w:hint="default" w:ascii="Times New Roman" w:hAnsi="Times New Roman" w:cs="Times New Roman"/>
      <w:color w:val="000000"/>
      <w:sz w:val="14"/>
      <w:szCs w:val="14"/>
      <w:u w:val="none"/>
    </w:rPr>
  </w:style>
  <w:style w:type="character" w:styleId="000017">
    <w:name w:val="Strong"/>
    <w:basedOn w:val="000009"/>
    <w:uiPriority w:val="22"/>
    <w:qFormat/>
    <w:rPr>
      <w:b/>
    </w:rPr>
  </w:style>
  <w:style w:type="character" w:styleId="000024" w:customStyle="true">
    <w:name w:val="font171"/>
    <w:basedOn w:val="000009"/>
    <w:uiPriority w:val="0"/>
    <w:qFormat/>
    <w:rPr>
      <w:rFonts w:hint="default" w:ascii="Times New Roman" w:hAnsi="Times New Roman" w:cs="Times New Roman"/>
      <w:color w:val="000000"/>
      <w:sz w:val="14"/>
      <w:szCs w:val="14"/>
      <w:u w:val="none"/>
    </w:rPr>
  </w:style>
  <w:style w:type="paragraph" w:styleId="000036" w:customStyle="true">
    <w:name w:val="WPSOffice手动目录 3"/>
    <w:uiPriority w:val="0"/>
    <w:qFormat/>
    <w:pPr>
      <w:ind w:leftChars="400"/>
    </w:pPr>
    <w:rPr>
      <w:rFonts w:ascii="Times New Roman" w:hAnsi="Times New Roman" w:eastAsia="宋体" w:cs="Times New Roman"/>
      <w:sz w:val="20"/>
      <w:szCs w:val="20"/>
    </w:rPr>
  </w:style>
  <w:style w:type="paragraph" w:styleId="000012">
    <w:name w:val="toc 2"/>
    <w:basedOn w:val="000005"/>
    <w:next w:val="000005"/>
    <w:uiPriority w:val="39"/>
    <w:qFormat/>
    <w:pPr>
      <w:ind w:left="420" w:leftChars="200"/>
    </w:pPr>
  </w:style>
  <w:style w:type="character" w:styleId="000020" w:customStyle="true">
    <w:name w:val="font51"/>
    <w:basedOn w:val="000009"/>
    <w:uiPriority w:val="0"/>
    <w:qFormat/>
    <w:rPr>
      <w:rFonts w:hint="default" w:ascii="Times New Roman" w:hAnsi="Times New Roman" w:cs="Times New Roman"/>
      <w:color w:val="000000"/>
      <w:sz w:val="16"/>
      <w:szCs w:val="16"/>
      <w:u w:val="none"/>
    </w:rPr>
  </w:style>
  <w:style w:type="paragraph" w:styleId="00002e" w:customStyle="true">
    <w:name w:val="Table Paragraph"/>
    <w:basedOn w:val="000005"/>
    <w:uiPriority w:val="1"/>
    <w:qFormat/>
    <w:pPr>
      <w:jc w:val="center"/>
    </w:pPr>
    <w:rPr>
      <w:rFonts w:ascii="Times New Roman" w:hAnsi="Times New Roman" w:eastAsia="Times New Roman" w:cs="Times New Roman"/>
      <w:lang w:val="zh-CN" w:eastAsia="zh-CN" w:bidi="zh-CN"/>
    </w:rPr>
  </w:style>
  <w:style w:type="table" w:styleId="000016">
    <w:name w:val="Table Grid"/>
    <w:basedOn w:val="00000a"/>
    <w:uiPriority w:val="39"/>
    <w:qFormat/>
    <w:pPr>
      <w:widowControl w:val="false"/>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000022" w:customStyle="true">
    <w:name w:val="font31"/>
    <w:basedOn w:val="000009"/>
    <w:uiPriority w:val="0"/>
    <w:qFormat/>
    <w:rPr>
      <w:rFonts w:hint="eastAsia" w:ascii="宋体" w:hAnsi="宋体" w:eastAsia="宋体" w:cs="宋体"/>
      <w:color w:val="000000"/>
      <w:sz w:val="18"/>
      <w:szCs w:val="18"/>
      <w:u w:val="none"/>
    </w:rPr>
  </w:style>
  <w:style w:type="character" w:styleId="000032" w:customStyle="true">
    <w:name w:val="font141"/>
    <w:basedOn w:val="000009"/>
    <w:uiPriority w:val="0"/>
    <w:qFormat/>
    <w:rPr>
      <w:rFonts w:hint="default" w:ascii="Times New Roman" w:hAnsi="Times New Roman" w:cs="Times New Roman"/>
      <w:color w:val="000000"/>
      <w:sz w:val="14"/>
      <w:szCs w:val="14"/>
      <w:u w:val="none"/>
    </w:rPr>
  </w:style>
  <w:style w:type="paragraph" w:styleId="000029" w:customStyle="true">
    <w:name w:val="WPSOffice手动目录 1"/>
    <w:uiPriority w:val="0"/>
    <w:qFormat/>
    <w:pPr>
      <w:ind w:leftChars="0"/>
    </w:pPr>
    <w:rPr>
      <w:rFonts w:ascii="Times New Roman" w:hAnsi="Times New Roman" w:eastAsia="宋体" w:cs="Times New Roman"/>
      <w:sz w:val="20"/>
      <w:szCs w:val="20"/>
    </w:rPr>
  </w:style>
  <w:style w:type="paragraph" w:styleId="00001b">
    <w:name w:val="List Paragraph"/>
    <w:basedOn w:val="000005"/>
    <w:uiPriority w:val="1"/>
    <w:qFormat/>
    <w:pPr>
      <w:ind w:left="220" w:firstLine="559"/>
    </w:pPr>
    <w:rPr>
      <w:rFonts w:ascii="仿宋" w:hAnsi="仿宋" w:eastAsia="仿宋" w:cs="仿宋"/>
      <w:lang w:val="zh-CN" w:eastAsia="zh-CN" w:bidi="zh-CN"/>
    </w:rPr>
  </w:style>
  <w:style w:type="paragraph" w:styleId="000005" w:default="true">
    <w:name w:val="Normal"/>
    <w:uiPriority w:val="0"/>
    <w:qFormat/>
    <w:pPr>
      <w:kinsoku w:val="false"/>
      <w:autoSpaceDE w:val="false"/>
      <w:autoSpaceDN w:val="false"/>
      <w:adjustRightInd w:val="false"/>
      <w:snapToGrid w:val="false"/>
      <w:spacing w:line="240" w:lineRule="auto"/>
      <w:jc w:val="left"/>
      <w:textAlignment w:val="baseline"/>
    </w:pPr>
    <w:rPr>
      <w:rFonts w:ascii="Arial" w:hAnsi="Arial" w:eastAsia="Arial" w:cs="Arial"/>
      <w:snapToGrid w:val="false"/>
      <w:color w:val="000000"/>
      <w:kern w:val="0"/>
      <w:sz w:val="21"/>
      <w:szCs w:val="21"/>
      <w:lang w:val="en-US" w:eastAsia="en-US" w:bidi="ar-SA"/>
    </w:rPr>
  </w:style>
  <w:style w:type="paragraph" w:styleId="00002a" w:customStyle="true">
    <w:name w:val="研究生姓名"/>
    <w:basedOn w:val="000005"/>
    <w:uiPriority w:val="0"/>
    <w:qFormat/>
    <w:pPr>
      <w:widowControl w:val="false"/>
      <w:kinsoku/>
      <w:autoSpaceDE/>
      <w:autoSpaceDN/>
      <w:adjustRightInd/>
      <w:snapToGrid/>
      <w:spacing w:line="240" w:lineRule="auto"/>
      <w:ind w:firstLine="700" w:firstLineChars="700"/>
      <w:jc w:val="both"/>
      <w:textAlignment w:val="auto"/>
    </w:pPr>
    <w:rPr>
      <w:rFonts w:ascii="Times New Roman" w:hAnsi="Times New Roman" w:eastAsia="宋体" w:cs="Times New Roman"/>
      <w:snapToGrid/>
      <w:kern w:val="2"/>
      <w:sz w:val="28"/>
      <w:szCs w:val="28"/>
      <w:lang w:eastAsia="zh-CN"/>
    </w:rPr>
  </w:style>
  <w:style w:type="paragraph" w:styleId="00000d">
    <w:name w:val="Body Text Indent"/>
    <w:basedOn w:val="000005"/>
    <w:next w:val="00000e"/>
    <w:uiPriority w:val="99"/>
    <w:qFormat/>
    <w:pPr>
      <w:widowControl w:val="false"/>
      <w:kinsoku/>
      <w:autoSpaceDE/>
      <w:autoSpaceDN/>
      <w:adjustRightInd/>
      <w:snapToGrid/>
      <w:spacing w:after="120" w:line="240" w:lineRule="auto"/>
      <w:ind w:left="420" w:leftChars="200"/>
      <w:jc w:val="both"/>
      <w:textAlignment w:val="auto"/>
    </w:pPr>
    <w:rPr>
      <w:rFonts w:ascii="Calibri" w:hAnsi="Calibri" w:eastAsia="宋体" w:cs="Times New Roman"/>
      <w:snapToGrid/>
      <w:kern w:val="2"/>
      <w:sz w:val="28"/>
      <w:szCs w:val="28"/>
      <w:lang w:eastAsia="zh-CN"/>
    </w:rPr>
  </w:style>
  <w:style w:type="paragraph" w:styleId="000010">
    <w:name w:val="header"/>
    <w:basedOn w:val="000005"/>
    <w:uiPriority w:val="99"/>
    <w:qFormat/>
    <w:pPr>
      <w:pBdr>
        <w:top w:val="none" w:color="auto" w:sz="0" w:space="1"/>
        <w:left w:val="none" w:color="auto" w:sz="0" w:space="4"/>
        <w:bottom w:val="none" w:color="auto" w:sz="0" w:space="1"/>
        <w:right w:val="none" w:color="auto" w:sz="0" w:space="4"/>
      </w:pBdr>
      <w:tabs>
        <w:tab w:val="center" w:pos="4153"/>
        <w:tab w:val="right" w:pos="8306"/>
      </w:tabs>
      <w:snapToGrid w:val="false"/>
      <w:spacing w:line="240" w:lineRule="auto"/>
      <w:jc w:val="both"/>
      <w:outlineLvl w:val="9"/>
    </w:pPr>
    <w:rPr>
      <w:sz w:val="18"/>
    </w:rPr>
  </w:style>
  <w:style w:type="table" w:styleId="000021" w:customStyle="true">
    <w:name w:val="Table Normal"/>
    <w:uiPriority w:val="0"/>
    <w:qFormat/>
    <w:tblPr>
      <w:tblCellMar>
        <w:top w:w="0" w:type="dxa"/>
        <w:left w:w="0" w:type="dxa"/>
        <w:bottom w:w="0" w:type="dxa"/>
        <w:right w:w="0" w:type="dxa"/>
      </w:tblCellMar>
    </w:tblPr>
  </w:style>
  <w:style w:type="paragraph" w:styleId="000030" w:customStyle="true">
    <w:name w:val="论文标题"/>
    <w:basedOn w:val="000005"/>
    <w:uiPriority w:val="0"/>
    <w:qFormat/>
    <w:pPr>
      <w:widowControl w:val="false"/>
      <w:kinsoku/>
      <w:autoSpaceDE/>
      <w:autoSpaceDN/>
      <w:adjustRightInd/>
      <w:snapToGrid/>
      <w:spacing w:line="240" w:lineRule="auto"/>
      <w:jc w:val="center"/>
      <w:textAlignment w:val="auto"/>
    </w:pPr>
    <w:rPr>
      <w:rFonts w:ascii="Times New Roman" w:hAnsi="Times New Roman" w:eastAsia="楷体_GB2312" w:cs="Times New Roman"/>
      <w:b/>
      <w:snapToGrid/>
      <w:kern w:val="36"/>
      <w:sz w:val="52"/>
      <w:szCs w:val="52"/>
      <w:lang w:eastAsia="zh-CN"/>
    </w:rPr>
  </w:style>
  <w:style w:type="character" w:styleId="00001c" w:customStyle="true">
    <w:name w:val="font11"/>
    <w:basedOn w:val="000009"/>
    <w:uiPriority w:val="0"/>
    <w:qFormat/>
    <w:rPr>
      <w:rFonts w:hint="eastAsia" w:ascii="宋体" w:hAnsi="宋体" w:eastAsia="宋体" w:cs="宋体"/>
      <w:color w:val="000000"/>
      <w:sz w:val="16"/>
      <w:szCs w:val="16"/>
      <w:u w:val="none"/>
    </w:rPr>
  </w:style>
  <w:style w:type="paragraph" w:styleId="000006">
    <w:name w:val="heading 1"/>
    <w:basedOn w:val="000005"/>
    <w:next w:val="000005"/>
    <w:uiPriority w:val="9"/>
    <w:qFormat/>
    <w:pPr>
      <w:keepNext/>
      <w:keepLines/>
      <w:spacing w:before="340" w:beforeAutospacing="false" w:after="330" w:afterAutospacing="false" w:line="576" w:lineRule="auto"/>
      <w:outlineLvl w:val="0"/>
    </w:pPr>
    <w:rPr>
      <w:rFonts w:ascii="Calibri" w:hAnsi="Calibri" w:eastAsia="黑体"/>
      <w:b/>
      <w:kern w:val="44"/>
      <w:sz w:val="36"/>
    </w:rPr>
  </w:style>
  <w:style w:type="character" w:styleId="000025" w:customStyle="true">
    <w:name w:val="font41"/>
    <w:basedOn w:val="000009"/>
    <w:uiPriority w:val="0"/>
    <w:qFormat/>
    <w:rPr>
      <w:rFonts w:hint="eastAsia" w:ascii="宋体" w:hAnsi="宋体" w:eastAsia="宋体" w:cs="宋体"/>
      <w:color w:val="000000"/>
      <w:sz w:val="16"/>
      <w:szCs w:val="16"/>
      <w:u w:val="none"/>
    </w:rPr>
  </w:style>
  <w:style w:type="paragraph" w:styleId="00000b">
    <w:name w:val="annotation text"/>
    <w:basedOn w:val="000005"/>
    <w:uiPriority w:val="99"/>
    <w:qFormat/>
    <w:pPr>
      <w:jc w:val="left"/>
    </w:pPr>
  </w:style>
  <w:style w:type="character" w:styleId="000037" w:customStyle="true">
    <w:name w:val="font01"/>
    <w:basedOn w:val="000009"/>
    <w:uiPriority w:val="0"/>
    <w:qFormat/>
    <w:rPr>
      <w:rFonts w:hint="eastAsia" w:ascii="宋体" w:hAnsi="宋体" w:eastAsia="宋体" w:cs="宋体"/>
      <w:color w:val="FF0000"/>
      <w:sz w:val="21"/>
      <w:szCs w:val="21"/>
      <w:u w:val="none"/>
    </w:rPr>
  </w:style>
</w:styles>
</file>

<file path=word/_rels/document.xml.rels><?xml version="1.0" encoding="UTF-8" standalone="yes"?><Relationships xmlns="http://schemas.openxmlformats.org/package/2006/relationships"><Relationship Id="rId8" Type="http://schemas.openxmlformats.org/officeDocument/2006/relationships/image" Target="media/image2.png" /><Relationship Id="rId6" Type="http://schemas.openxmlformats.org/officeDocument/2006/relationships/footer" Target="footer1.xml" /><Relationship Id="rId5" Type="http://schemas.openxmlformats.org/officeDocument/2006/relationships/theme" Target="theme/theme1.xml" /><Relationship Id="rId4" Type="http://schemas.openxmlformats.org/officeDocument/2006/relationships/fontTable" Target="fontTable.xml" /><Relationship Id="rId31" Type="http://schemas.openxmlformats.org/officeDocument/2006/relationships/image" Target="media/image25.jpg" /><Relationship Id="rId3" Type="http://schemas.openxmlformats.org/officeDocument/2006/relationships/endnotes" Target="endnotes.xml" /><Relationship Id="rId29" Type="http://schemas.openxmlformats.org/officeDocument/2006/relationships/image" Target="media/image23.png" /><Relationship Id="rId30" Type="http://schemas.openxmlformats.org/officeDocument/2006/relationships/image" Target="media/image24.jpg" /><Relationship Id="rId26" Type="http://schemas.openxmlformats.org/officeDocument/2006/relationships/image" Target="media/image20.png" /><Relationship Id="rId25" Type="http://schemas.openxmlformats.org/officeDocument/2006/relationships/image" Target="media/image19.png" /><Relationship Id="rId24" Type="http://schemas.openxmlformats.org/officeDocument/2006/relationships/image" Target="media/image18.jpg" /><Relationship Id="rId11" Type="http://schemas.openxmlformats.org/officeDocument/2006/relationships/image" Target="media/image5.png" /><Relationship Id="rId9" Type="http://schemas.openxmlformats.org/officeDocument/2006/relationships/image" Target="media/image3.jpg" /><Relationship Id="rId13" Type="http://schemas.openxmlformats.org/officeDocument/2006/relationships/image" Target="media/image7.png" /><Relationship Id="rId1" Type="http://schemas.openxmlformats.org/officeDocument/2006/relationships/settings" Target="settings.xml" /><Relationship Id="rId10" Type="http://schemas.openxmlformats.org/officeDocument/2006/relationships/image" Target="media/image4.jpg" /><Relationship Id="rId7" Type="http://schemas.openxmlformats.org/officeDocument/2006/relationships/image" Target="media/image1.png" /><Relationship Id="rId16" Type="http://schemas.openxmlformats.org/officeDocument/2006/relationships/image" Target="media/image10.png" /><Relationship Id="rId28" Type="http://schemas.openxmlformats.org/officeDocument/2006/relationships/image" Target="media/image22.png" /><Relationship Id="rId12" Type="http://schemas.openxmlformats.org/officeDocument/2006/relationships/image" Target="media/image6.png" /><Relationship Id="rId27" Type="http://schemas.openxmlformats.org/officeDocument/2006/relationships/image" Target="media/image21.png" /><Relationship Id="rId2" Type="http://schemas.openxmlformats.org/officeDocument/2006/relationships/footnotes" Target="footnotes.xml" /><Relationship Id="rId21" Type="http://schemas.openxmlformats.org/officeDocument/2006/relationships/image" Target="media/image15.png" /><Relationship Id="rId14" Type="http://schemas.openxmlformats.org/officeDocument/2006/relationships/image" Target="media/image8.png" /><Relationship Id="rId0" Type="http://schemas.openxmlformats.org/officeDocument/2006/relationships/styles" Target="styles.xml" /><Relationship Id="rId15" Type="http://schemas.openxmlformats.org/officeDocument/2006/relationships/image" Target="media/image9.png" /><Relationship Id="rId23" Type="http://schemas.openxmlformats.org/officeDocument/2006/relationships/image" Target="media/image17.png" /><Relationship Id="rId17" Type="http://schemas.openxmlformats.org/officeDocument/2006/relationships/image" Target="media/image11.jpg" /><Relationship Id="rId18" Type="http://schemas.openxmlformats.org/officeDocument/2006/relationships/image" Target="media/image12.jpg" /><Relationship Id="rId32" Type="http://schemas.openxmlformats.org/officeDocument/2006/relationships/image" Target="media/image26.jpg" /><Relationship Id="rId19" Type="http://schemas.openxmlformats.org/officeDocument/2006/relationships/image" Target="media/image13.png" /><Relationship Id="rId20" Type="http://schemas.openxmlformats.org/officeDocument/2006/relationships/image" Target="media/image14.png" /><Relationship Id="rId22" Type="http://schemas.openxmlformats.org/officeDocument/2006/relationships/image" Target="media/image1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vt="http://schemas.openxmlformats.org/officeDocument/2006/docPropsVTypes" xmlns="http://schemas.openxmlformats.org/officeDocument/2006/extended-properties">
  <Application>Tencent office</Application>
</Properties>
</file>

<file path=docProps/core.xml><?xml version="1.0" encoding="utf-8"?>
<cp:coreProperties xmlns:xsi="http://www.w3.org/2001/XMLSchema-instance" xmlns:dcmitype="http://purl.org/dc/dcmitype/" xmlns:dcterms="http://purl.org/dc/terms/" xmlns:cp="http://schemas.openxmlformats.org/package/2006/metadata/core-properties" xmlns:dc="http://purl.org/dc/elements/1.1/">
  <dcterms:created xsi:type="dcterms:W3CDTF">2025-12-02T08:50:04Z</dcterms:created>
  <dcterms:modified xsi:type="dcterms:W3CDTF">2025-12-02T08:50:04Z</dcterms:modified>
</cp:coreProperties>
</file>