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otnotes.xml" ContentType="application/vnd.openxmlformats-officedocument.wordprocessingml.footnotes+xml"/>
  <Override PartName="/word/theme/theme1.xml" ContentType="application/vnd.openxmlformats-officedocument.theme+xml"/>
  <Override PartName="/word/endnotes.xml" ContentType="application/vnd.openxmlformats-officedocument.wordprocessingml.endnotes+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Style w:val="000024"/>
        <w:rPr>
          <w:rFonts w:hint="eastAsia" w:ascii="黑体" w:hAnsi="黑体" w:eastAsia="黑体" w:cs="黑体"/>
          <w:b w:val="0"/>
          <w:bCs w:val="0"/>
          <w:kern w:val="2"/>
          <w:sz w:val="32"/>
          <w:szCs w:val="32"/>
          <w:highlight w:val="none"/>
          <w:lang w:val="en-US" w:eastAsia="zh-CN" w:bidi="ar-SA"/>
        </w:rPr>
      </w:pPr>
      <w:r>
        <w:rPr>
          <w:rFonts w:hint="eastAsia" w:ascii="黑体" w:hAnsi="黑体" w:eastAsia="黑体" w:cs="黑体"/>
          <w:b w:val="0"/>
          <w:bCs w:val="0"/>
          <w:kern w:val="2"/>
          <w:sz w:val="32"/>
          <w:szCs w:val="32"/>
          <w:highlight w:val="none"/>
          <w:lang w:val="en-US" w:eastAsia="zh-CN" w:bidi="ar-SA"/>
        </w:rPr>
        <w:t>附件：</w:t>
      </w:r>
      <w:r>
        <w:rPr>
          <w:rFonts w:hint="default" w:ascii="黑体" w:hAnsi="黑体" w:eastAsia="黑体" w:cs="黑体"/>
          <w:b w:val="0"/>
          <w:bCs w:val="0"/>
          <w:kern w:val="2"/>
          <w:sz w:val="32"/>
          <w:szCs w:val="32"/>
          <w:highlight w:val="none"/>
          <w:lang w:val="en-US" w:eastAsia="zh-CN" w:bidi="ar-SA"/>
        </w:rPr>
        <w:t xml:space="preserve">         </w:t>
      </w:r>
      <w:r>
        <w:rPr>
          <w:rFonts w:hint="eastAsia" w:ascii="黑体" w:hAnsi="黑体" w:eastAsia="黑体" w:cs="黑体"/>
          <w:b w:val="0"/>
          <w:bCs w:val="0"/>
          <w:kern w:val="2"/>
          <w:sz w:val="32"/>
          <w:szCs w:val="32"/>
          <w:highlight w:val="none"/>
          <w:lang w:val="en-US" w:eastAsia="zh-CN" w:bidi="ar-SA"/>
        </w:rPr>
        <w:t>中原银行授信业务反馈通知书</w:t>
      </w: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ind w:firstLine="640" w:firstLineChars="200"/>
        <w:textAlignment w:val="auto"/>
        <w:rPr>
          <w:rFonts w:hint="eastAsia" w:ascii="仿宋" w:hAnsi="仿宋" w:eastAsia="仿宋"/>
          <w:b w:val="0"/>
          <w:bCs w:val="0"/>
          <w:sz w:val="32"/>
          <w:szCs w:val="32"/>
          <w:highlight w:val="none"/>
          <w:lang w:val="en-US" w:eastAsia="zh-CN"/>
        </w:rPr>
      </w:pPr>
      <w:r>
        <w:rPr>
          <w:rFonts w:hint="eastAsia" w:ascii="仿宋" w:hAnsi="仿宋" w:eastAsia="仿宋"/>
          <w:b w:val="0"/>
          <w:bCs w:val="0"/>
          <w:sz w:val="32"/>
          <w:szCs w:val="32"/>
          <w:highlight w:val="none"/>
          <w:lang w:val="en-US" w:eastAsia="zh-CN"/>
        </w:rPr>
        <w:t>新乡分行：</w:t>
      </w: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ind w:firstLine="640" w:firstLineChars="200"/>
        <w:textAlignment w:val="auto"/>
        <w:rPr>
          <w:rFonts w:hint="eastAsia" w:ascii="仿宋" w:hAnsi="仿宋" w:eastAsia="仿宋"/>
          <w:b w:val="0"/>
          <w:bCs w:val="0"/>
          <w:sz w:val="32"/>
          <w:szCs w:val="32"/>
          <w:highlight w:val="none"/>
          <w:lang w:val="en-US" w:eastAsia="zh-CN"/>
        </w:rPr>
      </w:pPr>
      <w:r>
        <w:rPr>
          <w:rFonts w:hint="eastAsia" w:ascii="仿宋" w:hAnsi="仿宋" w:eastAsia="仿宋"/>
          <w:b w:val="0"/>
          <w:bCs w:val="0"/>
          <w:sz w:val="32"/>
          <w:szCs w:val="32"/>
          <w:highlight w:val="none"/>
          <w:lang w:val="en-US" w:eastAsia="zh-CN"/>
        </w:rPr>
        <w:t>你单位提交的授信业务《河南同盟国资集团有限公司》，经审查/审议，尚存在下列事项需进一补充调查、核实和说明。请你单位尽快落实，并通过信贷系统反馈流程上传影像资料。反馈回复须包括：（</w:t>
      </w:r>
      <w:r>
        <w:rPr>
          <w:rFonts w:hint="default" w:ascii="仿宋" w:hAnsi="仿宋" w:eastAsia="仿宋"/>
          <w:b w:val="0"/>
          <w:bCs w:val="0"/>
          <w:sz w:val="32"/>
          <w:szCs w:val="32"/>
          <w:highlight w:val="none"/>
          <w:lang w:val="en-US" w:eastAsia="zh-CN"/>
        </w:rPr>
        <w:t>1</w:t>
      </w:r>
      <w:r>
        <w:rPr>
          <w:rFonts w:hint="eastAsia" w:ascii="仿宋" w:hAnsi="仿宋" w:eastAsia="仿宋"/>
          <w:b w:val="0"/>
          <w:bCs w:val="0"/>
          <w:sz w:val="32"/>
          <w:szCs w:val="32"/>
          <w:highlight w:val="none"/>
          <w:lang w:val="en-US" w:eastAsia="zh-CN"/>
        </w:rPr>
        <w:t>）反馈通知书电子版回复；（</w:t>
      </w:r>
      <w:r>
        <w:rPr>
          <w:rFonts w:hint="default" w:ascii="仿宋" w:hAnsi="仿宋" w:eastAsia="仿宋"/>
          <w:b w:val="0"/>
          <w:bCs w:val="0"/>
          <w:sz w:val="32"/>
          <w:szCs w:val="32"/>
          <w:highlight w:val="none"/>
          <w:lang w:val="en-US" w:eastAsia="zh-CN"/>
        </w:rPr>
        <w:t>2</w:t>
      </w:r>
      <w:r>
        <w:rPr>
          <w:rFonts w:hint="eastAsia" w:ascii="仿宋" w:hAnsi="仿宋" w:eastAsia="仿宋"/>
          <w:b w:val="0"/>
          <w:bCs w:val="0"/>
          <w:sz w:val="32"/>
          <w:szCs w:val="32"/>
          <w:highlight w:val="none"/>
          <w:lang w:val="en-US" w:eastAsia="zh-CN"/>
        </w:rPr>
        <w:t>）反馈通知书纸质签字版回复扫描件（确保与电子版内容一致）；（</w:t>
      </w:r>
      <w:r>
        <w:rPr>
          <w:rFonts w:hint="default" w:ascii="仿宋" w:hAnsi="仿宋" w:eastAsia="仿宋"/>
          <w:b w:val="0"/>
          <w:bCs w:val="0"/>
          <w:sz w:val="32"/>
          <w:szCs w:val="32"/>
          <w:highlight w:val="none"/>
          <w:lang w:val="en-US" w:eastAsia="zh-CN"/>
        </w:rPr>
        <w:t>3</w:t>
      </w:r>
      <w:r>
        <w:rPr>
          <w:rFonts w:hint="eastAsia" w:ascii="仿宋" w:hAnsi="仿宋" w:eastAsia="仿宋"/>
          <w:b w:val="0"/>
          <w:bCs w:val="0"/>
          <w:sz w:val="32"/>
          <w:szCs w:val="32"/>
          <w:highlight w:val="none"/>
          <w:lang w:val="en-US" w:eastAsia="zh-CN"/>
        </w:rPr>
        <w:t>）反馈通知书中要求补充的文件、资料等；（</w:t>
      </w:r>
      <w:r>
        <w:rPr>
          <w:rFonts w:hint="default" w:ascii="仿宋" w:hAnsi="仿宋" w:eastAsia="仿宋"/>
          <w:b w:val="0"/>
          <w:bCs w:val="0"/>
          <w:sz w:val="32"/>
          <w:szCs w:val="32"/>
          <w:highlight w:val="none"/>
          <w:lang w:val="en-US" w:eastAsia="zh-CN"/>
        </w:rPr>
        <w:t>4</w:t>
      </w:r>
      <w:r>
        <w:rPr>
          <w:rFonts w:hint="eastAsia" w:ascii="仿宋" w:hAnsi="仿宋" w:eastAsia="仿宋"/>
          <w:b w:val="0"/>
          <w:bCs w:val="0"/>
          <w:sz w:val="32"/>
          <w:szCs w:val="32"/>
          <w:highlight w:val="none"/>
          <w:lang w:val="en-US" w:eastAsia="zh-CN"/>
        </w:rPr>
        <w:t>）其他反馈回复中提到的凭证等证明材料。</w:t>
      </w:r>
    </w:p>
    <w:p>
      <w:pPr>
        <w:pStyle w:val="000024"/>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2" w:firstLineChars="200"/>
        <w:textAlignment w:val="auto"/>
        <w:rPr>
          <w:rFonts w:hint="default" w:ascii="仿宋" w:hAnsi="仿宋" w:eastAsia="仿宋" w:cs="Times New Roman"/>
          <w:b w:val="1"/>
          <w:bCs w:val="1"/>
          <w:sz w:val="24"/>
          <w:szCs w:val="24"/>
          <w:highlight w:val="none"/>
          <w:lang w:val="en-US" w:eastAsia="zh-CN"/>
        </w:rPr>
      </w:pPr>
      <w:r>
        <w:rPr>
          <w:rFonts w:hint="eastAsia" w:ascii="仿宋" w:hAnsi="仿宋" w:eastAsia="仿宋" w:cs="Times New Roman"/>
          <w:b w:val="1"/>
          <w:bCs w:val="1"/>
          <w:sz w:val="24"/>
          <w:szCs w:val="24"/>
          <w:highlight w:val="none"/>
          <w:lang w:val="en-US" w:eastAsia="zh-CN"/>
        </w:rPr>
        <w:t>一、合规性材料类</w:t>
      </w:r>
    </w:p>
    <w:p>
      <w:pPr>
        <w:pStyle w:val="000024"/>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eastAsia"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1.请补充合规审查清单</w:t>
      </w:r>
    </w:p>
    <w:p>
      <w:pPr>
        <w:pStyle w:val="000024"/>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eastAsia"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2.集团存量流资的还款计划？是否按期归还本金？</w:t>
      </w:r>
    </w:p>
    <w:p>
      <w:pPr>
        <w:pStyle w:val="000024"/>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eastAsia"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3.备案证上本项目未区分一期、二期，为何本项目可以划分为一二期？</w:t>
      </w:r>
    </w:p>
    <w:p>
      <w:pPr>
        <w:pStyle w:val="000024"/>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eastAsia"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4.请补充本项目的电网并网意见和电网系统接入系统方案电网同意回复单，若未取得预计可办理时间。</w:t>
      </w:r>
    </w:p>
    <w:p>
      <w:pPr>
        <w:pStyle w:val="000024"/>
        <w:keepNext w:val="0"/>
        <w:keepLines w:val="0"/>
        <w:pageBreakBefore w:val="0"/>
        <w:widowControl w:val="0"/>
        <w:pBdr/>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eastAsia" w:ascii="仿宋" w:hAnsi="仿宋" w:eastAsia="仿宋" w:cs="Times New Roman"/>
          <w:b w:val="0"/>
          <w:bCs w:val="0"/>
          <w:color w:val="000000"/>
          <w:sz w:val="24"/>
          <w:szCs w:val="24"/>
          <w:highlight w:val="none"/>
          <w:lang w:val="en-US" w:eastAsia="zh-CN"/>
        </w:rPr>
      </w:pPr>
      <w:r>
        <w:rPr>
          <w:rFonts w:hint="eastAsia" w:ascii="仿宋" w:hAnsi="仿宋" w:eastAsia="仿宋" w:cs="Times New Roman"/>
          <w:b w:val="0"/>
          <w:bCs w:val="0"/>
          <w:color w:val="000000"/>
          <w:sz w:val="24"/>
          <w:szCs w:val="24"/>
          <w:highlight w:val="none"/>
          <w:lang w:val="en-US" w:eastAsia="zh-CN"/>
        </w:rPr>
        <w:t>回复：因工业企业源网荷储全部是自发自用，因此只需要电网系统接入方案，不需要并网意见。电网系统接入方案需要项目设计方出具电力系统接入方案，报国网审查，《关于切实做好各类电源项目接网有关工作的通知》，对于工业企业源网荷储一体化项目的电网接入服务时限，政府规定了以下具体流程和时限要求：1、电网企业收到项目单位的接入系统设计方案报告后，应在2个工作日内出具书面受理意见。若需补充材料，需一次性书面告知。低压接入（35千伏及以下）：答复时限缩短至10个工作日内。在源网荷储一体化项目和接入工程均完成核准（备案）后，电网企业与项目业主需在15个工作日内签订接网协议。</w:t>
      </w:r>
    </w:p>
    <w:p>
      <w:pPr>
        <w:pStyle w:val="000013"/>
        <w:keepNext w:val="0"/>
        <w:keepLines w:val="0"/>
        <w:pageBreakBefore w:val="0"/>
        <w:widowControl w:val="0"/>
        <w:pBdr>
          <w:bottom/>
        </w:pBdr>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eastAsia" w:ascii="仿宋" w:hAnsi="仿宋" w:eastAsia="仿宋" w:cs="Times New Roman"/>
          <w:b w:val="0"/>
          <w:bCs w:val="0"/>
          <w:color w:val="000000"/>
          <w:sz w:val="24"/>
          <w:szCs w:val="24"/>
          <w:highlight w:val="none"/>
          <w:lang w:val="en-US" w:eastAsia="zh-CN"/>
        </w:rPr>
      </w:pPr>
      <w:r>
        <w:rPr>
          <w:rFonts w:hint="eastAsia" w:ascii="仿宋" w:hAnsi="仿宋" w:eastAsia="仿宋" w:cs="Times New Roman"/>
          <w:b w:val="0"/>
          <w:bCs w:val="0"/>
          <w:color w:val="000000"/>
          <w:sz w:val="24"/>
          <w:szCs w:val="24"/>
          <w:highlight w:val="none"/>
          <w:lang w:val="en-US" w:eastAsia="zh-CN"/>
        </w:rPr>
        <w:t>目前该项目已经进入设计阶段，预计15个工作日可以完成，接入方案审查大约需要15个工作日左右。</w:t>
      </w:r>
    </w:p>
    <w:p>
      <w:pPr>
        <w:pStyle w:val="000024"/>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eastAsia"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5.请补充本项目正式版《合同能源管理服务协议》，若未取得预计可办理时间。</w:t>
      </w:r>
    </w:p>
    <w:p>
      <w:pPr>
        <w:pStyle w:val="000024"/>
        <w:keepNext w:val="0"/>
        <w:keepLines w:val="0"/>
        <w:pageBreakBefore w:val="0"/>
        <w:widowControl w:val="0"/>
        <w:pBdr/>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eastAsia" w:ascii="仿宋" w:hAnsi="仿宋" w:eastAsia="仿宋" w:cs="Times New Roman"/>
          <w:b w:val="0"/>
          <w:bCs w:val="0"/>
          <w:color w:val="000000"/>
          <w:sz w:val="24"/>
          <w:szCs w:val="24"/>
          <w:highlight w:val="none"/>
          <w:lang w:val="en-US" w:eastAsia="zh-CN"/>
        </w:rPr>
      </w:pPr>
      <w:r>
        <w:rPr>
          <w:rFonts w:hint="eastAsia" w:ascii="仿宋" w:hAnsi="仿宋" w:eastAsia="仿宋" w:cs="Times New Roman"/>
          <w:b w:val="0"/>
          <w:bCs w:val="0"/>
          <w:color w:val="000000"/>
          <w:sz w:val="24"/>
          <w:szCs w:val="24"/>
          <w:highlight w:val="none"/>
          <w:lang w:val="en-US" w:eastAsia="zh-CN"/>
        </w:rPr>
        <w:t>回复：大成包装已经与项目方签订意向协议，目前大成包装已经进入旺季，开工率较高，急需低成本电力，且项目方是园区管会和县政府，预计签订正式协议需要20个工作日。</w:t>
      </w:r>
    </w:p>
    <w:p>
      <w:pPr>
        <w:pStyle w:val="000024"/>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default"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6.租赁协议里未包括闲置空地，闲置空地所有权在谁名下？是否在厂区用地红线内？为何空置状态？用地规划或建设工程规划用途？</w:t>
      </w:r>
    </w:p>
    <w:p>
      <w:pPr>
        <w:pStyle w:val="000024"/>
        <w:keepNext w:val="0"/>
        <w:keepLines w:val="0"/>
        <w:pageBreakBefore w:val="0"/>
        <w:widowControl w:val="0"/>
        <w:pBdr/>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eastAsia" w:ascii="仿宋" w:hAnsi="仿宋" w:eastAsia="仿宋" w:cs="Times New Roman"/>
          <w:b w:val="0"/>
          <w:bCs w:val="0"/>
          <w:color w:val="000000"/>
          <w:sz w:val="24"/>
          <w:szCs w:val="24"/>
          <w:highlight w:val="none"/>
          <w:lang w:val="en-US" w:eastAsia="zh-CN"/>
        </w:rPr>
      </w:pPr>
      <w:r>
        <w:rPr>
          <w:rFonts w:hint="eastAsia" w:ascii="仿宋" w:hAnsi="仿宋" w:eastAsia="仿宋" w:cs="Times New Roman"/>
          <w:b w:val="0"/>
          <w:bCs w:val="0"/>
          <w:color w:val="000000"/>
          <w:sz w:val="24"/>
          <w:szCs w:val="24"/>
          <w:highlight w:val="none"/>
          <w:lang w:val="en-US" w:eastAsia="zh-CN"/>
        </w:rPr>
        <w:t>回复：项目用地是产业园屋顶及产业园中的车棚、道路等附属用地，在产业园名下，在用地红线内，属于用地规划和工程规划范围。</w:t>
      </w:r>
    </w:p>
    <w:p>
      <w:pPr>
        <w:pStyle w:val="000024"/>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0" w:firstLineChars="200"/>
        <w:textAlignment w:val="auto"/>
        <w:rPr>
          <w:rFonts w:hint="default"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7、请调查核实后填写下表</w:t>
      </w:r>
    </w:p>
    <w:tbl>
      <w:tblPr>
        <w:tblStyle w:val="0000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83"/>
        <w:gridCol w:w="989"/>
        <w:gridCol w:w="1145"/>
        <w:gridCol w:w="1409"/>
        <w:gridCol w:w="2050"/>
        <w:gridCol w:w="2250"/>
        <w:gridCol w:w="1323"/>
        <w:gridCol w:w="1323"/>
      </w:tblGrid>
      <w:tr>
        <w:trPr>
          <w:trHeight w:val="401"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1"/>
                <w:bCs w:val="1"/>
                <w:i w:val="0"/>
                <w:iCs w:val="0"/>
                <w:color w:val="FF0000"/>
                <w:spacing w:val="0"/>
                <w:sz w:val="18"/>
                <w:szCs w:val="18"/>
                <w:vertAlign w:val="baseline"/>
              </w:rPr>
              <w:t>序号</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1"/>
                <w:bCs w:val="1"/>
                <w:i w:val="0"/>
                <w:iCs w:val="0"/>
                <w:color w:val="FF0000"/>
                <w:spacing w:val="0"/>
                <w:sz w:val="18"/>
                <w:szCs w:val="18"/>
                <w:vertAlign w:val="baseline"/>
              </w:rPr>
              <w:t>名称</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1"/>
                <w:bCs w:val="1"/>
                <w:i w:val="0"/>
                <w:iCs w:val="0"/>
                <w:color w:val="FF0000"/>
                <w:spacing w:val="0"/>
                <w:sz w:val="18"/>
                <w:szCs w:val="18"/>
                <w:vertAlign w:val="baseline"/>
              </w:rPr>
              <w:t>基底面积(m²)</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1"/>
                <w:bCs w:val="1"/>
                <w:i w:val="0"/>
                <w:iCs w:val="0"/>
                <w:color w:val="FF0000"/>
                <w:spacing w:val="0"/>
                <w:sz w:val="18"/>
                <w:szCs w:val="18"/>
                <w:vertAlign w:val="baseline"/>
              </w:rPr>
              <w:t>总建筑面积(²)</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default" w:ascii="仿宋" w:hAnsi="仿宋" w:eastAsia="仿宋" w:cs="仿宋"/>
                <w:b w:val="1"/>
                <w:bCs w:val="1"/>
                <w:i w:val="0"/>
                <w:iCs w:val="0"/>
                <w:color w:val="FF0000"/>
                <w:spacing w:val="0"/>
                <w:sz w:val="18"/>
                <w:szCs w:val="18"/>
                <w:vertAlign w:val="baseline"/>
                <w:lang w:val="en-US" w:eastAsia="zh-CN"/>
              </w:rPr>
            </w:pPr>
            <w:r>
              <w:rPr>
                <w:rFonts w:hint="eastAsia" w:ascii="仿宋" w:hAnsi="仿宋" w:eastAsia="仿宋" w:cs="仿宋"/>
                <w:b w:val="1"/>
                <w:bCs w:val="1"/>
                <w:i w:val="0"/>
                <w:iCs w:val="0"/>
                <w:color w:val="FF0000"/>
                <w:spacing w:val="0"/>
                <w:sz w:val="18"/>
                <w:szCs w:val="18"/>
                <w:vertAlign w:val="baseline"/>
                <w:lang w:val="en-US" w:eastAsia="zh-CN"/>
              </w:rPr>
              <w:t>建成时间</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default" w:ascii="仿宋" w:hAnsi="仿宋" w:eastAsia="仿宋" w:cs="仿宋"/>
                <w:b w:val="1"/>
                <w:bCs w:val="1"/>
                <w:i w:val="0"/>
                <w:iCs w:val="0"/>
                <w:color w:val="FF0000"/>
                <w:spacing w:val="0"/>
                <w:sz w:val="18"/>
                <w:szCs w:val="18"/>
                <w:vertAlign w:val="baseline"/>
                <w:lang w:val="en-US" w:eastAsia="zh-CN"/>
              </w:rPr>
            </w:pPr>
            <w:r>
              <w:rPr>
                <w:rFonts w:hint="eastAsia" w:ascii="仿宋" w:hAnsi="仿宋" w:eastAsia="仿宋" w:cs="仿宋"/>
                <w:b w:val="1"/>
                <w:bCs w:val="1"/>
                <w:i w:val="0"/>
                <w:iCs w:val="0"/>
                <w:color w:val="FF0000"/>
                <w:spacing w:val="0"/>
                <w:sz w:val="18"/>
                <w:szCs w:val="18"/>
                <w:vertAlign w:val="baseline"/>
                <w:lang w:val="en-US" w:eastAsia="zh-CN"/>
              </w:rPr>
              <w:t>合规性证件？（不动产权证证载关键内容）若未办理不动产证原因？目前已办理证件</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default" w:ascii="仿宋" w:hAnsi="仿宋" w:eastAsia="仿宋" w:cs="仿宋"/>
                <w:b w:val="1"/>
                <w:bCs w:val="1"/>
                <w:i w:val="0"/>
                <w:iCs w:val="0"/>
                <w:color w:val="FF0000"/>
                <w:spacing w:val="0"/>
                <w:sz w:val="18"/>
                <w:szCs w:val="18"/>
                <w:vertAlign w:val="baseline"/>
                <w:lang w:val="en-US" w:eastAsia="zh-CN"/>
              </w:rPr>
            </w:pPr>
            <w:r>
              <w:rPr>
                <w:rFonts w:hint="eastAsia" w:ascii="仿宋" w:hAnsi="仿宋" w:eastAsia="仿宋" w:cs="仿宋"/>
                <w:b w:val="1"/>
                <w:bCs w:val="1"/>
                <w:i w:val="0"/>
                <w:iCs w:val="0"/>
                <w:color w:val="FF0000"/>
                <w:spacing w:val="0"/>
                <w:sz w:val="18"/>
                <w:szCs w:val="18"/>
                <w:vertAlign w:val="baseline"/>
                <w:lang w:val="en-US" w:eastAsia="zh-CN"/>
              </w:rPr>
              <w:t>是否已被抵押</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default" w:ascii="仿宋" w:hAnsi="仿宋" w:eastAsia="仿宋" w:cs="仿宋"/>
                <w:b w:val="1"/>
                <w:bCs w:val="1"/>
                <w:i w:val="0"/>
                <w:iCs w:val="0"/>
                <w:color w:val="FF0000"/>
                <w:spacing w:val="0"/>
                <w:sz w:val="18"/>
                <w:szCs w:val="18"/>
                <w:vertAlign w:val="baseline"/>
                <w:lang w:val="en-US" w:eastAsia="zh-CN"/>
              </w:rPr>
            </w:pPr>
            <w:r>
              <w:rPr>
                <w:rFonts w:hint="eastAsia" w:ascii="仿宋" w:hAnsi="仿宋" w:eastAsia="仿宋" w:cs="仿宋"/>
                <w:b w:val="1"/>
                <w:bCs w:val="1"/>
                <w:i w:val="0"/>
                <w:iCs w:val="0"/>
                <w:color w:val="FF0000"/>
                <w:spacing w:val="0"/>
                <w:sz w:val="18"/>
                <w:szCs w:val="18"/>
                <w:vertAlign w:val="baseline"/>
                <w:lang w:val="en-US" w:eastAsia="zh-CN"/>
              </w:rPr>
              <w:t>是否满足建设场所合法合规、手续齐全、产权清晰？</w:t>
            </w:r>
          </w:p>
        </w:tc>
      </w:tr>
      <w:tr>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1</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1#厂房</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2616.38</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5232.76</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r>
      <w:tr>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2</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2#厂房</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3879.37</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7758.74</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r>
      <w:tr>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3</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5#厂房</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2890.38</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5780.76</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r>
      <w:tr>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4</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6#厂房</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3399.42</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6798.84</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r>
      <w:tr>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5</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8#厂房</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2890.38</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5780.76</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r>
      <w:tr>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6</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9#厂房</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2890.38</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5780.76</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r>
      <w:tr>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7</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10#厂房</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4321.26</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4321.26</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r>
      <w:tr>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8</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11#厂房</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4321.26</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4321.26</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r>
      <w:tr>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9</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12#厂房</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4321.26</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4321.26</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r>
      <w:tr>
        <w:trPr>
          <w:trHeight w:val="205" w:hRule="atLeast"/>
          <w:jc w:val="center"/>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center"/>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合计</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31530.09</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50096.4</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rPr>
            </w:pPr>
          </w:p>
        </w:tc>
      </w:tr>
      <w:tr>
        <w:trPr>
          <w:trHeight w:val="401" w:hRule="atLeast"/>
          <w:jc w:val="center"/>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可使用空闲区域占用面积</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12267.68</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lang w:val="en-US"/>
              </w:rPr>
              <w:t> </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default" w:ascii="仿宋" w:hAnsi="仿宋" w:eastAsia="仿宋" w:cs="仿宋"/>
                <w:b w:val="0"/>
                <w:bCs w:val="0"/>
                <w:i w:val="0"/>
                <w:iCs w:val="0"/>
                <w:color w:val="FF0000"/>
                <w:spacing w:val="0"/>
                <w:sz w:val="18"/>
                <w:szCs w:val="18"/>
                <w:vertAlign w:val="baseline"/>
                <w:lang w:val="en-US" w:eastAsia="zh-CN"/>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lang w:val="en-US"/>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lang w:val="en-US"/>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lang w:val="en-US"/>
              </w:rPr>
            </w:pPr>
          </w:p>
        </w:tc>
      </w:tr>
      <w:tr>
        <w:trPr>
          <w:trHeight w:val="213" w:hRule="atLeast"/>
          <w:jc w:val="center"/>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共合计</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leftChars="0" w:right="0" w:firstLine="0" w:firstLineChars="0"/>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rPr>
              <w:t>42807.95</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color w:val="FF0000"/>
                <w:sz w:val="18"/>
                <w:szCs w:val="18"/>
              </w:rPr>
            </w:pPr>
            <w:r>
              <w:rPr>
                <w:rFonts w:hint="eastAsia" w:ascii="仿宋" w:hAnsi="仿宋" w:eastAsia="仿宋" w:cs="仿宋"/>
                <w:b w:val="0"/>
                <w:bCs w:val="0"/>
                <w:i w:val="0"/>
                <w:iCs w:val="0"/>
                <w:color w:val="FF0000"/>
                <w:spacing w:val="0"/>
                <w:sz w:val="18"/>
                <w:szCs w:val="18"/>
                <w:vertAlign w:val="baseline"/>
                <w:lang w:val="en-US"/>
              </w:rPr>
              <w:t> </w:t>
            </w:r>
          </w:p>
        </w:tc>
        <w:tc>
          <w:tcPr>
            <w:tcW w:w="20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lang w:val="en-US"/>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lang w:val="en-US"/>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lang w:val="en-US"/>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000023"/>
              <w:keepNext w:val="0"/>
              <w:keepLines w:val="0"/>
              <w:pageBreakBefore w:val="0"/>
              <w:widowControl w:val="1"/>
              <w:suppressLineNumbers w:val="0"/>
              <w:kinsoku w:val="1"/>
              <w:wordWrap w:val="1"/>
              <w:overflowPunct w:val="1"/>
              <w:topLinePunct w:val="0"/>
              <w:autoSpaceDE w:val="1"/>
              <w:autoSpaceDN w:val="1"/>
              <w:bidi w:val="0"/>
              <w:adjustRightInd w:val="1"/>
              <w:snapToGrid w:val="1"/>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FF0000"/>
                <w:spacing w:val="0"/>
                <w:sz w:val="18"/>
                <w:szCs w:val="18"/>
                <w:vertAlign w:val="baseline"/>
                <w:lang w:val="en-US"/>
              </w:rPr>
            </w:pPr>
          </w:p>
        </w:tc>
      </w:tr>
    </w:tbl>
    <w:p>
      <w:pPr>
        <w:pStyle w:val="000006"/>
        <w:numPr>
          <w:ilvl w:val="1"/>
          <w:numId w:val="0"/>
        </w:numPr>
        <w:ind w:leftChars="0"/>
        <w:rPr/>
      </w:pPr>
      <w:r>
        <w:rPr/>
        <w:drawing>
          <wp:inline distT="0" distB="0" distL="114300" distR="114300">
            <wp:extent cx="5209540" cy="4163060"/>
            <wp:effectExtent l="0" t="0" r="7620" b="5715"/>
            <wp:docPr id="2" name="图片 3"/>
            <wp:cNvGraphicFramePr>
              <a:graphicFrameLocks noChangeAspect="1"/>
            </wp:cNvGraphicFramePr>
            <a:graphic>
              <a:graphicData uri="http://schemas.openxmlformats.org/drawingml/2006/picture">
                <pic:pic>
                  <pic:nvPicPr>
                    <pic:cNvPr id="3" name="图片 3"/>
                    <pic:cNvPicPr>
                      <a:picLocks noChangeAspect="1"/>
                    </pic:cNvPicPr>
                  </pic:nvPicPr>
                  <pic:blipFill>
                    <a:blip r:embed="rId7"/>
                    <a:stretch>
                      <a:fillRect/>
                    </a:stretch>
                  </pic:blipFill>
                  <pic:spPr>
                    <a:xfrm>
                      <a:off x="0" y="0"/>
                      <a:ext cx="5209540" cy="4163060"/>
                    </a:xfrm>
                    <a:prstGeom prst="rect">
                      <a:avLst/>
                    </a:prstGeom>
                    <a:noFill/>
                    <a:ln>
                      <a:noFill/>
                    </a:ln>
                  </pic:spPr>
                </pic:pic>
              </a:graphicData>
            </a:graphic>
          </wp:inline>
        </w:drawing>
      </w:r>
    </w:p>
    <w:p>
      <w:pPr>
        <w:keepNext w:val="0"/>
        <w:keepLines w:val="0"/>
        <w:pageBreakBefore w:val="0"/>
        <w:widowControl w:val="0"/>
        <w:numPr/>
        <w:kinsoku w:val="1"/>
        <w:wordWrap w:val="1"/>
        <w:overflowPunct w:val="1"/>
        <w:topLinePunct w:val="0"/>
        <w:autoSpaceDE w:val="1"/>
        <w:autoSpaceDN w:val="1"/>
        <w:bidi w:val="0"/>
        <w:adjustRightInd w:val="1"/>
        <w:snapToGrid w:val="1"/>
        <w:spacing w:after="0" w:line="400" w:lineRule="exact"/>
        <w:ind w:left="0" w:leftChars="0" w:firstLine="480" w:firstLineChars="200"/>
        <w:jc w:val="both"/>
        <w:textAlignment w:val="auto"/>
        <w:rPr>
          <w:rFonts w:hint="default"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8、用电户的国网系统等可佐证其用电量的材料。</w:t>
      </w:r>
    </w:p>
    <w:p>
      <w:pPr>
        <w:keepNext w:val="0"/>
        <w:keepLines w:val="0"/>
        <w:pageBreakBefore w:val="0"/>
        <w:widowControl w:val="0"/>
        <w:pBdr/>
        <w:kinsoku w:val="1"/>
        <w:wordWrap w:val="1"/>
        <w:overflowPunct w:val="1"/>
        <w:topLinePunct w:val="0"/>
        <w:autoSpaceDE w:val="1"/>
        <w:autoSpaceDN w:val="1"/>
        <w:bidi w:val="0"/>
        <w:adjustRightInd w:val="1"/>
        <w:snapToGrid w:val="1"/>
        <w:spacing w:after="0" w:line="400" w:lineRule="exact"/>
        <w:ind w:left="0" w:leftChars="0" w:firstLine="480" w:firstLineChars="200"/>
        <w:jc w:val="both"/>
        <w:textAlignment w:val="auto"/>
        <w:rPr>
          <w:rFonts w:hint="eastAsia"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回复：补充提供相关资料。</w:t>
      </w:r>
    </w:p>
    <w:p>
      <w:pPr>
        <w:pStyle w:val="000024"/>
        <w:keepNext w:val="0"/>
        <w:keepLines w:val="0"/>
        <w:pageBreakBefore w:val="0"/>
        <w:widowControl w:val="0"/>
        <w:numPr>
          <w:ilvl w:val="0"/>
          <w:numId w:val="1"/>
        </w:numPr>
        <w:kinsoku w:val="1"/>
        <w:wordWrap w:val="1"/>
        <w:overflowPunct w:val="1"/>
        <w:topLinePunct w:val="0"/>
        <w:autoSpaceDE w:val="1"/>
        <w:autoSpaceDN w:val="1"/>
        <w:bidi w:val="0"/>
        <w:adjustRightInd w:val="1"/>
        <w:snapToGrid w:val="1"/>
        <w:spacing w:after="0" w:line="400" w:lineRule="exact"/>
        <w:ind w:left="0" w:leftChars="0" w:firstLine="482" w:firstLineChars="200"/>
        <w:textAlignment w:val="auto"/>
        <w:rPr>
          <w:rFonts w:hint="eastAsia" w:ascii="仿宋" w:hAnsi="仿宋" w:eastAsia="仿宋" w:cs="Times New Roman"/>
          <w:b w:val="1"/>
          <w:bCs w:val="1"/>
          <w:sz w:val="24"/>
          <w:szCs w:val="24"/>
          <w:highlight w:val="none"/>
          <w:lang w:val="en-US" w:eastAsia="zh-CN"/>
        </w:rPr>
      </w:pPr>
      <w:r>
        <w:rPr>
          <w:rFonts w:hint="eastAsia" w:ascii="仿宋" w:hAnsi="仿宋" w:eastAsia="仿宋" w:cs="Times New Roman"/>
          <w:b w:val="1"/>
          <w:bCs w:val="1"/>
          <w:sz w:val="24"/>
          <w:szCs w:val="24"/>
          <w:highlight w:val="none"/>
          <w:lang w:val="en-US" w:eastAsia="zh-CN"/>
        </w:rPr>
        <w:t>项目类</w:t>
      </w:r>
    </w:p>
    <w:p>
      <w:pPr>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0" w:firstLineChars="200"/>
        <w:jc w:val="both"/>
        <w:textAlignment w:val="auto"/>
        <w:rPr>
          <w:rFonts w:hint="eastAsia"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1.600kW液冷光储充电桩是一拖几个枪？总共多少组600kW液冷充电桩，多少个枪？</w:t>
      </w:r>
    </w:p>
    <w:p>
      <w:pPr>
        <w:pStyle w:val="000014"/>
        <w:rPr>
          <w:rFonts w:hint="default"/>
          <w:lang w:val="en-US" w:eastAsia="zh-CN"/>
        </w:rPr>
      </w:pPr>
      <w:r>
        <w:rPr>
          <w:rFonts w:hint="eastAsia" w:ascii="仿宋" w:hAnsi="仿宋" w:eastAsia="仿宋" w:cs="Times New Roman"/>
          <w:b w:val="1"/>
          <w:bCs w:val="1"/>
          <w:kern w:val="2"/>
          <w:sz w:val="24"/>
          <w:szCs w:val="24"/>
          <w:highlight w:val="none"/>
          <w:lang w:val="en-US" w:eastAsia="zh-CN" w:bidi="ar-SA"/>
        </w:rPr>
        <w:t>回复</w:t>
      </w:r>
      <w:r>
        <w:rPr>
          <w:rFonts w:hint="eastAsia" w:ascii="仿宋" w:hAnsi="仿宋" w:eastAsia="仿宋" w:cs="Times New Roman"/>
          <w:b w:val="0"/>
          <w:bCs w:val="0"/>
          <w:kern w:val="2"/>
          <w:sz w:val="24"/>
          <w:szCs w:val="24"/>
          <w:highlight w:val="none"/>
          <w:lang w:val="en-US" w:eastAsia="zh-CN" w:bidi="ar-SA"/>
        </w:rPr>
        <w:t>：本项目一拖5个枪，项目合计5组充电桩25个抢。</w:t>
      </w:r>
    </w:p>
    <w:p>
      <w:pPr>
        <w:keepNext w:val="0"/>
        <w:keepLines w:val="0"/>
        <w:pageBreakBefore w:val="0"/>
        <w:widowControl w:val="0"/>
        <w:numPr>
          <w:ilvl w:val="0"/>
          <w:numId w:val="2"/>
        </w:numPr>
        <w:kinsoku w:val="1"/>
        <w:wordWrap w:val="1"/>
        <w:overflowPunct w:val="1"/>
        <w:topLinePunct w:val="0"/>
        <w:autoSpaceDE w:val="1"/>
        <w:autoSpaceDN w:val="1"/>
        <w:bidi w:val="0"/>
        <w:adjustRightInd w:val="1"/>
        <w:snapToGrid w:val="1"/>
        <w:spacing w:after="0" w:line="400" w:lineRule="exact"/>
        <w:ind w:left="0" w:leftChars="0" w:firstLine="480" w:firstLineChars="200"/>
        <w:jc w:val="both"/>
        <w:textAlignment w:val="auto"/>
        <w:rPr>
          <w:rFonts w:hint="eastAsia"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本项目充电桩部分的总造价？一组600kW液冷充电桩单位造价（设备+施工）的合理性请充分论证？</w:t>
      </w:r>
    </w:p>
    <w:p>
      <w:pPr>
        <w:pStyle w:val="000014"/>
        <w:rPr>
          <w:rFonts w:hint="default"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1"/>
          <w:bCs w:val="1"/>
          <w:kern w:val="2"/>
          <w:sz w:val="24"/>
          <w:szCs w:val="24"/>
          <w:highlight w:val="none"/>
          <w:lang w:val="en-US" w:eastAsia="zh-CN" w:bidi="ar-SA"/>
        </w:rPr>
        <w:t>回复：</w:t>
      </w:r>
      <w:r>
        <w:rPr>
          <w:rFonts w:hint="eastAsia" w:ascii="仿宋" w:hAnsi="仿宋" w:eastAsia="仿宋" w:cs="Times New Roman"/>
          <w:b w:val="0"/>
          <w:bCs w:val="0"/>
          <w:kern w:val="2"/>
          <w:sz w:val="24"/>
          <w:szCs w:val="24"/>
          <w:highlight w:val="none"/>
          <w:lang w:val="en-US" w:eastAsia="zh-CN" w:bidi="ar-SA"/>
        </w:rPr>
        <w:t>本项目600kW液冷充电桩选用华为等高端品牌整桩，整桩包含模块、液冷系统、软件平台等全套核心配置，其设备+施工一体化单位造价70-90万元/台，该造价区间与高端品牌的产品技术标准、全套集成配置要求及专业施工配套标准高度匹配，符合当前市场同类高端液冷充电桩的造价水平；此外，项目在建设分布式充电桩的基础上，还将同步配套建设光伏车棚（离网自发自用）、增设储能模块，该类配套设施单套预计增加造价 20-30 万元。</w:t>
      </w:r>
    </w:p>
    <w:p>
      <w:pPr>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0" w:firstLineChars="200"/>
        <w:jc w:val="both"/>
        <w:textAlignment w:val="auto"/>
        <w:rPr>
          <w:rFonts w:hint="eastAsia"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3.600kw液冷充电桩服务费用0.55元/度取值合理性？</w:t>
      </w:r>
    </w:p>
    <w:p>
      <w:pPr>
        <w:pStyle w:val="000014"/>
        <w:rPr>
          <w:rFonts w:hint="default"/>
          <w:color w:val="FF0000"/>
          <w:lang w:val="en-US" w:eastAsia="zh-CN"/>
        </w:rPr>
      </w:pPr>
      <w:r>
        <w:rPr>
          <w:rFonts w:hint="eastAsia" w:ascii="仿宋" w:hAnsi="仿宋" w:eastAsia="仿宋" w:cs="Times New Roman"/>
          <w:b w:val="1"/>
          <w:bCs w:val="1"/>
          <w:kern w:val="2"/>
          <w:sz w:val="24"/>
          <w:szCs w:val="24"/>
          <w:highlight w:val="none"/>
          <w:lang w:val="en-US" w:eastAsia="zh-CN" w:bidi="ar-SA"/>
        </w:rPr>
        <w:t>回复</w:t>
      </w:r>
      <w:r>
        <w:rPr>
          <w:rFonts w:hint="eastAsia" w:ascii="仿宋" w:hAnsi="仿宋" w:eastAsia="仿宋" w:cs="Times New Roman"/>
          <w:b w:val="0"/>
          <w:bCs w:val="0"/>
          <w:kern w:val="2"/>
          <w:sz w:val="24"/>
          <w:szCs w:val="24"/>
          <w:highlight w:val="none"/>
          <w:lang w:val="en-US" w:eastAsia="zh-CN" w:bidi="ar-SA"/>
        </w:rPr>
        <w:t>：本项目600kW液冷充电桩定价0.55元/度具有合理性与竞争力：市场常规充电桩服务费普遍为0.2–0.6元/度，而同类600kW液冷超充站（鹤壁液冷充电桩）参考价为0.5元/度；</w:t>
      </w:r>
      <w:r>
        <w:rPr>
          <w:rFonts w:hint="eastAsia" w:ascii="仿宋" w:hAnsi="仿宋" w:eastAsia="仿宋" w:cs="Times New Roman"/>
          <w:b w:val="0"/>
          <w:bCs w:val="0"/>
          <w:color w:val="FF0000"/>
          <w:kern w:val="2"/>
          <w:sz w:val="24"/>
          <w:szCs w:val="24"/>
          <w:highlight w:val="none"/>
          <w:lang w:val="en-US" w:eastAsia="zh-CN" w:bidi="ar-SA"/>
        </w:rPr>
        <w:t>本项目依托离网光伏车棚及储能系统显著降低用电成本，光伏电力直接以0.55元/度打包计价（含电费与服务费），仅在使用电网供电时按实代收国网电费。该定价既低于市场普遍电价0.8–1.5元/度的水平。</w:t>
      </w:r>
    </w:p>
    <w:p>
      <w:pPr>
        <w:keepNext w:val="0"/>
        <w:keepLines w:val="0"/>
        <w:pageBreakBefore w:val="0"/>
        <w:widowControl w:val="0"/>
        <w:numPr>
          <w:ilvl w:val="0"/>
          <w:numId w:val="2"/>
        </w:numPr>
        <w:kinsoku w:val="1"/>
        <w:wordWrap w:val="1"/>
        <w:overflowPunct w:val="1"/>
        <w:topLinePunct w:val="0"/>
        <w:autoSpaceDE w:val="1"/>
        <w:autoSpaceDN w:val="1"/>
        <w:bidi w:val="0"/>
        <w:adjustRightInd w:val="1"/>
        <w:snapToGrid w:val="1"/>
        <w:spacing w:after="0" w:line="400" w:lineRule="exact"/>
        <w:ind w:left="0" w:leftChars="0" w:firstLine="480" w:firstLineChars="200"/>
        <w:jc w:val="both"/>
        <w:textAlignment w:val="auto"/>
        <w:rPr>
          <w:rFonts w:hint="eastAsia"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本项目8.5MW/17MWh用户侧储能设施是多少个什么规格的储能柜？</w:t>
      </w:r>
    </w:p>
    <w:p>
      <w:pPr>
        <w:pStyle w:val="000014"/>
        <w:numPr>
          <w:numId w:val="0"/>
        </w:numPr>
        <w:ind w:leftChars="200"/>
        <w:rPr>
          <w:rFonts w:hint="default"/>
          <w:lang w:val="en-US" w:eastAsia="zh-CN"/>
        </w:rPr>
      </w:pPr>
      <w:r>
        <w:rPr>
          <w:rFonts w:hint="eastAsia" w:ascii="仿宋" w:hAnsi="仿宋" w:eastAsia="仿宋" w:cs="Times New Roman"/>
          <w:b w:val="1"/>
          <w:bCs w:val="1"/>
          <w:kern w:val="2"/>
          <w:sz w:val="24"/>
          <w:szCs w:val="24"/>
          <w:highlight w:val="none"/>
          <w:lang w:val="en-US" w:eastAsia="zh-CN" w:bidi="ar-SA"/>
        </w:rPr>
        <w:t>回复</w:t>
      </w:r>
      <w:r>
        <w:rPr>
          <w:rFonts w:hint="eastAsia" w:ascii="仿宋" w:hAnsi="仿宋" w:eastAsia="仿宋" w:cs="Times New Roman"/>
          <w:b w:val="0"/>
          <w:bCs w:val="0"/>
          <w:kern w:val="2"/>
          <w:sz w:val="24"/>
          <w:szCs w:val="24"/>
          <w:highlight w:val="none"/>
          <w:lang w:val="en-US" w:eastAsia="zh-CN" w:bidi="ar-SA"/>
        </w:rPr>
        <w:t>：本项目将建设2个5000KWH和1个4000KWH，同时建设3000KWH换电系统（单个模板15KWH)，换电模</w:t>
      </w:r>
      <w:r>
        <w:rPr>
          <w:rFonts w:hint="eastAsia" w:ascii="仿宋" w:hAnsi="仿宋" w:eastAsia="仿宋" w:cs="Times New Roman"/>
          <w:b w:val="0"/>
          <w:bCs w:val="0"/>
          <w:kern w:val="2"/>
          <w:sz w:val="24"/>
          <w:szCs w:val="24"/>
          <w:highlight w:val="none"/>
          <w:lang w:val="en-US" w:eastAsia="zh-CN" w:bidi="ar-SA"/>
        </w:rPr>
        <w:t>块</w:t>
      </w:r>
      <w:r>
        <w:rPr>
          <w:rFonts w:hint="eastAsia" w:ascii="仿宋" w:hAnsi="仿宋" w:eastAsia="仿宋" w:cs="Times New Roman"/>
          <w:b w:val="0"/>
          <w:bCs w:val="0"/>
          <w:kern w:val="2"/>
          <w:sz w:val="24"/>
          <w:szCs w:val="24"/>
          <w:highlight w:val="none"/>
          <w:lang w:val="en-US" w:eastAsia="zh-CN" w:bidi="ar-SA"/>
        </w:rPr>
        <w:t>可以作为储能换电两用。</w:t>
      </w:r>
    </w:p>
    <w:p>
      <w:pPr>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480" w:firstLineChars="200"/>
        <w:jc w:val="both"/>
        <w:textAlignment w:val="auto"/>
        <w:rPr>
          <w:rFonts w:hint="default"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5.以下总投表里为何未体现充电桩总投总金额？</w:t>
      </w:r>
    </w:p>
    <w:tbl>
      <w:tblPr>
        <w:tblStyle w:val="0000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23"/>
        <w:gridCol w:w="3099"/>
        <w:gridCol w:w="2434"/>
        <w:gridCol w:w="2502"/>
      </w:tblGrid>
      <w:tr>
        <w:trPr>
          <w:trHeight w:val="90" w:hRule="atLeast"/>
          <w:tblHeader w:val="1"/>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b w:val="1"/>
                <w:bCs w:val="1"/>
                <w:szCs w:val="22"/>
              </w:rPr>
            </w:pPr>
            <w:r>
              <w:rPr>
                <w:rFonts w:hint="eastAsia" w:ascii="仿宋" w:hAnsi="仿宋" w:eastAsia="仿宋" w:cs="仿宋"/>
                <w:b w:val="1"/>
                <w:bCs w:val="1"/>
                <w:szCs w:val="22"/>
              </w:rPr>
              <w:t>序号</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b w:val="1"/>
                <w:bCs w:val="1"/>
                <w:szCs w:val="22"/>
              </w:rPr>
            </w:pPr>
            <w:r>
              <w:rPr>
                <w:rFonts w:hint="eastAsia" w:ascii="仿宋" w:hAnsi="仿宋" w:eastAsia="仿宋" w:cs="仿宋"/>
                <w:b w:val="1"/>
                <w:bCs w:val="1"/>
                <w:szCs w:val="22"/>
              </w:rPr>
              <w:t>工程或费用名称</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b w:val="1"/>
                <w:bCs w:val="1"/>
                <w:szCs w:val="22"/>
              </w:rPr>
            </w:pPr>
            <w:r>
              <w:rPr>
                <w:rFonts w:hint="eastAsia" w:ascii="仿宋" w:hAnsi="仿宋" w:eastAsia="仿宋" w:cs="仿宋"/>
                <w:b w:val="1"/>
                <w:bCs w:val="1"/>
                <w:szCs w:val="22"/>
              </w:rPr>
              <w:t>投资额</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b w:val="1"/>
                <w:bCs w:val="1"/>
                <w:szCs w:val="22"/>
              </w:rPr>
            </w:pPr>
            <w:r>
              <w:rPr>
                <w:rFonts w:hint="eastAsia" w:ascii="仿宋" w:hAnsi="仿宋" w:eastAsia="仿宋" w:cs="仿宋"/>
                <w:b w:val="1"/>
                <w:bCs w:val="1"/>
                <w:szCs w:val="22"/>
              </w:rPr>
              <w:t>比例（%）</w:t>
            </w:r>
          </w:p>
        </w:tc>
      </w:tr>
      <w:tr>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一</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工程费用</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default" w:ascii="仿宋" w:hAnsi="仿宋" w:eastAsia="仿宋" w:cs="仿宋"/>
                <w:szCs w:val="22"/>
                <w:lang w:val="en-US"/>
              </w:rPr>
            </w:pPr>
            <w:r>
              <w:rPr>
                <w:rFonts w:hint="eastAsia" w:ascii="仿宋" w:hAnsi="仿宋" w:eastAsia="仿宋" w:cs="仿宋"/>
                <w:color w:val="auto"/>
                <w:sz w:val="21"/>
                <w:szCs w:val="21"/>
                <w:lang w:val="en-US" w:eastAsia="zh-CN"/>
              </w:rPr>
              <w:t>4514.04</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89.24%</w:t>
            </w:r>
          </w:p>
        </w:tc>
      </w:tr>
      <w:tr>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1</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光伏设备工程</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1708.65</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33.78%</w:t>
            </w:r>
          </w:p>
        </w:tc>
      </w:tr>
      <w:tr>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2</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储能设备工程</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1919.13</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37.94%</w:t>
            </w:r>
          </w:p>
        </w:tc>
      </w:tr>
      <w:tr>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3</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园区配套工程</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886.27</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17.52%</w:t>
            </w:r>
          </w:p>
        </w:tc>
      </w:tr>
      <w:tr>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二</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工程建设其他费用</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255.75</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5.06%</w:t>
            </w:r>
          </w:p>
        </w:tc>
      </w:tr>
      <w:tr>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三</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预备费</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238.49</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4.71%</w:t>
            </w:r>
          </w:p>
        </w:tc>
      </w:tr>
      <w:tr>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四</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建设期利息</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50.00</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0.99%</w:t>
            </w:r>
          </w:p>
        </w:tc>
      </w:tr>
      <w:tr>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五</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固定资产投资</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5058.28</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100.00%</w:t>
            </w:r>
          </w:p>
        </w:tc>
      </w:tr>
      <w:tr>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六</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项目总投资</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Cs w:val="22"/>
                <w:lang w:val="en-US" w:eastAsia="zh-CN"/>
              </w:rPr>
              <w:t>5058.28</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val="1"/>
              <w:wordWrap w:val="1"/>
              <w:overflowPunct w:val="1"/>
              <w:topLinePunct w:val="0"/>
              <w:autoSpaceDE w:val="1"/>
              <w:autoSpaceDN w:val="1"/>
              <w:bidi w:val="0"/>
              <w:adjustRightInd w:val="1"/>
              <w:snapToGrid w:val="1"/>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100.00%</w:t>
            </w:r>
          </w:p>
        </w:tc>
      </w:tr>
    </w:tbl>
    <w:p>
      <w:pPr>
        <w:keepNext w:val="0"/>
        <w:keepLines w:val="0"/>
        <w:pageBreakBefore w:val="0"/>
        <w:widowControl w:val="0"/>
        <w:kinsoku w:val="1"/>
        <w:wordWrap w:val="1"/>
        <w:overflowPunct w:val="1"/>
        <w:topLinePunct w:val="0"/>
        <w:autoSpaceDE w:val="0"/>
        <w:autoSpaceDN w:val="1"/>
        <w:bidi w:val="0"/>
        <w:adjustRightInd w:val="1"/>
        <w:snapToGrid w:val="1"/>
        <w:spacing w:before="157" w:beforeLines="50" w:after="157" w:afterLines="50" w:line="400" w:lineRule="exact"/>
        <w:ind w:firstLine="482" w:firstLineChars="200"/>
        <w:jc w:val="left"/>
        <w:textAlignment w:val="auto"/>
        <w:rPr>
          <w:rFonts w:hint="default" w:ascii="仿宋" w:hAnsi="仿宋" w:eastAsia="仿宋" w:cs="仿宋"/>
          <w:b w:val="0"/>
          <w:bCs w:val="0"/>
          <w:sz w:val="24"/>
          <w:szCs w:val="24"/>
          <w:lang w:val="en-US" w:eastAsia="zh-CN"/>
        </w:rPr>
      </w:pPr>
      <w:r>
        <w:rPr>
          <w:rFonts w:hint="eastAsia" w:ascii="仿宋" w:hAnsi="仿宋" w:eastAsia="仿宋" w:cs="仿宋"/>
          <w:b w:val="1"/>
          <w:bCs w:val="1"/>
          <w:sz w:val="24"/>
          <w:szCs w:val="24"/>
          <w:lang w:val="en-US" w:eastAsia="zh-CN"/>
        </w:rPr>
        <w:t>回复：</w:t>
      </w:r>
      <w:r>
        <w:rPr>
          <w:rFonts w:hint="eastAsia" w:ascii="仿宋" w:hAnsi="仿宋" w:eastAsia="仿宋" w:cs="仿宋"/>
          <w:b w:val="0"/>
          <w:bCs w:val="0"/>
          <w:sz w:val="24"/>
          <w:szCs w:val="24"/>
          <w:lang w:val="en-US" w:eastAsia="zh-CN"/>
        </w:rPr>
        <w:t>充电桩投资计入园区配套工程费用。</w:t>
      </w:r>
    </w:p>
    <w:p>
      <w:pPr>
        <w:keepNext w:val="0"/>
        <w:keepLines w:val="0"/>
        <w:pageBreakBefore w:val="0"/>
        <w:widowControl w:val="0"/>
        <w:numPr>
          <w:ilvl w:val="0"/>
          <w:numId w:val="3"/>
        </w:numPr>
        <w:kinsoku w:val="1"/>
        <w:wordWrap w:val="1"/>
        <w:overflowPunct w:val="1"/>
        <w:topLinePunct w:val="0"/>
        <w:autoSpaceDE w:val="0"/>
        <w:autoSpaceDN w:val="1"/>
        <w:bidi w:val="0"/>
        <w:adjustRightInd w:val="1"/>
        <w:snapToGrid w:val="1"/>
        <w:spacing w:line="400" w:lineRule="exact"/>
        <w:ind w:firstLine="482" w:firstLineChars="200"/>
        <w:jc w:val="left"/>
        <w:textAlignment w:val="auto"/>
        <w:rPr>
          <w:rFonts w:hint="eastAsia" w:ascii="仿宋" w:hAnsi="仿宋" w:eastAsia="仿宋" w:cs="仿宋"/>
          <w:b w:val="1"/>
          <w:bCs w:val="1"/>
          <w:sz w:val="24"/>
          <w:szCs w:val="24"/>
          <w:lang w:val="en-US" w:eastAsia="zh-CN"/>
        </w:rPr>
      </w:pPr>
      <w:r>
        <w:rPr>
          <w:rFonts w:hint="eastAsia" w:ascii="仿宋" w:hAnsi="仿宋" w:eastAsia="仿宋" w:cs="仿宋"/>
          <w:b w:val="1"/>
          <w:bCs w:val="1"/>
          <w:sz w:val="24"/>
          <w:szCs w:val="24"/>
          <w:lang w:val="en-US" w:eastAsia="zh-CN"/>
        </w:rPr>
        <w:t>本项目从光伏到用电户的电路怎么走？相关的投资金额？计入上表那个明细？</w:t>
      </w:r>
    </w:p>
    <w:p>
      <w:pPr>
        <w:pStyle w:val="000014"/>
        <w:keepNext w:val="0"/>
        <w:keepLines w:val="0"/>
        <w:pageBreakBefore w:val="0"/>
        <w:widowControl w:val="0"/>
        <w:numPr>
          <w:numId w:val="0"/>
        </w:numPr>
        <w:kinsoku w:val="1"/>
        <w:wordWrap w:val="1"/>
        <w:overflowPunct w:val="1"/>
        <w:topLinePunct w:val="0"/>
        <w:autoSpaceDE w:val="1"/>
        <w:autoSpaceDN w:val="1"/>
        <w:bidi w:val="0"/>
        <w:adjustRightInd w:val="1"/>
        <w:snapToGrid w:val="1"/>
        <w:spacing w:before="157" w:beforeLines="50" w:after="157" w:afterLines="50"/>
        <w:ind w:firstLine="482" w:firstLineChars="200"/>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1"/>
          <w:bCs w:val="1"/>
          <w:kern w:val="2"/>
          <w:sz w:val="24"/>
          <w:szCs w:val="24"/>
          <w:lang w:val="en-US" w:eastAsia="zh-CN" w:bidi="ar-SA"/>
        </w:rPr>
        <w:t>回复：</w:t>
      </w:r>
      <w:r>
        <w:rPr>
          <w:rFonts w:hint="eastAsia" w:ascii="仿宋" w:hAnsi="仿宋" w:eastAsia="仿宋" w:cs="仿宋"/>
          <w:b w:val="0"/>
          <w:bCs w:val="0"/>
          <w:kern w:val="2"/>
          <w:sz w:val="24"/>
          <w:szCs w:val="24"/>
          <w:lang w:val="en-US" w:eastAsia="zh-CN" w:bidi="ar-SA"/>
        </w:rPr>
        <w:t>本项目产业园光伏经升压至 10kV 后，通过拟建设的 3000 米中压输电电缆输送至用电户大成包装公司，该电缆可采用地上架空的敷设方式（也可使用工业园区建设预埋的地下管网），该部分建设资金 230 万元，计入园区配套工程明细。</w:t>
      </w:r>
    </w:p>
    <w:p>
      <w:pPr>
        <w:keepNext w:val="0"/>
        <w:keepLines w:val="0"/>
        <w:pageBreakBefore w:val="0"/>
        <w:widowControl w:val="0"/>
        <w:numPr>
          <w:ilvl w:val="0"/>
          <w:numId w:val="3"/>
        </w:numPr>
        <w:kinsoku w:val="1"/>
        <w:wordWrap w:val="1"/>
        <w:overflowPunct w:val="1"/>
        <w:topLinePunct w:val="0"/>
        <w:autoSpaceDE w:val="0"/>
        <w:autoSpaceDN w:val="1"/>
        <w:bidi w:val="0"/>
        <w:adjustRightInd w:val="1"/>
        <w:snapToGrid w:val="1"/>
        <w:spacing w:line="400" w:lineRule="exact"/>
        <w:ind w:left="0" w:leftChars="0" w:firstLine="482" w:firstLineChars="200"/>
        <w:jc w:val="left"/>
        <w:textAlignment w:val="auto"/>
        <w:rPr>
          <w:rFonts w:hint="eastAsia" w:ascii="仿宋" w:hAnsi="仿宋" w:eastAsia="仿宋" w:cs="仿宋"/>
          <w:b w:val="1"/>
          <w:bCs w:val="1"/>
          <w:sz w:val="24"/>
          <w:szCs w:val="24"/>
          <w:lang w:val="en-US" w:eastAsia="zh-CN"/>
        </w:rPr>
      </w:pPr>
      <w:r>
        <w:rPr>
          <w:rFonts w:hint="eastAsia" w:ascii="仿宋" w:hAnsi="仿宋" w:eastAsia="仿宋" w:cs="仿宋"/>
          <w:b w:val="1"/>
          <w:bCs w:val="1"/>
          <w:sz w:val="24"/>
          <w:szCs w:val="24"/>
          <w:lang w:val="en-US" w:eastAsia="zh-CN"/>
        </w:rPr>
        <w:t>据外部信息查询，大成包装已安装光伏，已安装规模？安装在哪期屋顶？投入时间，年发电量？统计的其年用电量数据里是否包括已安装的光伏？</w:t>
      </w:r>
    </w:p>
    <w:p>
      <w:pPr>
        <w:pStyle w:val="000014"/>
        <w:keepNext w:val="0"/>
        <w:keepLines w:val="0"/>
        <w:pageBreakBefore w:val="0"/>
        <w:widowControl w:val="0"/>
        <w:numPr>
          <w:numId w:val="0"/>
        </w:numPr>
        <w:kinsoku w:val="1"/>
        <w:wordWrap w:val="1"/>
        <w:overflowPunct w:val="1"/>
        <w:topLinePunct w:val="0"/>
        <w:autoSpaceDE w:val="1"/>
        <w:autoSpaceDN w:val="1"/>
        <w:bidi w:val="0"/>
        <w:adjustRightInd w:val="1"/>
        <w:snapToGrid w:val="1"/>
        <w:spacing w:before="157" w:beforeLines="50" w:after="157" w:afterLines="50"/>
        <w:ind w:leftChars="0" w:firstLine="482" w:firstLineChars="200"/>
        <w:textAlignment w:val="auto"/>
        <w:rPr>
          <w:rFonts w:hint="default"/>
          <w:lang w:val="en-US" w:eastAsia="zh-CN"/>
        </w:rPr>
      </w:pPr>
      <w:r>
        <w:rPr>
          <w:rFonts w:hint="eastAsia" w:ascii="仿宋" w:hAnsi="仿宋" w:eastAsia="仿宋" w:cs="仿宋"/>
          <w:b w:val="1"/>
          <w:bCs w:val="1"/>
          <w:kern w:val="2"/>
          <w:sz w:val="24"/>
          <w:szCs w:val="24"/>
          <w:lang w:val="en-US" w:eastAsia="zh-CN" w:bidi="ar-SA"/>
        </w:rPr>
        <w:t>回复：</w:t>
      </w:r>
      <w:r>
        <w:rPr>
          <w:rFonts w:hint="eastAsia" w:ascii="仿宋" w:hAnsi="仿宋" w:eastAsia="仿宋" w:cs="仿宋"/>
          <w:b w:val="0"/>
          <w:bCs w:val="0"/>
          <w:kern w:val="2"/>
          <w:sz w:val="24"/>
          <w:szCs w:val="24"/>
          <w:lang w:val="en-US" w:eastAsia="zh-CN" w:bidi="ar-SA"/>
        </w:rPr>
        <w:t>河南大成包装材料有限公司每年从国家电网购入电量 6889.68 万 kWh 及以上。该公司于</w:t>
      </w:r>
      <w:r>
        <w:rPr>
          <w:rFonts w:hint="eastAsia" w:ascii="仿宋" w:hAnsi="仿宋" w:eastAsia="仿宋" w:cs="仿宋"/>
          <w:b w:val="0"/>
          <w:bCs w:val="0"/>
          <w:kern w:val="2"/>
          <w:sz w:val="24"/>
          <w:szCs w:val="24"/>
          <w:u w:val="single"/>
          <w:lang w:val="en-US" w:eastAsia="zh-CN" w:bidi="ar-SA"/>
        </w:rPr>
        <w:t>2023</w:t>
      </w:r>
      <w:r>
        <w:rPr>
          <w:rFonts w:hint="eastAsia" w:ascii="仿宋" w:hAnsi="仿宋" w:eastAsia="仿宋" w:cs="仿宋"/>
          <w:b w:val="0"/>
          <w:bCs w:val="0"/>
          <w:kern w:val="2"/>
          <w:sz w:val="24"/>
          <w:szCs w:val="24"/>
          <w:lang w:val="en-US" w:eastAsia="zh-CN" w:bidi="ar-SA"/>
        </w:rPr>
        <w:t>年在厂区</w:t>
      </w:r>
      <w:r>
        <w:rPr>
          <w:rFonts w:hint="eastAsia" w:ascii="仿宋" w:hAnsi="仿宋" w:eastAsia="仿宋" w:cs="仿宋"/>
          <w:b w:val="0"/>
          <w:bCs w:val="0"/>
          <w:kern w:val="2"/>
          <w:sz w:val="24"/>
          <w:szCs w:val="24"/>
          <w:u w:val="none"/>
          <w:lang w:val="en-US" w:eastAsia="zh-CN" w:bidi="ar-SA"/>
        </w:rPr>
        <w:t>一</w:t>
      </w:r>
      <w:r>
        <w:rPr>
          <w:rFonts w:hint="eastAsia" w:ascii="仿宋" w:hAnsi="仿宋" w:eastAsia="仿宋" w:cs="仿宋"/>
          <w:b w:val="0"/>
          <w:bCs w:val="0"/>
          <w:kern w:val="2"/>
          <w:sz w:val="24"/>
          <w:szCs w:val="24"/>
          <w:lang w:val="en-US" w:eastAsia="zh-CN" w:bidi="ar-SA"/>
        </w:rPr>
        <w:t>期屋顶安装了2.3MW 光伏项目，本次统计的企业年用电量数据均来源于国家电网，未包含企业自身光伏自发发电量。目前该企业光伏自发发电量规模远低于其总用电量，且随着公司三期项目投产后正式生产，企业整体用电量还将持续增加。</w:t>
      </w:r>
    </w:p>
    <w:p>
      <w:pPr>
        <w:keepNext w:val="0"/>
        <w:keepLines w:val="0"/>
        <w:pageBreakBefore w:val="0"/>
        <w:widowControl w:val="0"/>
        <w:numPr>
          <w:ilvl w:val="0"/>
          <w:numId w:val="3"/>
        </w:numPr>
        <w:kinsoku w:val="1"/>
        <w:wordWrap w:val="1"/>
        <w:overflowPunct w:val="1"/>
        <w:topLinePunct w:val="0"/>
        <w:autoSpaceDE w:val="0"/>
        <w:autoSpaceDN w:val="1"/>
        <w:bidi w:val="0"/>
        <w:adjustRightInd w:val="1"/>
        <w:snapToGrid w:val="1"/>
        <w:spacing w:line="400" w:lineRule="exact"/>
        <w:ind w:left="0" w:leftChars="0" w:firstLine="482" w:firstLineChars="200"/>
        <w:jc w:val="left"/>
        <w:textAlignment w:val="auto"/>
        <w:rPr>
          <w:rFonts w:hint="eastAsia" w:ascii="仿宋" w:hAnsi="仿宋" w:eastAsia="仿宋" w:cs="仿宋"/>
          <w:b w:val="1"/>
          <w:bCs w:val="1"/>
          <w:color w:val="auto"/>
          <w:sz w:val="24"/>
          <w:szCs w:val="24"/>
          <w:lang w:val="en-US" w:eastAsia="zh-CN"/>
        </w:rPr>
      </w:pPr>
      <w:r>
        <w:rPr>
          <w:rFonts w:hint="eastAsia" w:ascii="仿宋" w:hAnsi="仿宋" w:eastAsia="仿宋" w:cs="仿宋"/>
          <w:b w:val="1"/>
          <w:bCs w:val="1"/>
          <w:color w:val="auto"/>
          <w:sz w:val="24"/>
          <w:szCs w:val="24"/>
          <w:lang w:val="en-US" w:eastAsia="zh-CN"/>
        </w:rPr>
        <w:t>大成包装为何不自己安装光伏？在建的三期项目屋顶预计能安装光伏规模（可根据屋顶面积推算）？</w:t>
      </w:r>
    </w:p>
    <w:p>
      <w:pPr>
        <w:pStyle w:val="000014"/>
        <w:keepNext w:val="0"/>
        <w:keepLines w:val="0"/>
        <w:pageBreakBefore w:val="0"/>
        <w:widowControl w:val="0"/>
        <w:numPr>
          <w:ilvl w:val="0"/>
          <w:numId w:val="0"/>
        </w:numPr>
        <w:kinsoku w:val="1"/>
        <w:wordWrap w:val="1"/>
        <w:overflowPunct w:val="1"/>
        <w:topLinePunct w:val="0"/>
        <w:autoSpaceDE w:val="1"/>
        <w:autoSpaceDN w:val="1"/>
        <w:bidi w:val="0"/>
        <w:adjustRightInd w:val="1"/>
        <w:snapToGrid w:val="1"/>
        <w:spacing w:before="157" w:beforeLines="50" w:after="157" w:afterLines="50"/>
        <w:ind w:leftChars="0" w:firstLine="482" w:firstLineChars="200"/>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1"/>
          <w:bCs w:val="1"/>
          <w:color w:val="auto"/>
          <w:kern w:val="2"/>
          <w:sz w:val="24"/>
          <w:szCs w:val="24"/>
          <w:lang w:val="en-US" w:eastAsia="zh-CN" w:bidi="ar-SA"/>
        </w:rPr>
        <w:t>回复：</w:t>
      </w:r>
      <w:r>
        <w:rPr>
          <w:rFonts w:hint="eastAsia" w:ascii="仿宋" w:hAnsi="仿宋" w:eastAsia="仿宋" w:cs="仿宋"/>
          <w:b w:val="0"/>
          <w:bCs w:val="0"/>
          <w:color w:val="auto"/>
          <w:kern w:val="2"/>
          <w:sz w:val="24"/>
          <w:szCs w:val="24"/>
          <w:lang w:val="en-US" w:eastAsia="zh-CN" w:bidi="ar-SA"/>
        </w:rPr>
        <w:t>大成包装在2025年平段用电</w:t>
      </w:r>
      <w:r>
        <w:rPr>
          <w:rFonts w:hint="eastAsia" w:ascii="仿宋" w:hAnsi="仿宋" w:eastAsia="仿宋" w:cs="仿宋"/>
          <w:b w:val="0"/>
          <w:bCs w:val="0"/>
          <w:kern w:val="2"/>
          <w:sz w:val="24"/>
          <w:szCs w:val="24"/>
          <w:lang w:val="en-US" w:eastAsia="zh-CN" w:bidi="ar-SA"/>
        </w:rPr>
        <w:t>量1842.84kWh（白天），光伏需求量在15MW ，该公司三期投产后用电量将持续增</w:t>
      </w:r>
      <w:r>
        <w:rPr>
          <w:rFonts w:hint="eastAsia" w:ascii="仿宋" w:hAnsi="仿宋" w:eastAsia="仿宋" w:cs="仿宋"/>
          <w:b w:val="0"/>
          <w:bCs w:val="0"/>
          <w:color w:val="000000"/>
          <w:kern w:val="2"/>
          <w:sz w:val="24"/>
          <w:szCs w:val="24"/>
          <w:lang w:val="en-US" w:eastAsia="zh-CN" w:bidi="ar-SA"/>
        </w:rPr>
        <w:t>加，预计增加量为3000Kwh,目前本</w:t>
      </w:r>
      <w:r>
        <w:rPr>
          <w:rFonts w:hint="eastAsia" w:ascii="仿宋" w:hAnsi="仿宋" w:eastAsia="仿宋" w:cs="仿宋"/>
          <w:b w:val="0"/>
          <w:bCs w:val="0"/>
          <w:kern w:val="2"/>
          <w:sz w:val="24"/>
          <w:szCs w:val="24"/>
          <w:lang w:val="en-US" w:eastAsia="zh-CN" w:bidi="ar-SA"/>
        </w:rPr>
        <w:t>项目光伏5.956MW，三期厂房屋预计可以按照光伏3.5MW，合计9.456MW，远小于需求量，无需考虑大成自身光伏影响。</w:t>
      </w:r>
    </w:p>
    <w:p>
      <w:pPr>
        <w:keepNext w:val="0"/>
        <w:keepLines w:val="0"/>
        <w:pageBreakBefore w:val="0"/>
        <w:widowControl w:val="0"/>
        <w:kinsoku w:val="1"/>
        <w:wordWrap w:val="1"/>
        <w:overflowPunct w:val="1"/>
        <w:topLinePunct w:val="0"/>
        <w:autoSpaceDE w:val="0"/>
        <w:autoSpaceDN w:val="1"/>
        <w:bidi w:val="0"/>
        <w:adjustRightInd w:val="1"/>
        <w:snapToGrid w:val="1"/>
        <w:spacing w:line="400" w:lineRule="exact"/>
        <w:ind w:firstLine="482" w:firstLineChars="200"/>
        <w:jc w:val="left"/>
        <w:textAlignment w:val="auto"/>
        <w:rPr>
          <w:rFonts w:hint="eastAsia" w:ascii="仿宋" w:hAnsi="仿宋" w:eastAsia="仿宋" w:cs="仿宋"/>
          <w:b w:val="1"/>
          <w:bCs w:val="1"/>
          <w:sz w:val="24"/>
          <w:szCs w:val="24"/>
        </w:rPr>
      </w:pPr>
      <w:r>
        <w:rPr>
          <w:rFonts w:hint="eastAsia" w:ascii="仿宋" w:hAnsi="仿宋" w:eastAsia="仿宋" w:cs="仿宋"/>
          <w:b w:val="1"/>
          <w:bCs w:val="1"/>
          <w:sz w:val="24"/>
          <w:szCs w:val="24"/>
          <w:lang w:val="en-US" w:eastAsia="zh-CN"/>
        </w:rPr>
        <w:t>9.本项目光伏部分</w:t>
      </w:r>
      <w:r>
        <w:rPr>
          <w:rFonts w:hint="eastAsia" w:ascii="仿宋" w:hAnsi="仿宋" w:eastAsia="仿宋" w:cs="仿宋"/>
          <w:b w:val="1"/>
          <w:bCs w:val="1"/>
          <w:sz w:val="24"/>
          <w:szCs w:val="24"/>
        </w:rPr>
        <w:t>销售（营业）收入</w:t>
      </w:r>
    </w:p>
    <w:p>
      <w:pPr>
        <w:keepNext w:val="0"/>
        <w:keepLines w:val="0"/>
        <w:widowControl w:val="1"/>
        <w:suppressLineNumbers w:val="0"/>
        <w:jc w:val="left"/>
        <w:rPr>
          <w:rFonts w:hint="eastAsia" w:ascii="仿宋" w:hAnsi="仿宋" w:eastAsia="仿宋" w:cs="仿宋"/>
          <w:bCs w:val="1"/>
          <w:sz w:val="24"/>
          <w:szCs w:val="24"/>
          <w:lang w:val="en-US" w:eastAsia="zh-CN"/>
        </w:rPr>
      </w:pPr>
      <w:r>
        <w:rPr>
          <w:rFonts w:hint="eastAsia" w:ascii="仿宋" w:hAnsi="仿宋" w:eastAsia="仿宋" w:cs="宋体"/>
          <w:bCs w:val="1"/>
          <w:sz w:val="24"/>
          <w:szCs w:val="24"/>
          <w:lang w:val="en-US" w:eastAsia="zh-CN"/>
        </w:rPr>
        <w:t>本项目拟采用的640Wp单晶N型光伏组件，本工程装机容量按</w:t>
      </w:r>
      <w:r>
        <w:rPr>
          <w:rFonts w:hint="eastAsia" w:ascii="仿宋" w:hAnsi="仿宋" w:eastAsia="仿宋" w:cs="仿宋"/>
          <w:bCs w:val="1"/>
          <w:sz w:val="24"/>
          <w:szCs w:val="24"/>
          <w:lang w:val="en-US" w:eastAsia="zh-CN"/>
        </w:rPr>
        <w:t>5.956MW测算，</w:t>
      </w:r>
      <w:r>
        <w:rPr>
          <w:rFonts w:hint="eastAsia" w:ascii="仿宋" w:hAnsi="仿宋" w:eastAsia="仿宋" w:cs="宋体"/>
          <w:bCs w:val="1"/>
          <w:sz w:val="24"/>
          <w:szCs w:val="24"/>
          <w:highlight w:val="none"/>
          <w:lang w:val="en-US" w:eastAsia="zh-CN"/>
        </w:rPr>
        <w:t>年日照小时数</w:t>
      </w:r>
      <w:r>
        <w:rPr>
          <w:rFonts w:hint="eastAsia" w:ascii="宋体" w:hAnsi="宋体" w:eastAsia="宋体" w:cs="宋体"/>
          <w:color w:val="000000"/>
          <w:kern w:val="0"/>
          <w:sz w:val="22"/>
          <w:szCs w:val="22"/>
          <w:lang w:val="en-US" w:eastAsia="zh-CN" w:bidi="ar"/>
        </w:rPr>
        <w:t>1096.74h</w:t>
      </w:r>
      <w:r>
        <w:rPr>
          <w:rFonts w:hint="eastAsia" w:ascii="仿宋" w:hAnsi="仿宋" w:eastAsia="仿宋" w:cs="宋体"/>
          <w:bCs w:val="1"/>
          <w:sz w:val="24"/>
          <w:szCs w:val="24"/>
          <w:highlight w:val="none"/>
          <w:lang w:val="en-US" w:eastAsia="zh-CN"/>
        </w:rPr>
        <w:t>，系统效率82</w:t>
      </w:r>
      <w:r>
        <w:rPr>
          <w:rFonts w:hint="default" w:ascii="仿宋" w:hAnsi="仿宋" w:eastAsia="仿宋" w:cs="宋体"/>
          <w:bCs w:val="1"/>
          <w:sz w:val="24"/>
          <w:szCs w:val="24"/>
          <w:highlight w:val="none"/>
          <w:lang w:val="en-US" w:eastAsia="zh-CN"/>
        </w:rPr>
        <w:t>%</w:t>
      </w:r>
      <w:r>
        <w:rPr>
          <w:rFonts w:hint="eastAsia" w:ascii="仿宋" w:hAnsi="仿宋" w:eastAsia="仿宋" w:cs="宋体"/>
          <w:bCs w:val="1"/>
          <w:sz w:val="24"/>
          <w:szCs w:val="24"/>
          <w:highlight w:val="none"/>
          <w:lang w:val="en-US" w:eastAsia="zh-CN"/>
        </w:rPr>
        <w:t>，首年衰减量为1%，剩余每年衰减量为0.4%，</w:t>
      </w:r>
      <w:r>
        <w:rPr>
          <w:rFonts w:hint="eastAsia" w:ascii="仿宋" w:hAnsi="仿宋" w:eastAsia="仿宋" w:cs="仿宋"/>
          <w:bCs w:val="1"/>
          <w:sz w:val="24"/>
          <w:szCs w:val="24"/>
          <w:highlight w:val="none"/>
          <w:lang w:val="en-US" w:eastAsia="zh-CN"/>
        </w:rPr>
        <w:t>销售单价平段按照0.57元/度，运营期内（12年）自用电量708万kwh，收入合计4705.37万元，平均年收入392.11万元。</w:t>
      </w:r>
    </w:p>
    <w:p>
      <w:pPr>
        <w:keepNext w:val="0"/>
        <w:keepLines w:val="0"/>
        <w:pageBreakBefore w:val="0"/>
        <w:widowControl w:val="0"/>
        <w:numPr>
          <w:ilvl w:val="0"/>
          <w:numId w:val="0"/>
        </w:numPr>
        <w:kinsoku w:val="1"/>
        <w:wordWrap w:val="1"/>
        <w:overflowPunct w:val="1"/>
        <w:topLinePunct w:val="0"/>
        <w:autoSpaceDE w:val="1"/>
        <w:autoSpaceDN w:val="1"/>
        <w:bidi w:val="0"/>
        <w:adjustRightInd w:val="1"/>
        <w:snapToGrid w:val="1"/>
        <w:spacing w:after="0" w:line="240" w:lineRule="auto"/>
        <w:ind w:firstLine="482" w:firstLineChars="200"/>
        <w:jc w:val="both"/>
        <w:textAlignment w:val="auto"/>
        <w:rPr>
          <w:rFonts w:hint="default" w:ascii="仿宋" w:hAnsi="仿宋" w:eastAsia="仿宋" w:cs="仿宋"/>
          <w:b w:val="1"/>
          <w:bCs w:val="1"/>
          <w:kern w:val="2"/>
          <w:sz w:val="24"/>
          <w:szCs w:val="24"/>
          <w:lang w:val="en-US" w:eastAsia="zh-CN" w:bidi="ar-SA"/>
        </w:rPr>
      </w:pPr>
      <w:r>
        <w:rPr>
          <w:rFonts w:hint="eastAsia" w:ascii="仿宋" w:hAnsi="仿宋" w:eastAsia="仿宋" w:cs="仿宋"/>
          <w:b w:val="1"/>
          <w:bCs w:val="1"/>
          <w:kern w:val="2"/>
          <w:sz w:val="24"/>
          <w:szCs w:val="24"/>
          <w:lang w:val="en-US" w:eastAsia="zh-CN" w:bidi="ar-SA"/>
        </w:rPr>
        <w:t>10.请参考下表列示本项目合规性手续,若尚未办理，备注原因。</w:t>
      </w:r>
    </w:p>
    <w:tbl>
      <w:tblPr>
        <w:tblStyle w:val="0000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83"/>
        <w:gridCol w:w="1749"/>
        <w:gridCol w:w="1479"/>
        <w:gridCol w:w="1186"/>
        <w:gridCol w:w="4163"/>
      </w:tblGrid>
      <w:tr>
        <w:trPr>
          <w:trHeight w:val="389" w:hRule="atLeast"/>
          <w:tblHeader w:val="1"/>
          <w:jc w:val="center"/>
        </w:trPr>
        <w:tc>
          <w:tcPr>
            <w:tcW w:w="2283" w:type="dxa"/>
            <w:tcBorders>
              <w:top w:val="single" w:color="000000" w:sz="4" w:space="0"/>
              <w:left w:val="single" w:color="000000" w:sz="4" w:space="0"/>
              <w:bottom w:val="single" w:color="000000" w:sz="4" w:space="0"/>
              <w:right w:val="single" w:color="000000" w:sz="4" w:space="0"/>
            </w:tcBorders>
            <w:shd w:val="clear" w:color="auto" w:fill="DCE6F2"/>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eastAsia" w:ascii="仿宋" w:hAnsi="仿宋" w:eastAsia="仿宋" w:cs="仿宋"/>
                <w:b w:val="1"/>
                <w:bCs w:val="0"/>
                <w:i w:val="0"/>
                <w:color w:val="auto"/>
                <w:sz w:val="21"/>
                <w:szCs w:val="21"/>
                <w:highlight w:val="none"/>
                <w:u w:val="none"/>
              </w:rPr>
            </w:pPr>
            <w:r>
              <w:rPr>
                <w:rFonts w:hint="eastAsia" w:ascii="仿宋" w:hAnsi="仿宋" w:eastAsia="仿宋" w:cs="仿宋"/>
                <w:b w:val="1"/>
                <w:bCs w:val="0"/>
                <w:i w:val="0"/>
                <w:color w:val="auto"/>
                <w:kern w:val="0"/>
                <w:sz w:val="21"/>
                <w:szCs w:val="21"/>
                <w:highlight w:val="none"/>
                <w:u w:val="none"/>
                <w:lang w:val="en-US" w:eastAsia="zh-CN" w:bidi="ar"/>
              </w:rPr>
              <w:t>文件名称</w:t>
            </w:r>
          </w:p>
        </w:tc>
        <w:tc>
          <w:tcPr>
            <w:tcW w:w="1749" w:type="dxa"/>
            <w:tcBorders>
              <w:top w:val="single" w:color="000000" w:sz="4" w:space="0"/>
              <w:left w:val="single" w:color="000000" w:sz="4" w:space="0"/>
              <w:bottom w:val="single" w:color="000000" w:sz="4" w:space="0"/>
              <w:right w:val="single" w:color="000000" w:sz="4" w:space="0"/>
            </w:tcBorders>
            <w:shd w:val="clear" w:color="auto" w:fill="DCE6F2"/>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eastAsia" w:ascii="仿宋" w:hAnsi="仿宋" w:eastAsia="仿宋" w:cs="仿宋"/>
                <w:b w:val="1"/>
                <w:bCs w:val="0"/>
                <w:i w:val="0"/>
                <w:color w:val="auto"/>
                <w:sz w:val="21"/>
                <w:szCs w:val="21"/>
                <w:highlight w:val="none"/>
                <w:u w:val="none"/>
              </w:rPr>
            </w:pPr>
            <w:r>
              <w:rPr>
                <w:rFonts w:hint="eastAsia" w:ascii="仿宋" w:hAnsi="仿宋" w:eastAsia="仿宋" w:cs="仿宋"/>
                <w:b w:val="1"/>
                <w:bCs w:val="0"/>
                <w:i w:val="0"/>
                <w:color w:val="auto"/>
                <w:kern w:val="0"/>
                <w:sz w:val="21"/>
                <w:szCs w:val="21"/>
                <w:highlight w:val="none"/>
                <w:u w:val="none"/>
                <w:lang w:val="en-US" w:eastAsia="zh-CN" w:bidi="ar"/>
              </w:rPr>
              <w:t>发布单位</w:t>
            </w:r>
          </w:p>
        </w:tc>
        <w:tc>
          <w:tcPr>
            <w:tcW w:w="1479" w:type="dxa"/>
            <w:tcBorders>
              <w:top w:val="single" w:color="000000" w:sz="4" w:space="0"/>
              <w:left w:val="single" w:color="000000" w:sz="4" w:space="0"/>
              <w:bottom w:val="single" w:color="000000" w:sz="4" w:space="0"/>
              <w:right w:val="single" w:color="000000" w:sz="4" w:space="0"/>
            </w:tcBorders>
            <w:shd w:val="clear" w:color="auto" w:fill="DCE6F2"/>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2" w:firstLineChars="200"/>
              <w:jc w:val="both"/>
              <w:textAlignment w:val="center"/>
              <w:rPr>
                <w:rFonts w:hint="default" w:ascii="仿宋" w:hAnsi="仿宋" w:eastAsia="仿宋" w:cs="仿宋"/>
                <w:b w:val="1"/>
                <w:bCs w:val="0"/>
                <w:i w:val="0"/>
                <w:color w:val="auto"/>
                <w:kern w:val="0"/>
                <w:sz w:val="21"/>
                <w:szCs w:val="21"/>
                <w:highlight w:val="none"/>
                <w:u w:val="none"/>
                <w:lang w:val="en-US" w:eastAsia="zh-CN" w:bidi="ar"/>
              </w:rPr>
            </w:pPr>
            <w:r>
              <w:rPr>
                <w:rFonts w:hint="eastAsia" w:ascii="仿宋" w:hAnsi="仿宋" w:eastAsia="仿宋" w:cs="仿宋"/>
                <w:b w:val="1"/>
                <w:bCs w:val="0"/>
                <w:i w:val="0"/>
                <w:color w:val="auto"/>
                <w:kern w:val="0"/>
                <w:sz w:val="21"/>
                <w:szCs w:val="21"/>
                <w:highlight w:val="none"/>
                <w:u w:val="none"/>
                <w:lang w:val="en-US" w:eastAsia="zh-CN" w:bidi="ar"/>
              </w:rPr>
              <w:t>证号</w:t>
            </w:r>
          </w:p>
        </w:tc>
        <w:tc>
          <w:tcPr>
            <w:tcW w:w="1186" w:type="dxa"/>
            <w:tcBorders>
              <w:top w:val="single" w:color="000000" w:sz="4" w:space="0"/>
              <w:left w:val="single" w:color="000000" w:sz="4" w:space="0"/>
              <w:bottom w:val="single" w:color="000000" w:sz="4" w:space="0"/>
              <w:right w:val="single" w:color="000000" w:sz="4" w:space="0"/>
            </w:tcBorders>
            <w:shd w:val="clear" w:color="auto" w:fill="DCE6F2"/>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left="0" w:leftChars="0" w:firstLine="211" w:firstLineChars="100"/>
              <w:jc w:val="both"/>
              <w:textAlignment w:val="center"/>
              <w:rPr>
                <w:rFonts w:hint="eastAsia" w:ascii="仿宋" w:hAnsi="仿宋" w:eastAsia="仿宋" w:cs="仿宋"/>
                <w:b w:val="1"/>
                <w:bCs w:val="0"/>
                <w:i w:val="0"/>
                <w:color w:val="auto"/>
                <w:sz w:val="21"/>
                <w:szCs w:val="21"/>
                <w:highlight w:val="none"/>
                <w:u w:val="none"/>
              </w:rPr>
            </w:pPr>
            <w:r>
              <w:rPr>
                <w:rFonts w:hint="eastAsia" w:ascii="仿宋" w:hAnsi="仿宋" w:eastAsia="仿宋" w:cs="仿宋"/>
                <w:b w:val="1"/>
                <w:bCs w:val="0"/>
                <w:i w:val="0"/>
                <w:color w:val="auto"/>
                <w:kern w:val="0"/>
                <w:sz w:val="21"/>
                <w:szCs w:val="21"/>
                <w:highlight w:val="none"/>
                <w:u w:val="none"/>
                <w:lang w:val="en-US" w:eastAsia="zh-CN" w:bidi="ar"/>
              </w:rPr>
              <w:t>取得时间</w:t>
            </w:r>
          </w:p>
        </w:tc>
        <w:tc>
          <w:tcPr>
            <w:tcW w:w="4163" w:type="dxa"/>
            <w:tcBorders>
              <w:top w:val="single" w:color="000000" w:sz="4" w:space="0"/>
              <w:left w:val="single" w:color="000000" w:sz="4" w:space="0"/>
              <w:bottom w:val="single" w:color="000000" w:sz="4" w:space="0"/>
              <w:right w:val="single" w:color="000000" w:sz="4" w:space="0"/>
            </w:tcBorders>
            <w:shd w:val="clear" w:color="auto" w:fill="DCE6F2"/>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eastAsia" w:ascii="仿宋" w:hAnsi="仿宋" w:eastAsia="仿宋" w:cs="仿宋"/>
                <w:b w:val="1"/>
                <w:bCs w:val="0"/>
                <w:i w:val="0"/>
                <w:color w:val="auto"/>
                <w:sz w:val="21"/>
                <w:szCs w:val="21"/>
                <w:highlight w:val="none"/>
                <w:u w:val="none"/>
              </w:rPr>
            </w:pPr>
            <w:r>
              <w:rPr>
                <w:rFonts w:hint="eastAsia" w:ascii="仿宋" w:hAnsi="仿宋" w:eastAsia="仿宋" w:cs="仿宋"/>
                <w:b w:val="1"/>
                <w:bCs w:val="0"/>
                <w:i w:val="0"/>
                <w:color w:val="auto"/>
                <w:kern w:val="0"/>
                <w:sz w:val="21"/>
                <w:szCs w:val="21"/>
                <w:highlight w:val="none"/>
                <w:u w:val="none"/>
                <w:lang w:val="en-US" w:eastAsia="zh-CN" w:bidi="ar"/>
              </w:rPr>
              <w:t>主要内容</w:t>
            </w:r>
          </w:p>
        </w:tc>
      </w:tr>
      <w:tr>
        <w:trPr>
          <w:trHeight w:val="1045"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0000FF"/>
                <w:kern w:val="0"/>
                <w:sz w:val="21"/>
                <w:szCs w:val="21"/>
                <w:highlight w:val="none"/>
                <w:u w:val="none"/>
                <w:lang w:val="en-US" w:eastAsia="zh-CN" w:bidi="ar"/>
              </w:rPr>
            </w:pPr>
            <w:r>
              <w:rPr>
                <w:rFonts w:hint="eastAsia" w:ascii="仿宋" w:hAnsi="仿宋" w:eastAsia="仿宋" w:cs="Times New Roman"/>
                <w:b w:val="0"/>
                <w:bCs w:val="0"/>
                <w:color w:val="0000FF"/>
                <w:sz w:val="21"/>
                <w:szCs w:val="21"/>
                <w:highlight w:val="none"/>
                <w:lang w:val="en-US" w:eastAsia="zh-CN"/>
              </w:rPr>
              <w:t>AA市轨道集团BB村车辆段源网荷储一体化项目屋顶租赁及使用三方协议</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left"/>
              <w:textAlignment w:val="center"/>
              <w:rPr>
                <w:rFonts w:hint="eastAsia" w:ascii="仿宋" w:hAnsi="仿宋" w:eastAsia="仿宋" w:cs="宋体"/>
                <w:color w:val="0000FF"/>
                <w:sz w:val="21"/>
                <w:szCs w:val="21"/>
                <w:highlight w:val="none"/>
                <w:lang w:val="en-US" w:eastAsia="zh-CN"/>
              </w:rPr>
            </w:pPr>
            <w:r>
              <w:rPr>
                <w:rFonts w:hint="eastAsia" w:ascii="仿宋" w:hAnsi="仿宋" w:eastAsia="仿宋" w:cs="宋体"/>
                <w:b w:val="1"/>
                <w:bCs w:val="1"/>
                <w:color w:val="0000FF"/>
                <w:sz w:val="21"/>
                <w:szCs w:val="21"/>
                <w:highlight w:val="none"/>
                <w:lang w:val="en-US" w:eastAsia="zh-CN"/>
              </w:rPr>
              <w:t>甲方：</w:t>
            </w:r>
            <w:r>
              <w:rPr>
                <w:rFonts w:hint="eastAsia" w:ascii="仿宋" w:hAnsi="仿宋" w:eastAsia="仿宋" w:cs="宋体"/>
                <w:color w:val="0000FF"/>
                <w:sz w:val="21"/>
                <w:szCs w:val="21"/>
                <w:highlight w:val="none"/>
                <w:lang w:val="en-US" w:eastAsia="zh-CN"/>
              </w:rPr>
              <w:t>AACC交投能源有限公司</w:t>
            </w:r>
          </w:p>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left"/>
              <w:textAlignment w:val="center"/>
              <w:rPr>
                <w:rFonts w:hint="eastAsia" w:ascii="仿宋" w:hAnsi="仿宋" w:eastAsia="仿宋" w:cs="宋体"/>
                <w:color w:val="0000FF"/>
                <w:sz w:val="21"/>
                <w:szCs w:val="21"/>
                <w:highlight w:val="none"/>
                <w:lang w:val="en-US" w:eastAsia="zh-CN"/>
              </w:rPr>
            </w:pPr>
            <w:r>
              <w:rPr>
                <w:rFonts w:hint="eastAsia" w:ascii="仿宋" w:hAnsi="仿宋" w:eastAsia="仿宋" w:cs="宋体"/>
                <w:b w:val="1"/>
                <w:bCs w:val="1"/>
                <w:color w:val="0000FF"/>
                <w:sz w:val="21"/>
                <w:szCs w:val="21"/>
                <w:highlight w:val="none"/>
                <w:lang w:val="en-US" w:eastAsia="zh-CN"/>
              </w:rPr>
              <w:t>乙方：</w:t>
            </w:r>
            <w:r>
              <w:rPr>
                <w:rFonts w:hint="eastAsia" w:ascii="仿宋" w:hAnsi="仿宋" w:eastAsia="仿宋" w:cs="宋体"/>
                <w:color w:val="0000FF"/>
                <w:sz w:val="21"/>
                <w:szCs w:val="21"/>
                <w:highlight w:val="none"/>
                <w:lang w:val="en-US" w:eastAsia="zh-CN"/>
              </w:rPr>
              <w:t>AA交通投资集团有限公司</w:t>
            </w:r>
          </w:p>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left"/>
              <w:textAlignment w:val="center"/>
              <w:rPr>
                <w:rFonts w:hint="eastAsia" w:ascii="仿宋" w:hAnsi="仿宋" w:eastAsia="仿宋" w:cs="宋体"/>
                <w:color w:val="0000FF"/>
                <w:sz w:val="21"/>
                <w:szCs w:val="21"/>
                <w:lang w:val="en-US" w:eastAsia="zh-CN"/>
              </w:rPr>
            </w:pPr>
            <w:r>
              <w:rPr>
                <w:rFonts w:hint="eastAsia" w:ascii="仿宋" w:hAnsi="仿宋" w:eastAsia="仿宋" w:cs="宋体"/>
                <w:b w:val="1"/>
                <w:bCs w:val="1"/>
                <w:color w:val="0000FF"/>
                <w:sz w:val="21"/>
                <w:szCs w:val="21"/>
                <w:highlight w:val="none"/>
                <w:lang w:val="en-US" w:eastAsia="zh-CN"/>
              </w:rPr>
              <w:t>丙方：</w:t>
            </w:r>
            <w:r>
              <w:rPr>
                <w:rFonts w:hint="eastAsia" w:ascii="仿宋" w:hAnsi="仿宋" w:eastAsia="仿宋" w:cs="宋体"/>
                <w:color w:val="0000FF"/>
                <w:sz w:val="21"/>
                <w:szCs w:val="21"/>
                <w:highlight w:val="none"/>
                <w:lang w:val="en-US" w:eastAsia="zh-CN"/>
              </w:rPr>
              <w:t>AA市轨道交通集团有限责任公司</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Arial"/>
                <w:b w:val="0"/>
                <w:bCs w:val="1"/>
                <w:color w:val="0000FF"/>
                <w:kern w:val="2"/>
                <w:sz w:val="21"/>
                <w:szCs w:val="21"/>
                <w:highlight w:val="none"/>
                <w:lang w:val="en-US" w:eastAsia="zh-CN" w:bidi="ar-SA"/>
              </w:rPr>
            </w:pPr>
            <w:r>
              <w:rPr>
                <w:rFonts w:hint="eastAsia" w:ascii="仿宋" w:hAnsi="仿宋" w:eastAsia="仿宋" w:cs="宋体"/>
                <w:color w:val="0000FF"/>
                <w:sz w:val="21"/>
                <w:szCs w:val="21"/>
                <w:highlight w:val="none"/>
                <w:lang w:val="en-US" w:eastAsia="zh-CN"/>
              </w:rPr>
              <w:t>JT-XNYGS-(2025)004</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0000FF"/>
                <w:kern w:val="0"/>
                <w:sz w:val="21"/>
                <w:szCs w:val="21"/>
                <w:highlight w:val="none"/>
                <w:u w:val="none"/>
                <w:lang w:val="en-US" w:eastAsia="zh-CN" w:bidi="ar"/>
              </w:rPr>
            </w:pPr>
            <w:r>
              <w:rPr>
                <w:rFonts w:hint="eastAsia" w:ascii="仿宋" w:hAnsi="仿宋" w:eastAsia="仿宋" w:cs="仿宋"/>
                <w:b w:val="0"/>
                <w:bCs w:val="1"/>
                <w:i w:val="0"/>
                <w:color w:val="0000FF"/>
                <w:kern w:val="0"/>
                <w:sz w:val="21"/>
                <w:szCs w:val="21"/>
                <w:highlight w:val="none"/>
                <w:u w:val="none"/>
                <w:lang w:val="en-US" w:eastAsia="zh-CN" w:bidi="ar"/>
              </w:rPr>
              <w:t>2025.2</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0" w:firstLineChars="200"/>
              <w:jc w:val="both"/>
              <w:textAlignment w:val="center"/>
              <w:rPr>
                <w:rFonts w:hint="default" w:ascii="仿宋" w:hAnsi="仿宋" w:eastAsia="仿宋" w:cs="宋体"/>
                <w:color w:val="0000FF"/>
                <w:sz w:val="21"/>
                <w:szCs w:val="21"/>
                <w:highlight w:val="none"/>
                <w:lang w:val="en-US" w:eastAsia="zh-CN"/>
              </w:rPr>
            </w:pPr>
            <w:r>
              <w:rPr>
                <w:rFonts w:hint="eastAsia" w:ascii="仿宋" w:hAnsi="仿宋" w:eastAsia="仿宋" w:cs="宋体"/>
                <w:color w:val="0000FF"/>
                <w:sz w:val="21"/>
                <w:szCs w:val="21"/>
                <w:highlight w:val="none"/>
                <w:lang w:val="en-US" w:eastAsia="zh-CN"/>
              </w:rPr>
              <w:t>AA市轨道交通集团有限责任公司以0元/平方米/年的价格将BB村车辆段院内轨道物业开发大平台屋面、物资总库屋面（面积10万平方米）租给申请人使用，租赁期限20年，</w:t>
            </w:r>
          </w:p>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0" w:firstLineChars="200"/>
              <w:jc w:val="both"/>
              <w:textAlignment w:val="center"/>
              <w:rPr>
                <w:rFonts w:hint="eastAsia" w:ascii="仿宋" w:hAnsi="仿宋" w:eastAsia="仿宋" w:cs="宋体"/>
                <w:color w:val="0000FF"/>
                <w:sz w:val="21"/>
                <w:szCs w:val="21"/>
                <w:highlight w:val="none"/>
                <w:lang w:val="en-US" w:eastAsia="zh-CN"/>
              </w:rPr>
            </w:pPr>
            <w:r>
              <w:rPr>
                <w:rFonts w:hint="eastAsia" w:ascii="仿宋" w:hAnsi="仿宋" w:eastAsia="仿宋" w:cs="宋体"/>
                <w:color w:val="0000FF"/>
                <w:sz w:val="21"/>
                <w:szCs w:val="21"/>
                <w:highlight w:val="none"/>
                <w:lang w:val="en-US" w:eastAsia="zh-CN"/>
              </w:rPr>
              <w:t>由甲方建设、安装和运营光伏电站，光伏电站所发电量由丙方负责消纳。</w:t>
            </w:r>
          </w:p>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2" w:firstLineChars="200"/>
              <w:jc w:val="both"/>
              <w:textAlignment w:val="center"/>
              <w:rPr>
                <w:rFonts w:hint="default" w:ascii="仿宋" w:hAnsi="仿宋" w:eastAsia="仿宋" w:cs="宋体"/>
                <w:b w:val="1"/>
                <w:bCs w:val="0"/>
                <w:snapToGrid w:val="0"/>
                <w:color w:val="0000FF"/>
                <w:kern w:val="0"/>
                <w:sz w:val="21"/>
                <w:szCs w:val="21"/>
                <w:highlight w:val="none"/>
                <w:lang w:val="en-US" w:eastAsia="zh-CN" w:bidi="ar-SA"/>
              </w:rPr>
            </w:pPr>
            <w:r>
              <w:rPr>
                <w:rFonts w:hint="eastAsia" w:ascii="仿宋" w:hAnsi="仿宋" w:eastAsia="仿宋" w:cs="宋体"/>
                <w:b w:val="1"/>
                <w:bCs w:val="0"/>
                <w:snapToGrid w:val="0"/>
                <w:color w:val="0000FF"/>
                <w:kern w:val="0"/>
                <w:sz w:val="21"/>
                <w:szCs w:val="21"/>
                <w:highlight w:val="none"/>
                <w:lang w:val="en-US" w:eastAsia="zh-CN" w:bidi="ar-SA"/>
              </w:rPr>
              <w:t>根据三方协议中第四条关于用电价格的约定，结算电价以轨道集团采购电价为结算基准，甲方无需另行支付协议屋顶租赁费用。</w:t>
            </w:r>
          </w:p>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2" w:firstLineChars="200"/>
              <w:jc w:val="both"/>
              <w:textAlignment w:val="center"/>
              <w:rPr>
                <w:rFonts w:hint="eastAsia" w:ascii="仿宋" w:hAnsi="仿宋" w:eastAsia="仿宋" w:cs="宋体"/>
                <w:color w:val="0000FF"/>
                <w:sz w:val="21"/>
                <w:szCs w:val="21"/>
                <w:highlight w:val="none"/>
                <w:lang w:val="en-US" w:eastAsia="zh-CN"/>
              </w:rPr>
            </w:pPr>
            <w:r>
              <w:rPr>
                <w:rFonts w:hint="eastAsia" w:ascii="仿宋" w:hAnsi="仿宋" w:eastAsia="仿宋" w:cs="宋体"/>
                <w:b w:val="1"/>
                <w:bCs w:val="0"/>
                <w:snapToGrid w:val="0"/>
                <w:color w:val="0000FF"/>
                <w:kern w:val="0"/>
                <w:sz w:val="21"/>
                <w:szCs w:val="21"/>
                <w:highlight w:val="none"/>
                <w:lang w:val="en-US" w:eastAsia="zh-CN" w:bidi="ar-SA"/>
              </w:rPr>
              <w:t>甲方按月向丙方母公司乙方支付所结算电费的25%作为协议屋顶的资源使用费。</w:t>
            </w:r>
          </w:p>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0" w:firstLineChars="200"/>
              <w:jc w:val="both"/>
              <w:textAlignment w:val="center"/>
              <w:rPr>
                <w:rFonts w:hint="eastAsia" w:ascii="仿宋" w:hAnsi="仿宋" w:eastAsia="仿宋" w:cs="仿宋"/>
                <w:b w:val="1"/>
                <w:bCs w:val="0"/>
                <w:color w:val="0000FF"/>
                <w:sz w:val="21"/>
                <w:szCs w:val="21"/>
                <w:highlight w:val="none"/>
                <w:lang w:val="en-US" w:eastAsia="zh-CN"/>
              </w:rPr>
            </w:pPr>
            <w:r>
              <w:rPr>
                <w:rFonts w:hint="eastAsia" w:ascii="仿宋" w:hAnsi="仿宋" w:eastAsia="仿宋" w:cs="宋体"/>
                <w:color w:val="0000FF"/>
                <w:sz w:val="21"/>
                <w:szCs w:val="21"/>
                <w:highlight w:val="none"/>
                <w:lang w:val="en-US" w:eastAsia="zh-CN"/>
              </w:rPr>
              <w:t>根据三方协议中第四条关于用电价格的约定，AACC交投能源有限公司需按月向AA交通投资集团有限公司缴纳每月电费总额的25%作为BB村车辆段院内轨道物业开发大平台屋面、物资总库屋面的资源使用费。</w:t>
            </w:r>
          </w:p>
        </w:tc>
      </w:tr>
      <w:tr>
        <w:trPr>
          <w:trHeight w:val="1045"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河南省企业投资项目备案证明</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default"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宋体"/>
                <w:color w:val="000000"/>
                <w:sz w:val="21"/>
                <w:szCs w:val="21"/>
                <w:lang w:val="en-US" w:eastAsia="zh-CN"/>
              </w:rPr>
              <w:t>获嘉县发改委</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2505-410724-04-05-117999</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default"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2025.5.30</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2" w:firstLineChars="200"/>
              <w:jc w:val="left"/>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val="1"/>
                <w:bCs w:val="1"/>
                <w:color w:val="auto"/>
                <w:kern w:val="2"/>
                <w:sz w:val="21"/>
                <w:szCs w:val="21"/>
                <w:highlight w:val="none"/>
                <w:lang w:val="en-US" w:eastAsia="zh-CN" w:bidi="ar-SA"/>
              </w:rPr>
              <w:t>项目名称：</w:t>
            </w:r>
            <w:r>
              <w:rPr>
                <w:rFonts w:hint="eastAsia" w:ascii="仿宋" w:hAnsi="仿宋" w:eastAsia="仿宋" w:cs="仿宋"/>
                <w:color w:val="auto"/>
                <w:kern w:val="2"/>
                <w:sz w:val="21"/>
                <w:szCs w:val="21"/>
                <w:highlight w:val="none"/>
                <w:lang w:val="en-US" w:eastAsia="zh-CN" w:bidi="ar-SA"/>
              </w:rPr>
              <w:t>河南大成包装材料有限公司源网荷储一体化项目。</w:t>
            </w:r>
          </w:p>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2" w:firstLineChars="200"/>
              <w:jc w:val="left"/>
              <w:textAlignment w:val="center"/>
              <w:rPr>
                <w:rFonts w:hint="eastAsia" w:ascii="仿宋" w:hAnsi="仿宋" w:eastAsia="仿宋" w:cs="仿宋"/>
                <w:sz w:val="21"/>
                <w:szCs w:val="21"/>
                <w:highlight w:val="none"/>
                <w:lang w:val="en-US" w:eastAsia="zh-CN"/>
              </w:rPr>
            </w:pPr>
            <w:r>
              <w:rPr>
                <w:rFonts w:hint="eastAsia" w:ascii="仿宋" w:hAnsi="仿宋" w:eastAsia="仿宋" w:cs="宋体"/>
                <w:b w:val="1"/>
                <w:bCs w:val="1"/>
                <w:color w:val="000000"/>
                <w:kern w:val="0"/>
                <w:sz w:val="21"/>
                <w:szCs w:val="21"/>
                <w:highlight w:val="none"/>
                <w:lang w:val="en-US" w:eastAsia="zh-CN" w:bidi="ar"/>
              </w:rPr>
              <w:t>建设规模及内容：</w:t>
            </w:r>
            <w:r>
              <w:rPr>
                <w:rFonts w:hint="eastAsia" w:ascii="仿宋" w:hAnsi="仿宋" w:eastAsia="仿宋" w:cs="仿宋"/>
                <w:sz w:val="21"/>
                <w:szCs w:val="21"/>
                <w:highlight w:val="none"/>
                <w:lang w:val="en-US" w:eastAsia="zh-CN"/>
              </w:rPr>
              <w:t>项目在获嘉县产业集聚区创业孵化园区内工业厂房屋顶部署5956KW的分布式光伏发电系统，并配套安装用户侧储能设施，储能总规模20MW/40MWh。此外，项目规划安装5个光伏充电桩，并同步实施园区其他相关配套工程。通过源网荷储一体化方案，项目所产出的新能源电力将直供给大成包装使用。同时完成相关配套设施及园区绿化等附属内容。投资及运维主体:河南中原智慧冷链物流园管理运营有限公司。</w:t>
            </w:r>
          </w:p>
          <w:p>
            <w:pPr>
              <w:keepNext w:val="1"/>
              <w:keepLines w:val="1"/>
              <w:pageBreakBefore w:val="0"/>
              <w:widowControl w:val="0"/>
              <w:kinsoku w:val="1"/>
              <w:wordWrap w:val="1"/>
              <w:overflowPunct w:val="1"/>
              <w:topLinePunct w:val="0"/>
              <w:autoSpaceDE w:val="1"/>
              <w:autoSpaceDN w:val="1"/>
              <w:bidi w:val="0"/>
              <w:adjustRightInd w:val="1"/>
              <w:snapToGrid w:val="1"/>
              <w:spacing w:line="240" w:lineRule="exact"/>
              <w:ind w:left="0" w:leftChars="0" w:right="210" w:firstLine="422" w:firstLineChars="200"/>
              <w:jc w:val="left"/>
              <w:outlineLvl w:val="1"/>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1"/>
                <w:bCs w:val="0"/>
                <w:kern w:val="2"/>
                <w:sz w:val="21"/>
                <w:szCs w:val="21"/>
                <w:highlight w:val="none"/>
                <w:lang w:val="en-US" w:eastAsia="zh-CN" w:bidi="ar-SA"/>
              </w:rPr>
              <w:t>项目总投资：</w:t>
            </w:r>
            <w:r>
              <w:rPr>
                <w:rFonts w:hint="eastAsia" w:ascii="仿宋" w:hAnsi="仿宋" w:eastAsia="仿宋" w:cs="仿宋"/>
                <w:bCs w:val="1"/>
                <w:kern w:val="2"/>
                <w:sz w:val="21"/>
                <w:szCs w:val="21"/>
                <w:highlight w:val="none"/>
                <w:lang w:val="en-US" w:eastAsia="zh-CN" w:bidi="ar-SA"/>
              </w:rPr>
              <w:t>8767.59万元。</w:t>
            </w:r>
          </w:p>
        </w:tc>
      </w:tr>
      <w:tr>
        <w:trPr>
          <w:trHeight w:val="1045"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default"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屋顶荷载报告</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default" w:ascii="仿宋" w:hAnsi="仿宋" w:eastAsia="仿宋" w:cs="宋体"/>
                <w:color w:val="000000"/>
                <w:sz w:val="21"/>
                <w:szCs w:val="21"/>
                <w:lang w:val="en-US" w:eastAsia="zh-CN"/>
              </w:rPr>
            </w:pPr>
            <w:r>
              <w:rPr>
                <w:rFonts w:hint="eastAsia" w:ascii="仿宋" w:hAnsi="仿宋" w:eastAsia="仿宋" w:cs="宋体"/>
                <w:color w:val="000000"/>
                <w:sz w:val="21"/>
                <w:szCs w:val="21"/>
                <w:lang w:val="en-US" w:eastAsia="zh-CN"/>
              </w:rPr>
              <w:t>/</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Arial"/>
                <w:b w:val="0"/>
                <w:bCs w:val="1"/>
                <w:color w:val="auto"/>
                <w:kern w:val="2"/>
                <w:sz w:val="21"/>
                <w:szCs w:val="21"/>
                <w:highlight w:val="none"/>
                <w:lang w:val="en-US" w:eastAsia="zh-CN" w:bidi="ar-SA"/>
              </w:rPr>
            </w:pPr>
            <w:r>
              <w:rPr>
                <w:rFonts w:hint="eastAsia" w:ascii="仿宋" w:hAnsi="仿宋" w:eastAsia="仿宋" w:cs="仿宋"/>
                <w:b w:val="0"/>
                <w:bCs w:val="1"/>
                <w:i w:val="0"/>
                <w:color w:val="auto"/>
                <w:kern w:val="0"/>
                <w:sz w:val="21"/>
                <w:szCs w:val="21"/>
                <w:highlight w:val="none"/>
                <w:u w:val="none"/>
                <w:lang w:val="en-US" w:eastAsia="zh-CN" w:bidi="ar"/>
              </w:rPr>
              <w:t>/</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0" w:firstLineChars="200"/>
              <w:jc w:val="left"/>
              <w:textAlignment w:val="center"/>
              <w:rPr>
                <w:rFonts w:hint="eastAsia" w:ascii="仿宋" w:hAnsi="仿宋" w:eastAsia="仿宋" w:cs="仿宋"/>
                <w:b w:val="1"/>
                <w:bCs w:val="0"/>
                <w:sz w:val="21"/>
                <w:szCs w:val="21"/>
                <w:highlight w:val="none"/>
                <w:lang w:val="en-US" w:eastAsia="zh-CN"/>
              </w:rPr>
            </w:pPr>
            <w:r>
              <w:rPr>
                <w:rFonts w:hint="eastAsia" w:ascii="仿宋" w:hAnsi="仿宋" w:eastAsia="仿宋" w:cs="Times New Roman"/>
                <w:b w:val="0"/>
                <w:bCs w:val="1"/>
                <w:color w:val="auto"/>
                <w:sz w:val="21"/>
                <w:szCs w:val="21"/>
                <w:highlight w:val="none"/>
                <w:lang w:val="en-US" w:eastAsia="zh-CN"/>
              </w:rPr>
              <w:t>项目处于前期阶段，相关设计方正在招标确认</w:t>
            </w:r>
            <w:r>
              <w:rPr>
                <w:rFonts w:hint="eastAsia" w:ascii="仿宋" w:hAnsi="仿宋" w:eastAsia="仿宋" w:cs="Times New Roman"/>
                <w:b w:val="0"/>
                <w:bCs w:val="1"/>
                <w:color w:val="auto"/>
                <w:sz w:val="21"/>
                <w:szCs w:val="21"/>
                <w:highlight w:val="none"/>
                <w:lang w:eastAsia="zh-CN"/>
              </w:rPr>
              <w:t>。</w:t>
            </w:r>
          </w:p>
        </w:tc>
      </w:tr>
      <w:tr>
        <w:trPr>
          <w:trHeight w:val="1045"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河南省发展和改革委员会关于实施第十批源网荷储一体化项目的通知</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Times New Roman"/>
                <w:b w:val="0"/>
                <w:bCs w:val="1"/>
                <w:color w:val="auto"/>
                <w:sz w:val="21"/>
                <w:szCs w:val="21"/>
                <w:highlight w:val="none"/>
                <w:lang w:val="en-US" w:eastAsia="zh-CN"/>
              </w:rPr>
            </w:pPr>
            <w:r>
              <w:rPr>
                <w:rFonts w:hint="eastAsia" w:ascii="仿宋" w:hAnsi="仿宋" w:eastAsia="仿宋" w:cs="宋体"/>
                <w:color w:val="000000"/>
                <w:sz w:val="21"/>
                <w:szCs w:val="21"/>
                <w:highlight w:val="none"/>
                <w:lang w:val="en-US" w:eastAsia="zh-CN"/>
              </w:rPr>
              <w:t>河南省发改委</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豫发改能综【2025】458号</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2025.6.16</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0" w:firstLineChars="200"/>
              <w:jc w:val="left"/>
              <w:textAlignment w:val="center"/>
              <w:rPr>
                <w:rFonts w:hint="default" w:ascii="仿宋" w:hAnsi="仿宋" w:eastAsia="仿宋" w:cs="Times New Roman"/>
                <w:b w:val="0"/>
                <w:bCs w:val="1"/>
                <w:color w:val="auto"/>
                <w:sz w:val="21"/>
                <w:szCs w:val="21"/>
                <w:highlight w:val="none"/>
                <w:lang w:val="en-US" w:eastAsia="zh-CN"/>
              </w:rPr>
            </w:pPr>
            <w:r>
              <w:rPr>
                <w:rFonts w:hint="eastAsia" w:ascii="仿宋" w:hAnsi="仿宋" w:eastAsia="仿宋" w:cs="仿宋"/>
                <w:b w:val="0"/>
                <w:bCs w:val="1"/>
                <w:i w:val="0"/>
                <w:color w:val="auto"/>
                <w:kern w:val="0"/>
                <w:sz w:val="21"/>
                <w:szCs w:val="21"/>
                <w:highlight w:val="none"/>
                <w:u w:val="none"/>
                <w:lang w:val="en-US" w:eastAsia="zh-CN" w:bidi="ar"/>
              </w:rPr>
              <w:t>根据《河南省发展和改革委员会关于实施第十批源网荷储一体化项目的通知》，</w:t>
            </w:r>
            <w:r>
              <w:rPr>
                <w:rFonts w:hint="eastAsia" w:ascii="仿宋" w:hAnsi="仿宋" w:eastAsia="仿宋" w:cs="仿宋"/>
                <w:color w:val="auto"/>
                <w:kern w:val="2"/>
                <w:sz w:val="21"/>
                <w:szCs w:val="21"/>
                <w:highlight w:val="none"/>
                <w:lang w:val="en-US" w:eastAsia="zh-CN" w:bidi="ar-SA"/>
              </w:rPr>
              <w:t>河南大成包装材料有限公司源网荷储一体化项目为第十批其他类源网荷储一体化项目，实施主体为河南中原智慧冷链物流园管理运营有限公司,合作模式为能源管理。</w:t>
            </w:r>
          </w:p>
        </w:tc>
      </w:tr>
      <w:tr>
        <w:trPr>
          <w:trHeight w:val="1301"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建设项目环境影响登记表</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宋体"/>
                <w:color w:val="000000"/>
                <w:sz w:val="21"/>
                <w:szCs w:val="21"/>
                <w:lang w:val="en-US" w:eastAsia="zh-CN"/>
              </w:rPr>
              <w:t>获嘉县生态环境局</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default"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Times New Roman"/>
                <w:b w:val="0"/>
                <w:bCs w:val="1"/>
                <w:color w:val="auto"/>
                <w:sz w:val="21"/>
                <w:szCs w:val="21"/>
                <w:highlight w:val="none"/>
                <w:lang w:val="en-US" w:eastAsia="zh-CN"/>
              </w:rPr>
              <w:t>202541072400000043</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2025.6.5</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jc w:val="left"/>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该项目属于《建设项目环境影响评价分类管理目录》中应当填报建设项目环境影响登记表的建设项目，属于第90、陆上风力发电；太阳能发电（不含居民家用光伏发电）；其他电力生产项目中的其他光伏发电，对填报的建设项目环境营销登记表内容的真实性、准确性和完整性负责</w:t>
            </w:r>
          </w:p>
        </w:tc>
      </w:tr>
      <w:tr>
        <w:trPr>
          <w:trHeight w:val="698"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并网意见</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宋体"/>
                <w:color w:val="000000"/>
                <w:sz w:val="21"/>
                <w:szCs w:val="21"/>
                <w:highlight w:val="none"/>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p>
        </w:tc>
      </w:tr>
      <w:tr>
        <w:trPr>
          <w:trHeight w:val="622"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接入系统方案</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宋体"/>
                <w:color w:val="000000"/>
                <w:sz w:val="21"/>
                <w:szCs w:val="21"/>
                <w:highlight w:val="none"/>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0" w:firstLineChars="200"/>
              <w:jc w:val="left"/>
              <w:textAlignment w:val="center"/>
              <w:rPr>
                <w:rFonts w:hint="default" w:ascii="仿宋" w:hAnsi="仿宋" w:eastAsia="仿宋" w:cs="仿宋"/>
                <w:b w:val="0"/>
                <w:bCs w:val="1"/>
                <w:i w:val="0"/>
                <w:color w:val="auto"/>
                <w:kern w:val="0"/>
                <w:sz w:val="21"/>
                <w:szCs w:val="21"/>
                <w:highlight w:val="none"/>
                <w:u w:val="none"/>
                <w:lang w:val="en-US" w:eastAsia="zh-CN" w:bidi="ar"/>
              </w:rPr>
            </w:pPr>
            <w:r>
              <w:rPr>
                <w:rFonts w:hint="eastAsia" w:ascii="仿宋" w:hAnsi="仿宋" w:eastAsia="仿宋" w:cs="仿宋"/>
                <w:b w:val="0"/>
                <w:bCs w:val="1"/>
                <w:i w:val="0"/>
                <w:color w:val="auto"/>
                <w:kern w:val="0"/>
                <w:sz w:val="21"/>
                <w:szCs w:val="21"/>
                <w:highlight w:val="none"/>
                <w:u w:val="none"/>
                <w:lang w:val="en-US" w:eastAsia="zh-CN" w:bidi="ar"/>
              </w:rPr>
              <w:t>项目处于前期设计阶段，将电力接入设计方案完成后申请接入方案。</w:t>
            </w:r>
          </w:p>
        </w:tc>
      </w:tr>
      <w:tr>
        <w:trPr>
          <w:trHeight w:val="810"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default" w:ascii="仿宋" w:hAnsi="仿宋" w:eastAsia="仿宋" w:cs="仿宋"/>
                <w:b w:val="0"/>
                <w:bCs w:val="1"/>
                <w:i w:val="0"/>
                <w:color w:val="auto"/>
                <w:kern w:val="0"/>
                <w:sz w:val="21"/>
                <w:szCs w:val="21"/>
                <w:highlight w:val="yellow"/>
                <w:u w:val="none"/>
                <w:lang w:val="en-US" w:eastAsia="zh-CN" w:bidi="ar"/>
              </w:rPr>
            </w:pPr>
            <w:r>
              <w:rPr>
                <w:rFonts w:hint="eastAsia" w:ascii="仿宋" w:hAnsi="仿宋" w:eastAsia="仿宋" w:cs="仿宋"/>
                <w:b w:val="0"/>
                <w:bCs w:val="1"/>
                <w:i w:val="0"/>
                <w:color w:val="auto"/>
                <w:kern w:val="0"/>
                <w:sz w:val="21"/>
                <w:szCs w:val="21"/>
                <w:highlight w:val="yellow"/>
                <w:u w:val="none"/>
                <w:lang w:val="en-US" w:eastAsia="zh-CN" w:bidi="ar"/>
              </w:rPr>
              <w:t>房屋合法合规相关手续</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宋体"/>
                <w:color w:val="000000"/>
                <w:sz w:val="21"/>
                <w:szCs w:val="21"/>
                <w:highlight w:val="none"/>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2" w:firstLineChars="200"/>
              <w:jc w:val="left"/>
              <w:textAlignment w:val="center"/>
              <w:rPr>
                <w:rFonts w:hint="eastAsia" w:ascii="仿宋" w:hAnsi="仿宋" w:eastAsia="仿宋" w:cs="仿宋"/>
                <w:b w:val="1"/>
                <w:bCs w:val="1"/>
                <w:color w:val="0000FF"/>
                <w:kern w:val="2"/>
                <w:sz w:val="21"/>
                <w:szCs w:val="21"/>
                <w:highlight w:val="none"/>
                <w:lang w:val="en-US" w:eastAsia="zh-CN" w:bidi="ar-SA"/>
              </w:rPr>
            </w:pPr>
          </w:p>
        </w:tc>
      </w:tr>
      <w:tr>
        <w:trPr>
          <w:trHeight w:val="810"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yellow"/>
                <w:u w:val="none"/>
                <w:lang w:val="en-US" w:eastAsia="zh-CN" w:bidi="ar"/>
              </w:rPr>
            </w:pP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宋体"/>
                <w:color w:val="000000"/>
                <w:sz w:val="21"/>
                <w:szCs w:val="21"/>
                <w:highlight w:val="none"/>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0" w:firstLineChars="0"/>
              <w:jc w:val="center"/>
              <w:textAlignment w:val="center"/>
              <w:rPr>
                <w:rFonts w:hint="eastAsia" w:ascii="仿宋" w:hAnsi="仿宋" w:eastAsia="仿宋" w:cs="仿宋"/>
                <w:b w:val="0"/>
                <w:bCs w:val="1"/>
                <w:i w:val="0"/>
                <w:color w:val="auto"/>
                <w:kern w:val="0"/>
                <w:sz w:val="21"/>
                <w:szCs w:val="21"/>
                <w:highlight w:val="none"/>
                <w:u w:val="none"/>
                <w:lang w:val="en-US" w:eastAsia="zh-CN" w:bidi="ar"/>
              </w:rPr>
            </w:pP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1"/>
              <w:suppressLineNumbers w:val="0"/>
              <w:kinsoku w:val="1"/>
              <w:wordWrap w:val="1"/>
              <w:overflowPunct w:val="1"/>
              <w:topLinePunct w:val="0"/>
              <w:autoSpaceDE w:val="1"/>
              <w:autoSpaceDN w:val="1"/>
              <w:bidi w:val="0"/>
              <w:adjustRightInd w:val="1"/>
              <w:snapToGrid w:val="1"/>
              <w:spacing w:line="240" w:lineRule="exact"/>
              <w:ind w:firstLine="422" w:firstLineChars="200"/>
              <w:jc w:val="left"/>
              <w:textAlignment w:val="center"/>
              <w:rPr>
                <w:rFonts w:hint="eastAsia" w:ascii="仿宋" w:hAnsi="仿宋" w:eastAsia="仿宋" w:cs="仿宋"/>
                <w:b w:val="1"/>
                <w:bCs w:val="1"/>
                <w:color w:val="0000FF"/>
                <w:kern w:val="2"/>
                <w:sz w:val="21"/>
                <w:szCs w:val="21"/>
                <w:highlight w:val="none"/>
                <w:lang w:val="en-US" w:eastAsia="zh-CN" w:bidi="ar-SA"/>
              </w:rPr>
            </w:pPr>
          </w:p>
        </w:tc>
      </w:tr>
    </w:tbl>
    <w:p>
      <w:pPr>
        <w:keepNext w:val="0"/>
        <w:keepLines w:val="0"/>
        <w:pageBreakBefore w:val="0"/>
        <w:widowControl w:val="0"/>
        <w:numPr>
          <w:ilvl w:val="0"/>
          <w:numId w:val="0"/>
        </w:numPr>
        <w:kinsoku w:val="1"/>
        <w:wordWrap w:val="1"/>
        <w:overflowPunct w:val="1"/>
        <w:topLinePunct w:val="0"/>
        <w:autoSpaceDE w:val="1"/>
        <w:autoSpaceDN w:val="1"/>
        <w:bidi w:val="0"/>
        <w:adjustRightInd w:val="1"/>
        <w:snapToGrid w:val="1"/>
        <w:spacing w:after="0" w:line="240" w:lineRule="auto"/>
        <w:ind w:firstLine="480" w:firstLineChars="200"/>
        <w:jc w:val="both"/>
        <w:textAlignment w:val="auto"/>
        <w:rPr>
          <w:rFonts w:hint="default" w:ascii="仿宋" w:hAnsi="仿宋" w:eastAsia="仿宋" w:cs="仿宋"/>
          <w:kern w:val="2"/>
          <w:sz w:val="24"/>
          <w:szCs w:val="24"/>
          <w:lang w:val="en-US" w:eastAsia="zh-CN" w:bidi="ar-SA"/>
        </w:rPr>
      </w:pPr>
    </w:p>
    <w:p>
      <w:pPr>
        <w:keepNext w:val="0"/>
        <w:keepLines w:val="0"/>
        <w:pageBreakBefore w:val="0"/>
        <w:widowControl w:val="0"/>
        <w:numPr>
          <w:ilvl w:val="0"/>
          <w:numId w:val="0"/>
        </w:numPr>
        <w:kinsoku w:val="1"/>
        <w:wordWrap w:val="1"/>
        <w:overflowPunct w:val="1"/>
        <w:topLinePunct w:val="0"/>
        <w:autoSpaceDE w:val="1"/>
        <w:autoSpaceDN w:val="1"/>
        <w:bidi w:val="0"/>
        <w:adjustRightInd w:val="1"/>
        <w:snapToGrid w:val="1"/>
        <w:spacing w:after="0" w:line="240" w:lineRule="auto"/>
        <w:ind w:firstLine="480" w:firstLineChars="200"/>
        <w:jc w:val="both"/>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11.大成包装目前按下表的哪档给国网结算电费？</w:t>
      </w:r>
    </w:p>
    <w:p>
      <w:pPr>
        <w:widowControl w:val="0"/>
        <w:spacing w:after="120" w:line="240" w:lineRule="auto"/>
        <w:ind w:firstLine="210" w:firstLineChars="100"/>
        <w:jc w:val="both"/>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drawing>
          <wp:inline distT="0" distB="0" distL="114300" distR="114300">
            <wp:extent cx="5271770" cy="2609215"/>
            <wp:effectExtent l="0" t="0" r="1270" b="12065"/>
            <wp:docPr id="5" name="图片 1"/>
            <wp:cNvGraphicFramePr>
              <a:graphicFrameLocks noChangeAspect="1"/>
            </wp:cNvGraphicFramePr>
            <a:graphic>
              <a:graphicData uri="http://schemas.openxmlformats.org/drawingml/2006/picture">
                <pic:pic>
                  <pic:nvPicPr>
                    <pic:cNvPr id="6" name="图片 1"/>
                    <pic:cNvPicPr>
                      <a:picLocks noChangeAspect="1"/>
                    </pic:cNvPicPr>
                  </pic:nvPicPr>
                  <pic:blipFill>
                    <a:blip r:embed="rId8"/>
                    <a:stretch>
                      <a:fillRect/>
                    </a:stretch>
                  </pic:blipFill>
                  <pic:spPr>
                    <a:xfrm>
                      <a:off x="0" y="0"/>
                      <a:ext cx="5271770" cy="2609215"/>
                    </a:xfrm>
                    <a:prstGeom prst="rect">
                      <a:avLst/>
                    </a:prstGeom>
                    <a:noFill/>
                    <a:ln>
                      <a:noFill/>
                    </a:ln>
                  </pic:spPr>
                </pic:pic>
              </a:graphicData>
            </a:graphic>
          </wp:inline>
        </w:drawing>
      </w:r>
    </w:p>
    <w:p>
      <w:pPr>
        <w:keepNext w:val="0"/>
        <w:keepLines w:val="0"/>
        <w:pageBreakBefore w:val="0"/>
        <w:widowControl w:val="0"/>
        <w:numPr>
          <w:ilvl w:val="0"/>
          <w:numId w:val="0"/>
        </w:numPr>
        <w:kinsoku w:val="1"/>
        <w:wordWrap w:val="1"/>
        <w:overflowPunct w:val="1"/>
        <w:topLinePunct w:val="0"/>
        <w:autoSpaceDE w:val="1"/>
        <w:autoSpaceDN w:val="1"/>
        <w:bidi w:val="0"/>
        <w:adjustRightInd w:val="1"/>
        <w:snapToGrid w:val="1"/>
        <w:spacing w:after="0" w:line="400" w:lineRule="exact"/>
        <w:ind w:firstLine="482" w:firstLineChars="200"/>
        <w:jc w:val="both"/>
        <w:textAlignment w:val="auto"/>
        <w:rPr>
          <w:rFonts w:hint="default" w:ascii="仿宋" w:hAnsi="仿宋" w:eastAsia="仿宋" w:cs="仿宋"/>
          <w:kern w:val="2"/>
          <w:sz w:val="24"/>
          <w:szCs w:val="24"/>
          <w:lang w:val="en-US" w:eastAsia="zh-CN" w:bidi="ar-SA"/>
        </w:rPr>
      </w:pPr>
      <w:r>
        <w:rPr>
          <w:rFonts w:hint="eastAsia" w:ascii="仿宋" w:hAnsi="仿宋" w:eastAsia="仿宋" w:cs="仿宋"/>
          <w:b w:val="1"/>
          <w:bCs w:val="1"/>
          <w:kern w:val="2"/>
          <w:sz w:val="24"/>
          <w:szCs w:val="24"/>
          <w:lang w:val="en-US" w:eastAsia="zh-CN" w:bidi="ar-SA"/>
        </w:rPr>
        <w:t>回复：</w:t>
      </w:r>
      <w:r>
        <w:rPr>
          <w:rFonts w:hint="eastAsia" w:ascii="仿宋" w:hAnsi="仿宋" w:eastAsia="仿宋" w:cs="仿宋"/>
          <w:kern w:val="2"/>
          <w:sz w:val="24"/>
          <w:szCs w:val="24"/>
          <w:lang w:val="en-US" w:eastAsia="zh-CN" w:bidi="ar-SA"/>
        </w:rPr>
        <w:t>本项目按照两部制1-10千伏结算电价。</w:t>
      </w:r>
    </w:p>
    <w:p>
      <w:pPr>
        <w:keepNext w:val="0"/>
        <w:keepLines w:val="0"/>
        <w:pageBreakBefore w:val="0"/>
        <w:widowControl w:val="0"/>
        <w:numPr>
          <w:ilvl w:val="0"/>
          <w:numId w:val="4"/>
        </w:numPr>
        <w:kinsoku w:val="1"/>
        <w:wordWrap w:val="1"/>
        <w:overflowPunct w:val="1"/>
        <w:topLinePunct w:val="0"/>
        <w:autoSpaceDE w:val="1"/>
        <w:autoSpaceDN w:val="1"/>
        <w:bidi w:val="0"/>
        <w:adjustRightInd w:val="1"/>
        <w:snapToGrid w:val="1"/>
        <w:spacing w:after="0" w:line="400" w:lineRule="exact"/>
        <w:ind w:firstLine="480" w:firstLineChars="200"/>
        <w:jc w:val="both"/>
        <w:textAlignment w:val="auto"/>
        <w:rPr>
          <w:rFonts w:hint="eastAsia" w:ascii="仿宋" w:hAnsi="仿宋" w:eastAsia="仿宋" w:cs="仿宋"/>
          <w:color w:val="000000"/>
          <w:kern w:val="2"/>
          <w:sz w:val="24"/>
          <w:szCs w:val="24"/>
          <w:lang w:val="en-US" w:eastAsia="zh-CN" w:bidi="ar-SA"/>
        </w:rPr>
      </w:pPr>
      <w:bookmarkStart w:id="1" w:name="_GoBack"/>
      <w:r>
        <w:rPr>
          <w:rFonts w:hint="eastAsia" w:ascii="仿宋" w:hAnsi="仿宋" w:eastAsia="仿宋" w:cs="仿宋"/>
          <w:color w:val="000000"/>
          <w:kern w:val="2"/>
          <w:sz w:val="24"/>
          <w:szCs w:val="24"/>
          <w:lang w:val="en-US" w:eastAsia="zh-CN" w:bidi="ar-SA"/>
        </w:rPr>
        <w:t>本项目为何配置这么大体量的储能？（光伏配储规模一般在15%—20%）请向借款及相关管理部门调查了解近期国家发改委、国家能源局联合发布 《关于做好2026年电力中长期合同签约履约工作的通知》（发改运行〔2025〕1502号）对本项目储能部分未来价差收益的影响。</w:t>
      </w:r>
    </w:p>
    <w:p>
      <w:pPr>
        <w:pStyle w:val="000014"/>
        <w:numPr>
          <w:numId w:val="0"/>
        </w:numPr>
        <w:pBdr/>
        <w:ind/>
        <w:rPr>
          <w:rFonts w:hint="eastAsia"/>
          <w:lang w:val="en-US" w:eastAsia="zh-CN"/>
        </w:rPr>
      </w:pPr>
      <w:bookmarkEnd w:id="1"/>
      <w:r>
        <w:rPr>
          <w:rFonts w:hint="eastAsia" w:ascii="仿宋" w:hAnsi="仿宋" w:eastAsia="仿宋" w:cs="仿宋"/>
          <w:b w:val="1"/>
          <w:bCs w:val="1"/>
          <w:kern w:val="2"/>
          <w:sz w:val="24"/>
          <w:szCs w:val="24"/>
          <w:lang w:val="en-US" w:eastAsia="zh-CN" w:bidi="ar-SA"/>
        </w:rPr>
        <w:t>回复</w:t>
      </w:r>
      <w:r>
        <w:rPr>
          <w:rFonts w:hint="eastAsia"/>
          <w:lang w:val="en-US" w:eastAsia="zh-CN"/>
        </w:rPr>
        <w:t>：</w:t>
      </w:r>
      <w:r>
        <w:rPr>
          <w:rFonts w:hint="eastAsia"/>
          <w:lang w:val="en-US" w:eastAsia="zh-CN"/>
        </w:rPr>
        <w:t>问题一：</w:t>
      </w:r>
      <w:r>
        <w:rPr>
          <w:rFonts w:hint="eastAsia"/>
          <w:color w:val="000000"/>
          <w:lang w:val="en-US" w:eastAsia="zh-CN"/>
        </w:rPr>
        <w:t>该项目配置储能的依据有以下几个原因：1、峰谷套利，目前大成包装的峰时用电量为490万Kwh，根据套利需要14Mwh容量；</w:t>
      </w:r>
      <w:r>
        <w:rPr>
          <w:rFonts w:hint="eastAsia"/>
          <w:lang w:val="en-US" w:eastAsia="zh-CN"/>
        </w:rPr>
        <w:t>2、光伏储能充电桩系统配置，因有光伏车棚等光伏发电装置，光伏发电与充电之间有时间差，大约有30%左右的光伏发电可以直接利用，仍然有70%的发电量需要电池预先存储；3、台区储能，本项目储能有两种接入方案，一是接入用户侧电网低压侧，优点是为大成包装调峰和调频，二是接入用户侧电网的高压侧，一方面为用户侧调峰和调频，另一方面是通过虚拟电厂，为整个台区备用、爬坡、调峰和调频，本项目的设计和运营方都是国网的关联公司，其中意向运营方国网河南综合能源服务有限公司是全省虚拟电厂和智能绿色微电网的龙头企业，技术实力较强，可以引导项目的设计和运营向虚拟电厂和工业绿色微电网靠拢，铺垫虚拟电厂和工业绿色微电网的条件。</w:t>
      </w:r>
    </w:p>
    <w:p>
      <w:pPr>
        <w:pStyle w:val="000014"/>
        <w:numPr>
          <w:numId w:val="0"/>
        </w:numPr>
        <w:pBdr/>
        <w:ind/>
        <w:rPr>
          <w:rFonts w:hint="eastAsia"/>
          <w:lang w:val="en-US" w:eastAsia="zh-CN"/>
        </w:rPr>
      </w:pPr>
      <w:r>
        <w:rPr>
          <w:rFonts w:hint="eastAsia"/>
          <w:lang w:val="en-US" w:eastAsia="zh-CN"/>
        </w:rPr>
        <w:t>问题二：《关于做好 2026 年电力中长期合同签约履约工作的通知》提出 "原则上直接参与市场用户不再执行政府规定的分时电价"。这一变革的实质并非取消分时电价本身，而是将分时电价的 "定价权" 和 "时段划分权" 从政府行政指令转向市场发现机制。未来的电力交易中，交易双方可以根据预测的供需形势，自行约定峰谷时段和价格浮动比例。根据国家能源局和市场预测，电价波动将以15分钟为一个计价时段，上不封顶，极端情况下将会是正常电价的3-5倍，下不保底，部分时段有可能出现负电价（山东已经有先例），结合</w:t>
      </w:r>
      <w:r>
        <w:rPr>
          <w:i w:val="0"/>
          <w:strike w:val="0"/>
          <w:color w:val="333333"/>
          <w:spacing w:val="0"/>
          <w:sz w:val="22"/>
          <w:u w:val="none"/>
        </w:rPr>
        <w:t>《关于完善价格机制促进新能源发电就近消纳的通知》（发改价格〔2025〕1192号）</w:t>
      </w:r>
      <w:r>
        <w:rPr>
          <w:rFonts w:hint="eastAsia"/>
          <w:i w:val="0"/>
          <w:strike w:val="0"/>
          <w:color w:val="333333"/>
          <w:spacing w:val="0"/>
          <w:sz w:val="22"/>
          <w:u w:val="none"/>
        </w:rPr>
        <w:t>，储能是用户管理电价的核心手段和工具，在低价时存储，在高价放电，否则电价在部分时段将会出现极端现象，价格风险不能控制。因此，储能在电力市场化改革和新能源就近消纳的环境下，是更加必要了，是价格风险控制的必选项，同时也是企业降低容量电费成本的必选项。</w:t>
      </w:r>
    </w:p>
    <w:p>
      <w:pPr>
        <w:keepNext w:val="0"/>
        <w:keepLines w:val="0"/>
        <w:pageBreakBefore w:val="0"/>
        <w:widowControl w:val="0"/>
        <w:numPr>
          <w:ilvl w:val="0"/>
          <w:numId w:val="4"/>
        </w:numPr>
        <w:kinsoku w:val="1"/>
        <w:wordWrap w:val="1"/>
        <w:overflowPunct w:val="1"/>
        <w:topLinePunct w:val="0"/>
        <w:autoSpaceDE w:val="1"/>
        <w:autoSpaceDN w:val="1"/>
        <w:bidi w:val="0"/>
        <w:adjustRightInd w:val="1"/>
        <w:snapToGrid w:val="1"/>
        <w:spacing w:after="0" w:line="400" w:lineRule="exact"/>
        <w:ind w:left="0" w:leftChars="0"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申请人及集团无新能源项目运营经验，计划委托专业第三方公司运营情况？（我行最新政策指引项目准入要求：光伏项目申请主体要以以发电为主业，中长期规划合理，具有技术实力、运营经验或者委托专业第三方公司运营）</w:t>
      </w:r>
    </w:p>
    <w:p>
      <w:pPr>
        <w:pStyle w:val="000014"/>
        <w:numPr>
          <w:ilvl w:val="0"/>
          <w:numId w:val="0"/>
        </w:numPr>
        <w:rPr>
          <w:rFonts w:hint="default"/>
          <w:lang w:val="en-US" w:eastAsia="zh-CN"/>
        </w:rPr>
      </w:pPr>
      <w:r>
        <w:rPr>
          <w:rFonts w:hint="eastAsia" w:ascii="仿宋" w:hAnsi="仿宋" w:eastAsia="仿宋" w:cs="仿宋"/>
          <w:b w:val="1"/>
          <w:bCs w:val="1"/>
          <w:kern w:val="2"/>
          <w:sz w:val="24"/>
          <w:szCs w:val="24"/>
          <w:lang w:val="en-US" w:eastAsia="zh-CN" w:bidi="ar-SA"/>
        </w:rPr>
        <w:t>回复</w:t>
      </w:r>
      <w:r>
        <w:rPr>
          <w:rFonts w:hint="eastAsia"/>
          <w:lang w:val="en-US" w:eastAsia="zh-CN"/>
        </w:rPr>
        <w:t>：</w:t>
      </w:r>
      <w:r>
        <w:rPr>
          <w:rFonts w:hint="eastAsia" w:ascii="仿宋" w:hAnsi="仿宋" w:eastAsia="仿宋" w:cs="仿宋"/>
          <w:kern w:val="2"/>
          <w:sz w:val="24"/>
          <w:szCs w:val="24"/>
          <w:lang w:val="en-US" w:eastAsia="zh-CN" w:bidi="ar-SA"/>
        </w:rPr>
        <w:t>申请人计划引入国网河南综合能源服务有限公司进行运营管理，该公司是国家国网下属</w:t>
      </w:r>
      <w:r>
        <w:rPr>
          <w:rFonts w:hint="eastAsia" w:ascii="仿宋" w:hAnsi="仿宋" w:eastAsia="仿宋" w:cs="仿宋"/>
          <w:kern w:val="2"/>
          <w:sz w:val="24"/>
          <w:szCs w:val="24"/>
          <w:lang w:val="en-US" w:eastAsia="zh-CN" w:bidi="ar-SA"/>
        </w:rPr>
        <w:t>综合能源管理</w:t>
      </w:r>
      <w:r>
        <w:rPr>
          <w:rFonts w:hint="eastAsia" w:ascii="仿宋" w:hAnsi="仿宋" w:eastAsia="仿宋" w:cs="仿宋"/>
          <w:kern w:val="2"/>
          <w:sz w:val="24"/>
          <w:szCs w:val="24"/>
          <w:lang w:val="en-US" w:eastAsia="zh-CN" w:bidi="ar-SA"/>
        </w:rPr>
        <w:t>企业，</w:t>
      </w:r>
      <w:r>
        <w:rPr>
          <w:rFonts w:hint="eastAsia" w:ascii="仿宋" w:hAnsi="仿宋" w:eastAsia="仿宋" w:cs="仿宋"/>
          <w:kern w:val="2"/>
          <w:sz w:val="24"/>
          <w:szCs w:val="24"/>
          <w:lang w:val="en-US" w:eastAsia="zh-CN" w:bidi="ar-SA"/>
        </w:rPr>
        <w:t>技术实力强大，理念先进，且与国网有天然关系，摩擦成本较小。</w:t>
      </w:r>
      <w:r>
        <w:rPr>
          <w:rFonts w:hint="eastAsia" w:ascii="仿宋" w:hAnsi="仿宋" w:eastAsia="仿宋" w:cs="仿宋"/>
          <w:kern w:val="2"/>
          <w:sz w:val="24"/>
          <w:szCs w:val="24"/>
          <w:lang w:val="en-US" w:eastAsia="zh-CN" w:bidi="ar-SA"/>
        </w:rPr>
        <w:t>该公司运用数字化平台，聚合客户侧资源，推动负荷响应能力建设，为助力新型电力系统建设贡献了河南综</w:t>
      </w:r>
      <w:r>
        <w:rPr>
          <w:rFonts w:hint="eastAsia" w:ascii="仿宋" w:hAnsi="仿宋" w:eastAsia="仿宋" w:cs="仿宋"/>
          <w:kern w:val="2"/>
          <w:sz w:val="24"/>
          <w:szCs w:val="24"/>
          <w:lang w:val="en-US" w:eastAsia="zh-CN" w:bidi="ar-SA"/>
        </w:rPr>
        <w:t>合</w:t>
      </w:r>
      <w:r>
        <w:rPr>
          <w:rFonts w:hint="eastAsia" w:ascii="仿宋" w:hAnsi="仿宋" w:eastAsia="仿宋" w:cs="仿宋"/>
          <w:kern w:val="2"/>
          <w:sz w:val="24"/>
          <w:szCs w:val="24"/>
          <w:lang w:val="en-US" w:eastAsia="zh-CN" w:bidi="ar-SA"/>
        </w:rPr>
        <w:t>能</w:t>
      </w:r>
      <w:r>
        <w:rPr>
          <w:rFonts w:hint="eastAsia" w:ascii="仿宋" w:hAnsi="仿宋" w:eastAsia="仿宋" w:cs="仿宋"/>
          <w:kern w:val="2"/>
          <w:sz w:val="24"/>
          <w:szCs w:val="24"/>
          <w:lang w:val="en-US" w:eastAsia="zh-CN" w:bidi="ar-SA"/>
        </w:rPr>
        <w:t>源管理</w:t>
      </w:r>
      <w:r>
        <w:rPr>
          <w:rFonts w:hint="eastAsia" w:ascii="仿宋" w:hAnsi="仿宋" w:eastAsia="仿宋" w:cs="仿宋"/>
          <w:kern w:val="2"/>
          <w:sz w:val="24"/>
          <w:szCs w:val="24"/>
          <w:lang w:val="en-US" w:eastAsia="zh-CN" w:bidi="ar-SA"/>
        </w:rPr>
        <w:t>方案。</w:t>
      </w:r>
    </w:p>
    <w:p>
      <w:pPr>
        <w:pStyle w:val="000014"/>
        <w:numPr>
          <w:numId w:val="0"/>
        </w:numPr>
        <w:ind w:leftChars="200"/>
        <w:rPr>
          <w:rFonts w:hint="eastAsia"/>
          <w:lang w:val="en-US" w:eastAsia="zh-CN"/>
        </w:rPr>
      </w:pPr>
    </w:p>
    <w:p>
      <w:pPr>
        <w:pStyle w:val="000014"/>
        <w:rPr>
          <w:rFonts w:hint="default"/>
          <w:lang w:val="en-US" w:eastAsia="zh-CN"/>
        </w:rPr>
      </w:pPr>
    </w:p>
    <w:p>
      <w:pPr>
        <w:keepNext w:val="1"/>
        <w:keepLines w:val="1"/>
        <w:widowControl w:val="0"/>
        <w:numPr>
          <w:ilvl w:val="0"/>
          <w:numId w:val="0"/>
        </w:numPr>
        <w:spacing w:before="260" w:after="260" w:line="416" w:lineRule="auto"/>
        <w:ind w:leftChars="0" w:firstLine="425"/>
        <w:jc w:val="both"/>
        <w:outlineLvl w:val="1"/>
        <w:rPr>
          <w:rFonts w:hint="eastAsia" w:ascii="Cambria" w:hAnsi="Cambria" w:eastAsia="宋体" w:cs="Times New Roman"/>
          <w:b w:val="1"/>
          <w:bCs w:val="1"/>
          <w:kern w:val="2"/>
          <w:sz w:val="32"/>
          <w:szCs w:val="32"/>
          <w:lang w:val="en-US" w:eastAsia="zh-CN" w:bidi="ar-SA"/>
        </w:rPr>
      </w:pPr>
    </w:p>
    <w:p>
      <w:pPr>
        <w:rPr>
          <w:rFonts w:hint="eastAsia" w:ascii="Times New Roman" w:hAnsi="Times New Roman" w:eastAsia="宋体" w:cs="Times New Roman"/>
          <w:lang w:val="en-US" w:eastAsia="zh-CN"/>
        </w:rPr>
      </w:pPr>
    </w:p>
    <w:p>
      <w:pPr>
        <w:keepNext w:val="1"/>
        <w:keepLines w:val="1"/>
        <w:widowControl w:val="0"/>
        <w:numPr>
          <w:ilvl w:val="0"/>
          <w:numId w:val="0"/>
        </w:numPr>
        <w:spacing w:before="260" w:after="260" w:line="416" w:lineRule="auto"/>
        <w:ind w:leftChars="0" w:firstLine="425"/>
        <w:jc w:val="both"/>
        <w:outlineLvl w:val="1"/>
        <w:rPr>
          <w:rFonts w:hint="eastAsia" w:ascii="Cambria" w:hAnsi="Cambria" w:eastAsia="宋体" w:cs="Times New Roman"/>
          <w:b w:val="1"/>
          <w:bCs w:val="1"/>
          <w:kern w:val="2"/>
          <w:sz w:val="32"/>
          <w:szCs w:val="32"/>
          <w:lang w:val="en-US" w:eastAsia="zh-CN" w:bidi="ar-SA"/>
        </w:rPr>
      </w:pPr>
    </w:p>
    <w:p>
      <w:pPr>
        <w:numPr>
          <w:ilvl w:val="0"/>
          <w:numId w:val="0"/>
        </w:numPr>
        <w:rPr>
          <w:rFonts w:hint="default"/>
          <w:lang w:val="en-US" w:eastAsia="zh-CN"/>
        </w:rPr>
      </w:pPr>
    </w:p>
    <w:p>
      <w:pPr>
        <w:pStyle w:val="000006"/>
        <w:numPr>
          <w:ilvl w:val="1"/>
          <w:numId w:val="0"/>
        </w:numPr>
        <w:ind w:leftChars="0"/>
        <w:rPr>
          <w:rFonts w:hint="eastAsia"/>
          <w:lang w:val="en-US" w:eastAsia="zh-CN"/>
        </w:rPr>
      </w:pPr>
    </w:p>
    <w:p>
      <w:pPr>
        <w:pStyle w:val="000006"/>
        <w:numPr>
          <w:ilvl w:val="1"/>
          <w:numId w:val="0"/>
        </w:numPr>
        <w:ind w:leftChars="0"/>
        <w:rPr>
          <w:rFonts w:hint="eastAsia"/>
          <w:lang w:val="en-US" w:eastAsia="zh-CN"/>
        </w:rPr>
      </w:pPr>
    </w:p>
    <w:p>
      <w:pPr>
        <w:pStyle w:val="000006"/>
        <w:numPr>
          <w:ilvl w:val="1"/>
          <w:numId w:val="0"/>
        </w:numPr>
        <w:ind w:leftChars="0"/>
        <w:rPr>
          <w:rFonts w:hint="default"/>
          <w:lang w:val="en-US" w:eastAsia="zh-CN"/>
        </w:rPr>
      </w:pPr>
      <w:r>
        <w:rPr>
          <w:rFonts w:hint="eastAsia"/>
          <w:lang w:val="en-US" w:eastAsia="zh-CN"/>
        </w:rPr>
        <w:t xml:space="preserve">   </w:t>
      </w:r>
    </w:p>
    <w:p>
      <w:pPr>
        <w:pStyle w:val="000006"/>
        <w:numPr>
          <w:ilvl w:val="1"/>
          <w:numId w:val="0"/>
        </w:numPr>
        <w:ind w:leftChars="0"/>
        <w:rPr>
          <w:rFonts w:hint="eastAsia"/>
          <w:lang w:val="en-US" w:eastAsia="zh-CN"/>
        </w:rPr>
      </w:pPr>
    </w:p>
    <w:p>
      <w:pPr>
        <w:pStyle w:val="000006"/>
        <w:numPr>
          <w:ilvl w:val="1"/>
          <w:numId w:val="0"/>
        </w:numPr>
        <w:ind w:leftChars="0"/>
        <w:rPr>
          <w:rFonts w:hint="eastAsia"/>
          <w:lang w:val="en-US" w:eastAsia="zh-CN"/>
        </w:rPr>
      </w:pPr>
    </w:p>
    <w:p>
      <w:pPr>
        <w:pStyle w:val="000006"/>
        <w:numPr>
          <w:ilvl w:val="1"/>
          <w:numId w:val="0"/>
        </w:numPr>
        <w:ind w:leftChars="0"/>
        <w:rPr>
          <w:rFonts w:hint="eastAsia"/>
          <w:lang w:val="en-US" w:eastAsia="zh-CN"/>
        </w:rPr>
      </w:pPr>
    </w:p>
    <w:p>
      <w:pPr>
        <w:pStyle w:val="000006"/>
        <w:numPr>
          <w:ilvl w:val="1"/>
          <w:numId w:val="0"/>
        </w:numPr>
        <w:ind w:leftChars="0"/>
        <w:rPr>
          <w:rFonts w:hint="eastAsia"/>
          <w:lang w:val="en-US" w:eastAsia="zh-CN"/>
        </w:rPr>
      </w:pPr>
    </w:p>
    <w:p>
      <w:pPr>
        <w:pStyle w:val="000006"/>
        <w:numPr>
          <w:ilvl w:val="1"/>
          <w:numId w:val="0"/>
        </w:numPr>
        <w:ind w:leftChars="0"/>
        <w:rPr>
          <w:rFonts w:hint="eastAsia" w:ascii="仿宋" w:hAnsi="仿宋" w:eastAsia="仿宋" w:cs="Times New Roman"/>
          <w:b w:val="1"/>
          <w:bCs w:val="1"/>
          <w:kern w:val="2"/>
          <w:sz w:val="24"/>
          <w:szCs w:val="24"/>
          <w:highlight w:val="none"/>
          <w:lang w:val="en-US" w:eastAsia="zh-CN" w:bidi="ar-SA"/>
        </w:rPr>
      </w:pPr>
      <w:r>
        <w:rPr>
          <w:rFonts w:hint="default"/>
          <w:lang w:val="en-US" w:eastAsia="zh-CN"/>
        </w:rPr>
        <w:drawing>
          <wp:anchor distT="0" distB="0" distL="114300" distR="114300" simplePos="0" relativeHeight="251659264" behindDoc="1" locked="0" layoutInCell="1" allowOverlap="1">
            <wp:simplePos x="0" y="0"/>
            <wp:positionH relativeFrom="column">
              <wp:posOffset>400050</wp:posOffset>
            </wp:positionH>
            <wp:positionV relativeFrom="page">
              <wp:posOffset>5334635</wp:posOffset>
            </wp:positionV>
            <wp:extent cx="4241165" cy="2023745"/>
            <wp:effectExtent l="0" t="0" r="0" b="0"/>
            <wp:wrapTight wrapText="bothSides">
              <wp:wrapPolygon>
                <wp:start x="0" y="0"/>
                <wp:lineTo x="0" y="20970"/>
                <wp:lineTo x="21021" y="20970"/>
                <wp:lineTo x="21021" y="0"/>
                <wp:lineTo x="0" y="0"/>
              </wp:wrapPolygon>
            </wp:wrapTight>
            <wp:docPr id="8" name="图片 1" descr="9e0656df6c7e370dc5a7b35036dac03"/>
            <wp:cNvGraphicFramePr>
              <a:graphicFrameLocks noChangeAspect="1"/>
            </wp:cNvGraphicFramePr>
            <a:graphic>
              <a:graphicData uri="http://schemas.openxmlformats.org/drawingml/2006/picture">
                <pic:pic>
                  <pic:nvPicPr>
                    <pic:cNvPr id="9" name="图片 1" descr="9e0656df6c7e370dc5a7b35036dac03"/>
                    <pic:cNvPicPr>
                      <a:picLocks noChangeAspect="1"/>
                    </pic:cNvPicPr>
                  </pic:nvPicPr>
                  <pic:blipFill>
                    <a:blip r:embed="rId9"/>
                    <a:srcRect t="25970"/>
                    <a:stretch>
                      <a:fillRect/>
                    </a:stretch>
                  </pic:blipFill>
                  <pic:spPr>
                    <a:xfrm>
                      <a:off x="0" y="0"/>
                      <a:ext cx="4241165" cy="2023745"/>
                    </a:xfrm>
                    <a:prstGeom prst="rect">
                      <a:avLst/>
                    </a:prstGeom>
                  </pic:spPr>
                </pic:pic>
              </a:graphicData>
            </a:graphic>
          </wp:anchor>
        </w:drawing>
      </w:r>
      <w:r>
        <w:rPr>
          <w:rFonts w:hint="eastAsia"/>
          <w:lang w:val="en-US" w:eastAsia="zh-CN"/>
        </w:rPr>
        <w:t xml:space="preserve"> </w:t>
      </w:r>
      <w:r>
        <w:rPr>
          <w:rFonts w:hint="eastAsia" w:ascii="仿宋" w:hAnsi="仿宋" w:eastAsia="仿宋" w:cs="Times New Roman"/>
          <w:b w:val="1"/>
          <w:bCs w:val="1"/>
          <w:kern w:val="2"/>
          <w:sz w:val="24"/>
          <w:szCs w:val="24"/>
          <w:highlight w:val="none"/>
          <w:lang w:val="en-US" w:eastAsia="zh-CN" w:bidi="ar-SA"/>
        </w:rPr>
        <w:t xml:space="preserve">  二、项目</w:t>
      </w:r>
    </w:p>
    <w:p>
      <w:pPr>
        <w:rPr>
          <w:rFonts w:hint="default"/>
          <w:lang w:val="en-US" w:eastAsia="zh-CN"/>
        </w:rPr>
      </w:pPr>
      <w:r>
        <w:rPr>
          <w:rFonts w:hint="eastAsia" w:ascii="仿宋" w:hAnsi="仿宋" w:eastAsia="仿宋" w:cs="Times New Roman"/>
          <w:b w:val="1"/>
          <w:bCs w:val="1"/>
          <w:kern w:val="2"/>
          <w:sz w:val="24"/>
          <w:szCs w:val="24"/>
          <w:highlight w:val="none"/>
          <w:lang w:val="en-US" w:eastAsia="zh-CN" w:bidi="ar-SA"/>
        </w:rPr>
        <w:t>1.</w:t>
      </w:r>
    </w:p>
    <w:p>
      <w:pPr>
        <w:rPr>
          <w:rFonts w:hint="eastAsia"/>
          <w:lang w:val="en-US" w:eastAsia="zh-CN"/>
        </w:rPr>
      </w:pPr>
    </w:p>
    <w:p>
      <w:pPr>
        <w:pStyle w:val="000006"/>
        <w:numPr>
          <w:ilvl w:val="1"/>
          <w:numId w:val="0"/>
        </w:numPr>
        <w:ind w:leftChars="0"/>
        <w:rPr>
          <w:rFonts w:hint="eastAsia"/>
          <w:lang w:val="en-US" w:eastAsia="zh-CN"/>
        </w:rPr>
      </w:pPr>
    </w:p>
    <w:p>
      <w:pPr>
        <w:rPr>
          <w:rFonts w:hint="eastAsia"/>
          <w:lang w:val="en-US" w:eastAsia="zh-CN"/>
        </w:rPr>
      </w:pPr>
    </w:p>
    <w:p>
      <w:pPr>
        <w:pStyle w:val="000006"/>
        <w:numPr>
          <w:ilvl w:val="1"/>
          <w:numId w:val="0"/>
        </w:numPr>
        <w:ind w:leftChars="0"/>
        <w:rPr>
          <w:rFonts w:hint="eastAsia"/>
          <w:lang w:val="en-US" w:eastAsia="zh-CN"/>
        </w:rPr>
      </w:pPr>
    </w:p>
    <w:p>
      <w:pPr>
        <w:pStyle w:val="000024"/>
        <w:keepNext w:val="0"/>
        <w:keepLines w:val="0"/>
        <w:pageBreakBefore w:val="0"/>
        <w:widowControl w:val="0"/>
        <w:kinsoku w:val="1"/>
        <w:wordWrap w:val="1"/>
        <w:overflowPunct w:val="1"/>
        <w:topLinePunct w:val="0"/>
        <w:autoSpaceDE w:val="1"/>
        <w:autoSpaceDN w:val="1"/>
        <w:bidi w:val="0"/>
        <w:adjustRightInd w:val="1"/>
        <w:snapToGrid w:val="1"/>
        <w:spacing w:after="0" w:line="400" w:lineRule="exact"/>
        <w:ind w:left="0" w:leftChars="0" w:firstLine="0" w:firstLineChars="0"/>
        <w:textAlignment w:val="auto"/>
        <w:rPr>
          <w:rFonts w:hint="default"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项目：</w:t>
      </w:r>
    </w:p>
    <w:p>
      <w:pPr>
        <w:rPr>
          <w:rFonts w:hint="eastAsia"/>
          <w:lang w:val="en-US" w:eastAsia="zh-CN"/>
        </w:rPr>
      </w:pPr>
    </w:p>
    <w:p>
      <w:pPr>
        <w:pStyle w:val="000024"/>
        <w:rPr>
          <w:rFonts w:hint="default" w:ascii="仿宋" w:hAnsi="仿宋" w:eastAsia="仿宋"/>
          <w:b w:val="0"/>
          <w:bCs w:val="0"/>
          <w:sz w:val="32"/>
          <w:szCs w:val="32"/>
          <w:highlight w:val="none"/>
          <w:lang w:val="en-US" w:eastAsia="zh-CN"/>
        </w:rPr>
      </w:pPr>
    </w:p>
    <w:tbl>
      <w:tblPr>
        <w:tblStyle w:val="000016"/>
        <w:tblW w:w="0" w:type="auto"/>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2"/>
      </w:tblGrid>
      <w:tr>
        <w:trPr>
          <w:trHeight w:val="738" w:hRule="atLeast"/>
        </w:trPr>
        <w:tc>
          <w:tcPr>
            <w:tcW w:w="10632"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eastAsia"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经营机构签字确认：上述反馈已经过调查核实，内容真实、全面反映客户情况。</w:t>
            </w: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eastAsia" w:ascii="仿宋" w:hAnsi="仿宋" w:eastAsia="仿宋"/>
                <w:b w:val="0"/>
                <w:bCs w:val="0"/>
                <w:sz w:val="28"/>
                <w:szCs w:val="28"/>
                <w:highlight w:val="none"/>
                <w:lang w:val="en-US" w:eastAsia="zh-CN"/>
              </w:rPr>
            </w:pP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eastAsia" w:ascii="仿宋" w:hAnsi="仿宋" w:eastAsia="仿宋"/>
                <w:b w:val="0"/>
                <w:bCs w:val="0"/>
                <w:sz w:val="28"/>
                <w:szCs w:val="28"/>
                <w:highlight w:val="none"/>
                <w:lang w:val="en-US" w:eastAsia="zh-CN"/>
              </w:rPr>
            </w:pP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default"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主办客户经理：</w:t>
            </w:r>
            <w:r>
              <w:rPr>
                <w:rFonts w:hint="default" w:ascii="仿宋" w:hAnsi="仿宋" w:eastAsia="仿宋"/>
                <w:b w:val="0"/>
                <w:bCs w:val="0"/>
                <w:sz w:val="28"/>
                <w:szCs w:val="28"/>
                <w:highlight w:val="none"/>
                <w:lang w:val="en-US" w:eastAsia="zh-CN"/>
              </w:rPr>
              <w:t xml:space="preserve">          </w:t>
            </w:r>
            <w:r>
              <w:rPr>
                <w:rFonts w:hint="eastAsia" w:ascii="仿宋" w:hAnsi="仿宋" w:eastAsia="仿宋"/>
                <w:b w:val="0"/>
                <w:bCs w:val="0"/>
                <w:sz w:val="28"/>
                <w:szCs w:val="28"/>
                <w:highlight w:val="none"/>
                <w:lang w:val="en-US" w:eastAsia="zh-CN"/>
              </w:rPr>
              <w:t xml:space="preserve">            协办客户经理：</w:t>
            </w:r>
            <w:r>
              <w:rPr>
                <w:rFonts w:hint="default" w:ascii="仿宋" w:hAnsi="仿宋" w:eastAsia="仿宋"/>
                <w:b w:val="0"/>
                <w:bCs w:val="0"/>
                <w:sz w:val="28"/>
                <w:szCs w:val="28"/>
                <w:highlight w:val="none"/>
                <w:lang w:val="en-US" w:eastAsia="zh-CN"/>
              </w:rPr>
              <w:t xml:space="preserve">         </w:t>
            </w: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eastAsia" w:ascii="仿宋" w:hAnsi="仿宋" w:eastAsia="仿宋"/>
                <w:b w:val="0"/>
                <w:bCs w:val="0"/>
                <w:sz w:val="28"/>
                <w:szCs w:val="28"/>
                <w:highlight w:val="none"/>
                <w:lang w:val="en-US" w:eastAsia="zh-CN"/>
              </w:rPr>
            </w:pP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eastAsia"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经营机构主要负责人：</w:t>
            </w:r>
          </w:p>
          <w:p>
            <w:pPr>
              <w:pStyle w:val="000024"/>
              <w:rPr>
                <w:rFonts w:hint="default"/>
                <w:sz w:val="28"/>
                <w:szCs w:val="28"/>
                <w:lang w:val="en-US" w:eastAsia="zh-CN"/>
              </w:rPr>
            </w:pPr>
          </w:p>
        </w:tc>
      </w:tr>
      <w:tr>
        <w:trPr>
          <w:trHeight w:val="738" w:hRule="atLeast"/>
        </w:trPr>
        <w:tc>
          <w:tcPr>
            <w:tcW w:w="10632"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default"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分行风险部门签字确认（总行反馈要求填写）：经营机构反馈内容已经过审核，反馈回复完整、未有遗漏，前后内容逻辑一致。</w:t>
            </w: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default" w:ascii="仿宋" w:hAnsi="仿宋" w:eastAsia="仿宋"/>
                <w:b w:val="0"/>
                <w:bCs w:val="0"/>
                <w:sz w:val="28"/>
                <w:szCs w:val="28"/>
                <w:highlight w:val="none"/>
                <w:lang w:val="en-US" w:eastAsia="zh-CN"/>
              </w:rPr>
            </w:pP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default" w:ascii="仿宋" w:hAnsi="仿宋" w:eastAsia="仿宋"/>
                <w:b w:val="0"/>
                <w:bCs w:val="0"/>
                <w:sz w:val="28"/>
                <w:szCs w:val="28"/>
                <w:highlight w:val="none"/>
                <w:lang w:val="en-US" w:eastAsia="zh-CN"/>
              </w:rPr>
            </w:pP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eastAsia"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分行风险经理：</w:t>
            </w:r>
            <w:r>
              <w:rPr>
                <w:rFonts w:hint="default" w:ascii="仿宋" w:hAnsi="仿宋" w:eastAsia="仿宋"/>
                <w:b w:val="0"/>
                <w:bCs w:val="0"/>
                <w:sz w:val="28"/>
                <w:szCs w:val="28"/>
                <w:highlight w:val="none"/>
                <w:lang w:val="en-US" w:eastAsia="zh-CN"/>
              </w:rPr>
              <w:t xml:space="preserve">                      </w:t>
            </w:r>
            <w:r>
              <w:rPr>
                <w:rFonts w:hint="eastAsia" w:ascii="仿宋" w:hAnsi="仿宋" w:eastAsia="仿宋"/>
                <w:b w:val="0"/>
                <w:bCs w:val="0"/>
                <w:sz w:val="28"/>
                <w:szCs w:val="28"/>
                <w:highlight w:val="none"/>
                <w:lang w:val="en-US" w:eastAsia="zh-CN"/>
              </w:rPr>
              <w:t>风险部负责人：</w:t>
            </w:r>
          </w:p>
          <w:p>
            <w:pPr>
              <w:pStyle w:val="000024"/>
              <w:rPr>
                <w:rFonts w:hint="default"/>
                <w:sz w:val="28"/>
                <w:szCs w:val="28"/>
                <w:lang w:val="en-US" w:eastAsia="zh-CN"/>
              </w:rPr>
            </w:pPr>
          </w:p>
        </w:tc>
      </w:tr>
      <w:tr>
        <w:trPr>
          <w:trHeight w:val="738" w:hRule="atLeast"/>
        </w:trPr>
        <w:tc>
          <w:tcPr>
            <w:tcW w:w="10632"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eastAsia"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分行风险总监签字（总行审批会后反馈要求填写）：</w:t>
            </w:r>
          </w:p>
          <w:p>
            <w:pPr>
              <w:keepNext w:val="0"/>
              <w:keepLines w:val="0"/>
              <w:pageBreakBefore w:val="0"/>
              <w:widowControl w:val="0"/>
              <w:numPr>
                <w:ilvl w:val="0"/>
                <w:numId w:val="0"/>
              </w:numPr>
              <w:kinsoku w:val="1"/>
              <w:wordWrap w:val="1"/>
              <w:overflowPunct w:val="1"/>
              <w:topLinePunct w:val="0"/>
              <w:autoSpaceDE w:val="1"/>
              <w:autoSpaceDN w:val="1"/>
              <w:bidi w:val="0"/>
              <w:adjustRightInd w:val="1"/>
              <w:snapToGrid w:val="0"/>
              <w:spacing w:line="240" w:lineRule="auto"/>
              <w:textAlignment w:val="auto"/>
              <w:rPr>
                <w:rFonts w:hint="default" w:ascii="仿宋" w:hAnsi="仿宋" w:eastAsia="仿宋"/>
                <w:b w:val="1"/>
                <w:sz w:val="28"/>
                <w:szCs w:val="28"/>
                <w:lang w:val="en-US" w:eastAsia="zh-CN"/>
              </w:rPr>
            </w:pPr>
            <w:r>
              <w:rPr>
                <w:rFonts w:hint="default" w:ascii="仿宋" w:hAnsi="仿宋" w:eastAsia="仿宋"/>
                <w:b w:val="1"/>
                <w:sz w:val="28"/>
                <w:szCs w:val="28"/>
                <w:lang w:val="en-US" w:eastAsia="zh-CN"/>
              </w:rPr>
              <w:t xml:space="preserve"> </w:t>
            </w:r>
          </w:p>
          <w:p>
            <w:pPr>
              <w:keepNext w:val="0"/>
              <w:keepLines w:val="0"/>
              <w:pageBreakBefore w:val="0"/>
              <w:widowControl w:val="0"/>
              <w:numPr>
                <w:ilvl w:val="0"/>
                <w:numId w:val="0"/>
              </w:numPr>
              <w:kinsoku w:val="1"/>
              <w:wordWrap w:val="1"/>
              <w:overflowPunct w:val="1"/>
              <w:topLinePunct w:val="0"/>
              <w:autoSpaceDE w:val="1"/>
              <w:autoSpaceDN w:val="1"/>
              <w:bidi w:val="0"/>
              <w:adjustRightInd w:val="1"/>
              <w:snapToGrid w:val="0"/>
              <w:spacing w:line="240" w:lineRule="auto"/>
              <w:textAlignment w:val="auto"/>
              <w:rPr>
                <w:rFonts w:hint="default" w:ascii="仿宋" w:hAnsi="仿宋" w:eastAsia="仿宋"/>
                <w:b w:val="1"/>
                <w:sz w:val="28"/>
                <w:szCs w:val="28"/>
                <w:lang w:val="en-US" w:eastAsia="zh-CN"/>
              </w:rPr>
            </w:pPr>
          </w:p>
          <w:p>
            <w:pPr>
              <w:keepNext w:val="0"/>
              <w:keepLines w:val="0"/>
              <w:pageBreakBefore w:val="0"/>
              <w:widowControl w:val="0"/>
              <w:numPr>
                <w:ilvl w:val="0"/>
                <w:numId w:val="0"/>
              </w:numPr>
              <w:kinsoku w:val="1"/>
              <w:wordWrap w:val="1"/>
              <w:overflowPunct w:val="1"/>
              <w:topLinePunct w:val="0"/>
              <w:autoSpaceDE w:val="1"/>
              <w:autoSpaceDN w:val="1"/>
              <w:bidi w:val="0"/>
              <w:adjustRightInd w:val="1"/>
              <w:snapToGrid w:val="0"/>
              <w:spacing w:line="240" w:lineRule="auto"/>
              <w:textAlignment w:val="auto"/>
              <w:rPr>
                <w:rFonts w:hint="default" w:ascii="仿宋" w:hAnsi="仿宋" w:eastAsia="仿宋"/>
                <w:b w:val="1"/>
                <w:sz w:val="28"/>
                <w:szCs w:val="28"/>
                <w:lang w:val="en-US" w:eastAsia="zh-CN"/>
              </w:rPr>
            </w:pPr>
          </w:p>
          <w:p>
            <w:pPr>
              <w:keepNext w:val="0"/>
              <w:keepLines w:val="0"/>
              <w:pageBreakBefore w:val="0"/>
              <w:widowControl w:val="0"/>
              <w:numPr>
                <w:ilvl w:val="0"/>
                <w:numId w:val="0"/>
              </w:numPr>
              <w:kinsoku w:val="1"/>
              <w:wordWrap w:val="1"/>
              <w:overflowPunct w:val="1"/>
              <w:topLinePunct w:val="0"/>
              <w:autoSpaceDE w:val="1"/>
              <w:autoSpaceDN w:val="1"/>
              <w:bidi w:val="0"/>
              <w:adjustRightInd w:val="1"/>
              <w:snapToGrid w:val="0"/>
              <w:spacing w:line="240" w:lineRule="auto"/>
              <w:textAlignment w:val="auto"/>
              <w:rPr>
                <w:rFonts w:hint="default" w:ascii="仿宋" w:hAnsi="仿宋" w:eastAsia="仿宋"/>
                <w:b w:val="1"/>
                <w:sz w:val="28"/>
                <w:szCs w:val="28"/>
                <w:lang w:val="en-US" w:eastAsia="zh-CN"/>
              </w:rPr>
            </w:pPr>
          </w:p>
        </w:tc>
      </w:tr>
    </w:tbl>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textAlignment w:val="auto"/>
        <w:rPr>
          <w:rFonts w:hint="default" w:ascii="仿宋" w:hAnsi="仿宋" w:eastAsia="仿宋"/>
          <w:b w:val="0"/>
          <w:bCs w:val="0"/>
          <w:sz w:val="32"/>
          <w:szCs w:val="32"/>
          <w:highlight w:val="none"/>
          <w:lang w:val="en-US" w:eastAsia="zh-CN"/>
        </w:rPr>
      </w:pPr>
      <w:r>
        <w:rPr>
          <w:rFonts w:hint="eastAsia" w:ascii="仿宋" w:hAnsi="仿宋" w:eastAsia="仿宋"/>
          <w:b w:val="0"/>
          <w:bCs w:val="0"/>
          <w:sz w:val="32"/>
          <w:szCs w:val="32"/>
          <w:highlight w:val="none"/>
          <w:lang w:val="en-US" w:eastAsia="zh-CN"/>
        </w:rPr>
        <w:t>如对反馈内容有任何问题，请及时与下发人联系沟通。</w:t>
      </w:r>
      <w:r>
        <w:rPr>
          <w:rFonts w:hint="default" w:ascii="仿宋" w:hAnsi="仿宋" w:eastAsia="仿宋"/>
          <w:b w:val="0"/>
          <w:bCs w:val="0"/>
          <w:sz w:val="32"/>
          <w:szCs w:val="32"/>
          <w:highlight w:val="none"/>
          <w:lang w:val="en-US" w:eastAsia="zh-CN"/>
        </w:rPr>
        <w:t xml:space="preserve"> </w:t>
      </w:r>
    </w:p>
    <w:p>
      <w:pPr>
        <w:keepNext w:val="0"/>
        <w:keepLines w:val="0"/>
        <w:pageBreakBefore w:val="0"/>
        <w:widowControl w:val="0"/>
        <w:kinsoku w:val="1"/>
        <w:wordWrap w:val="1"/>
        <w:overflowPunct w:val="1"/>
        <w:topLinePunct w:val="0"/>
        <w:autoSpaceDE w:val="1"/>
        <w:autoSpaceDN w:val="1"/>
        <w:bidi w:val="0"/>
        <w:adjustRightInd w:val="1"/>
        <w:snapToGrid w:val="0"/>
        <w:spacing w:line="240" w:lineRule="auto"/>
        <w:ind w:firstLine="3362" w:firstLineChars="1401"/>
        <w:jc w:val="left"/>
        <w:textAlignment w:val="auto"/>
        <w:rPr>
          <w:rFonts w:hint="eastAsia" w:ascii="仿宋" w:hAnsi="仿宋" w:eastAsia="仿宋"/>
          <w:sz w:val="24"/>
          <w:szCs w:val="24"/>
          <w:lang w:val="en-US" w:eastAsia="zh-CN"/>
        </w:rPr>
      </w:pPr>
    </w:p>
    <w:p>
      <w:pPr>
        <w:keepNext w:val="0"/>
        <w:keepLines w:val="0"/>
        <w:pageBreakBefore w:val="0"/>
        <w:widowControl w:val="0"/>
        <w:kinsoku w:val="1"/>
        <w:wordWrap w:val="1"/>
        <w:overflowPunct w:val="1"/>
        <w:topLinePunct w:val="0"/>
        <w:autoSpaceDE w:val="1"/>
        <w:autoSpaceDN w:val="1"/>
        <w:bidi w:val="0"/>
        <w:adjustRightInd w:val="1"/>
        <w:snapToGrid w:val="0"/>
        <w:spacing w:line="240" w:lineRule="auto"/>
        <w:ind w:firstLine="3362" w:firstLineChars="1401"/>
        <w:jc w:val="left"/>
        <w:textAlignment w:val="auto"/>
        <w:rPr>
          <w:rFonts w:hint="eastAsia" w:ascii="仿宋" w:hAnsi="仿宋" w:eastAsia="仿宋"/>
          <w:sz w:val="24"/>
          <w:szCs w:val="24"/>
          <w:lang w:val="en-US" w:eastAsia="zh-CN"/>
        </w:rPr>
      </w:pPr>
    </w:p>
    <w:p>
      <w:pPr>
        <w:keepNext w:val="0"/>
        <w:keepLines w:val="0"/>
        <w:pageBreakBefore w:val="0"/>
        <w:widowControl w:val="0"/>
        <w:kinsoku w:val="1"/>
        <w:wordWrap w:val="1"/>
        <w:overflowPunct w:val="1"/>
        <w:topLinePunct w:val="0"/>
        <w:autoSpaceDE w:val="1"/>
        <w:autoSpaceDN w:val="1"/>
        <w:bidi w:val="0"/>
        <w:adjustRightInd w:val="1"/>
        <w:snapToGrid w:val="1"/>
        <w:spacing w:line="560" w:lineRule="exact"/>
        <w:ind w:firstLine="3200" w:firstLineChars="1000"/>
        <w:textAlignment w:val="auto"/>
        <w:rPr>
          <w:rFonts w:hint="default" w:ascii="仿宋" w:hAnsi="仿宋" w:eastAsia="仿宋"/>
          <w:b w:val="0"/>
          <w:bCs w:val="0"/>
          <w:sz w:val="32"/>
          <w:szCs w:val="32"/>
          <w:highlight w:val="none"/>
          <w:lang w:val="en-US" w:eastAsia="zh-CN"/>
        </w:rPr>
      </w:pPr>
      <w:r>
        <w:rPr>
          <w:rFonts w:hint="eastAsia" w:ascii="仿宋" w:hAnsi="仿宋" w:eastAsia="仿宋"/>
          <w:b w:val="0"/>
          <w:bCs w:val="0"/>
          <w:sz w:val="32"/>
          <w:szCs w:val="32"/>
          <w:highlight w:val="none"/>
          <w:lang w:val="en-US" w:eastAsia="zh-CN"/>
        </w:rPr>
        <w:t xml:space="preserve">反馈下发人：   </w:t>
      </w:r>
      <w:r>
        <w:rPr>
          <w:rFonts w:hint="default" w:ascii="仿宋" w:hAnsi="仿宋" w:eastAsia="仿宋"/>
          <w:b w:val="0"/>
          <w:bCs w:val="0"/>
          <w:sz w:val="32"/>
          <w:szCs w:val="32"/>
          <w:highlight w:val="none"/>
          <w:lang w:val="en-US" w:eastAsia="zh-CN"/>
        </w:rPr>
        <w:t xml:space="preserve">          </w:t>
      </w:r>
      <w:r>
        <w:rPr>
          <w:rFonts w:hint="eastAsia" w:ascii="仿宋" w:hAnsi="仿宋" w:eastAsia="仿宋"/>
          <w:b w:val="0"/>
          <w:bCs w:val="0"/>
          <w:sz w:val="32"/>
          <w:szCs w:val="32"/>
          <w:highlight w:val="none"/>
          <w:lang w:val="en-US" w:eastAsia="zh-CN"/>
        </w:rPr>
        <w:t>电话：</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http://schemas.openxmlformats.org/wordprocessingml/2006/main">
  <w:endnote w:type="continuationSeparator" w:id="0">
    <w:p>
      <w:pPr>
        <w:spacing w:line="240" w:lineRule="auto"/>
        <w:rPr/>
      </w:pPr>
      <w:r>
        <w:rPr/>
        <w:continuationSeparator/>
      </w:r>
    </w:p>
  </w:endnote>
  <w:endnote w:type="separator" w:id="1">
    <w:p>
      <w:pPr>
        <w:spacing w:line="240" w:lineRule="auto"/>
        <w:rPr/>
      </w:pPr>
      <w:r>
        <w:rPr/>
        <w:separator/>
      </w:r>
    </w:p>
  </w:endnote>
</w:endnotes>
</file>

<file path=word/fontTable.xml><?xml version="1.0" encoding="utf-8"?>
<w:fonts xmlns:w="http://schemas.openxmlformats.org/wordprocessingml/2006/main">
  <w:font w:name="宋体">
    <w:panose1 w:val="02010600030101010101"/>
    <w:charset w:val="50" w:characterSet="ISO-8859-1"/>
    <w:family w:val="auto"/>
    <w:pitch w:val="default"/>
    <w:sig w:usb0="00000003" w:usb1="288F0000" w:usb2="00000006" w:usb3="00000000" w:csb0="00040001" w:csb1="00000000"/>
  </w:font>
  <w:font w:name="Cambria">
    <w:panose1 w:val="02040503050406030204"/>
    <w:charset w:val="00" w:characterSet="ISO-8859-1"/>
    <w:family w:val="roman"/>
    <w:pitch w:val="default"/>
    <w:sig w:usb0="E00006FF" w:usb1="420024FF" w:usb2="02000000" w:usb3="00000000" w:csb0="2000019F" w:csb1="00000000"/>
  </w:font>
  <w:font w:name="黑体">
    <w:panose1 w:val="02010609060101010101"/>
    <w:charset w:val="86" w:characterSet="ISO-8859-1"/>
    <w:family w:val="auto"/>
    <w:pitch w:val="default"/>
    <w:sig w:usb0="800002BF" w:usb1="38CF7CFA" w:usb2="00000016" w:usb3="00000000" w:csb0="00040001" w:csb1="00000000"/>
  </w:font>
  <w:font w:name="Courier New">
    <w:panose1 w:val="02070309020205020404"/>
    <w:charset w:val="01" w:characterSet="ISO-8859-1"/>
    <w:family w:val="modern"/>
    <w:pitch w:val="default"/>
    <w:sig w:usb0="E0002EFF" w:usb1="C0007843" w:usb2="00000009" w:usb3="00000000" w:csb0="400001FF" w:csb1="FFFF0000"/>
  </w:font>
  <w:font w:name="Wingdings">
    <w:panose1 w:val="05000000000000000000"/>
    <w:charset w:val="02" w:characterSet="ISO-8859-1"/>
    <w:family w:val="auto"/>
    <w:pitch w:val="default"/>
    <w:sig w:usb0="00000000" w:usb1="00000000" w:usb2="00000000" w:usb3="00000000" w:csb0="80000000" w:csb1="00000000"/>
  </w:font>
  <w:font w:name="华文细黑">
    <w:panose1 w:val="02010600040101010101"/>
    <w:charset w:val="86" w:characterSet="ISO-8859-1"/>
    <w:family w:val="auto"/>
    <w:pitch w:val="default"/>
    <w:sig w:usb0="00000287" w:usb1="080F0000" w:usb2="00000000" w:usb3="00000000" w:csb0="0004009F" w:csb1="DFD70000"/>
  </w:font>
  <w:font w:name="Symbol">
    <w:panose1 w:val="05050102010706020507"/>
    <w:charset w:val="02" w:characterSet="ISO-8859-1"/>
    <w:family w:val="roman"/>
    <w:pitch w:val="default"/>
    <w:sig w:usb0="00000000" w:usb1="00000000" w:usb2="00000000" w:usb3="00000000" w:csb0="80000000" w:csb1="00000000"/>
  </w:font>
  <w:font w:name="Calibri">
    <w:panose1 w:val="020F0502020204030204"/>
    <w:charset w:val="00" w:characterSet="ISO-8859-1"/>
    <w:family w:val="swiss"/>
    <w:pitch w:val="default"/>
    <w:sig w:usb0="E4002EFF" w:usb1="C000247B" w:usb2="00000009" w:usb3="00000000" w:csb0="200001FF" w:csb1="00000000"/>
  </w:font>
  <w:font w:name="Times New Roman">
    <w:panose1 w:val="02020603050405020304"/>
    <w:charset w:val="80" w:characterSet="ISO-8859-1"/>
    <w:family w:val="auto"/>
    <w:pitch w:val="default"/>
    <w:sig w:usb0="E0002EFF" w:usb1="C000785B" w:usb2="00000009" w:usb3="00000000" w:csb0="400001FF" w:csb1="FFFF0000"/>
  </w:font>
  <w:font w:name="Arial">
    <w:panose1 w:val="020B0604020202020204"/>
    <w:charset w:val="01" w:characterSet="ISO-8859-1"/>
    <w:family w:val="swiss"/>
    <w:pitch w:val="default"/>
    <w:sig w:usb0="E0002EFF" w:usb1="C000785B" w:usb2="00000009" w:usb3="00000000" w:csb0="400001FF" w:csb1="FFFF0000"/>
  </w:font>
  <w:font w:name="仿宋">
    <w:panose1 w:val="02010609060101010101"/>
    <w:charset w:val="86" w:characterSet="ISO-8859-1"/>
    <w:family w:val="modern"/>
    <w:pitch w:val="default"/>
    <w:sig w:usb0="800002BF" w:usb1="38CF7CFA" w:usb2="00000016" w:usb3="00000000" w:csb0="00040001" w:csb1="00000000"/>
  </w:font>
</w:fonts>
</file>

<file path=word/footnotes.xml><?xml version="1.0" encoding="utf-8"?>
<w:footnotes xmlns:w="http://schemas.openxmlformats.org/wordprocessingml/2006/main">
  <w:footnote w:type="continuationSeparator" w:id="0">
    <w:p>
      <w:pPr>
        <w:spacing w:line="240" w:lineRule="auto"/>
        <w:rPr/>
      </w:pPr>
      <w:r>
        <w:rPr/>
        <w:continuationSeparator/>
      </w:r>
    </w:p>
  </w:footnote>
  <w:footnote w:type="separator" w:id="1">
    <w:p>
      <w:pPr>
        <w:spacing w:line="240" w:lineRule="auto"/>
        <w:rPr/>
      </w:pPr>
      <w:r>
        <w:rPr/>
        <w:separator/>
      </w:r>
    </w:p>
  </w:footnote>
</w:footnotes>
</file>

<file path=word/numbering.xml><?xml version="1.0" encoding="utf-8"?>
<w:numbering xmlns:w="http://schemas.openxmlformats.org/wordprocessingml/2006/main">
  <w:abstractNum w:abstractNumId="0">
    <w:nsid w:val="15923633"/>
    <w:multiLevelType w:val="singleLevel"/>
    <w:tmpl w:val="15923633"/>
    <w:lvl w:ilvl="0" w:tentative="0">
      <w:start w:val="6"/>
      <w:numFmt w:val="decimal"/>
      <w:lvlText w:val="%1."/>
      <w:lvlJc w:val="left"/>
      <w:pPr>
        <w:tabs>
          <w:tab w:val="left" w:pos="312"/>
        </w:tabs>
      </w:pPr>
    </w:lvl>
  </w:abstractNum>
  <w:abstractNum w:abstractNumId="1">
    <w:nsid w:val="B4FE766A"/>
    <w:multiLevelType w:val="singleLevel"/>
    <w:tmpl w:val="B4FE766A"/>
    <w:lvl w:ilvl="0" w:tentative="0">
      <w:start w:val="2"/>
      <w:numFmt w:val="chineseCounting"/>
      <w:suff w:val="nothing"/>
      <w:lvlText w:val="%1、"/>
      <w:lvlJc w:val="left"/>
      <w:rPr>
        <w:rFonts w:hint="eastAsia"/>
      </w:rPr>
    </w:lvl>
  </w:abstractNum>
  <w:abstractNum w:abstractNumId="2">
    <w:nsid w:val="122E5919"/>
    <w:multiLevelType w:val="singleLevel"/>
    <w:tmpl w:val="122E5919"/>
    <w:lvl w:ilvl="0" w:tentative="0">
      <w:start w:val="2"/>
      <w:numFmt w:val="decimal"/>
      <w:lvlText w:val="%1."/>
      <w:lvlJc w:val="left"/>
      <w:pPr>
        <w:tabs>
          <w:tab w:val="left" w:pos="312"/>
        </w:tabs>
      </w:pPr>
    </w:lvl>
  </w:abstractNum>
  <w:abstractNum w:abstractNumId="3">
    <w:nsid w:val="8C24E7A8"/>
    <w:multiLevelType w:val="singleLevel"/>
    <w:tmpl w:val="8C24E7A8"/>
    <w:lvl w:ilvl="0" w:tentative="0">
      <w:start w:val="12"/>
      <w:numFmt w:val="decimal"/>
      <w:lvlText w:val="%1."/>
      <w:lvlJc w:val="left"/>
      <w:pPr>
        <w:tabs>
          <w:tab w:val="left" w:pos="312"/>
        </w:tabs>
      </w:pPr>
    </w:lvl>
  </w:abstractNum>
  <w:abstractNum w:abstractNumId="4">
    <w:nsid w:val="1DE34FB4"/>
    <w:multiLevelType w:val="multilevel"/>
    <w:tmpl w:val="1DE34FB4"/>
    <w:lvl w:ilvl="3" w:tentative="0">
      <w:start w:val="1"/>
      <w:numFmt w:val="decimal"/>
      <w:lvlText w:val="%1.%2.%3.%4"/>
      <w:lvlJc w:val="left"/>
      <w:pPr>
        <w:ind w:left="864" w:hanging="864"/>
      </w:pPr>
    </w:lvl>
    <w:lvl w:ilvl="5" w:tentative="0">
      <w:start w:val="1"/>
      <w:numFmt w:val="decimal"/>
      <w:lvlText w:val="%1.%2.%3.%4.%5.%6"/>
      <w:lvlJc w:val="left"/>
      <w:pPr>
        <w:ind w:left="1152" w:hanging="1152"/>
      </w:pPr>
    </w:lvl>
    <w:lvl w:ilvl="0" w:tentative="0">
      <w:start w:val="1"/>
      <w:numFmt w:val="bullet"/>
      <w:lvlText w:val=""/>
      <w:lvlJc w:val="left"/>
      <w:pPr>
        <w:ind w:left="432" w:hanging="432"/>
      </w:pPr>
      <w:rPr>
        <w:rFonts w:hint="default" w:ascii="Wingdings" w:hAnsi="Wingdings"/>
      </w:rPr>
    </w:lvl>
    <w:lvl w:ilvl="4" w:tentative="0">
      <w:start w:val="1"/>
      <w:numFmt w:val="decimal"/>
      <w:lvlText w:val="%1.%2.%3.%4.%5"/>
      <w:lvlJc w:val="left"/>
      <w:pPr>
        <w:ind w:left="2001" w:hanging="1008"/>
      </w:pPr>
    </w:lvl>
    <w:lvl w:ilvl="7" w:tentative="0">
      <w:start w:val="1"/>
      <w:numFmt w:val="decimal"/>
      <w:lvlText w:val="%1.%2.%3.%4.%5.%6.%7.%8"/>
      <w:lvlJc w:val="left"/>
      <w:pPr>
        <w:ind w:left="1465" w:hanging="1440"/>
      </w:pPr>
    </w:lvl>
    <w:lvl w:ilvl="2" w:tentative="0">
      <w:start w:val="1"/>
      <w:numFmt w:val="decimal"/>
      <w:lvlText w:val="%1.%2.%3"/>
      <w:lvlJc w:val="left"/>
      <w:pPr>
        <w:ind w:left="1146" w:hanging="720"/>
      </w:pPr>
    </w:lvl>
    <w:lvl w:ilvl="8" w:tentative="0">
      <w:start w:val="1"/>
      <w:numFmt w:val="decimal"/>
      <w:lvlText w:val="%1.%2.%3.%4.%5.%6.%7.%8.%9"/>
      <w:lvlJc w:val="left"/>
      <w:pPr>
        <w:ind w:left="1584" w:hanging="1584"/>
      </w:pPr>
    </w:lvl>
    <w:lvl w:ilvl="6" w:tentative="0">
      <w:start w:val="1"/>
      <w:numFmt w:val="decimal"/>
      <w:lvlText w:val="%1.%2.%3.%4.%5.%6.%7"/>
      <w:lvlJc w:val="left"/>
      <w:pPr>
        <w:ind w:left="1296" w:hanging="1296"/>
      </w:pPr>
    </w:lvl>
    <w:lvl w:ilvl="1" w:tentative="0">
      <w:start w:val="1"/>
      <w:numFmt w:val="decimal"/>
      <w:pStyle w:val="000006"/>
      <w:lvlText w:val="%1.%2"/>
      <w:lvlJc w:val="left"/>
      <w:pPr>
        <w:ind w:left="576" w:hanging="576"/>
      </w:pPr>
    </w:lvl>
  </w:abstractNum>
  <w:abstractNum w:abstractNumId="5">
    <w:nsid w:val="3DC5676D"/>
    <w:multiLevelType w:val="multilevel"/>
    <w:tmpl w:val="3DC5676D"/>
    <w:lvl w:ilvl="3" w:tentative="0">
      <w:start w:val="1"/>
      <w:numFmt w:val="decimal"/>
      <w:lvlText w:val="%4."/>
      <w:lvlJc w:val="left"/>
      <w:pPr>
        <w:ind w:left="1680" w:hanging="420"/>
      </w:pPr>
    </w:lvl>
    <w:lvl w:ilvl="5" w:tentative="0">
      <w:start w:val="1"/>
      <w:numFmt w:val="lowerRoman"/>
      <w:lvlText w:val="%6."/>
      <w:lvlJc w:val="right"/>
      <w:pPr>
        <w:ind w:left="2520" w:hanging="420"/>
      </w:pPr>
    </w:lvl>
    <w:lvl w:ilvl="2" w:tentative="0">
      <w:start w:val="1"/>
      <w:numFmt w:val="lowerRoman"/>
      <w:lvlText w:val="%3."/>
      <w:lvlJc w:val="right"/>
      <w:pPr>
        <w:ind w:left="1260" w:hanging="420"/>
      </w:pPr>
    </w:lvl>
    <w:lvl w:ilvl="7" w:tentative="0">
      <w:start w:val="1"/>
      <w:numFmt w:val="lowerLetter"/>
      <w:lvlText w:val="%8)"/>
      <w:lvlJc w:val="left"/>
      <w:pPr>
        <w:ind w:left="3360" w:hanging="420"/>
      </w:pPr>
    </w:lvl>
    <w:lvl w:ilvl="6" w:tentative="0">
      <w:start w:val="1"/>
      <w:numFmt w:val="decimal"/>
      <w:lvlText w:val="%7."/>
      <w:lvlJc w:val="left"/>
      <w:pPr>
        <w:ind w:left="2940" w:hanging="420"/>
      </w:pPr>
    </w:lvl>
    <w:lvl w:ilvl="0" w:tentative="0">
      <w:start w:val="1"/>
      <w:numFmt w:val="japaneseCounting"/>
      <w:pStyle w:val="000008"/>
      <w:lvlText w:val="（%1）"/>
      <w:lvlJc w:val="left"/>
      <w:pPr>
        <w:ind w:left="720" w:hanging="720"/>
      </w:pPr>
      <w:rPr>
        <w:rFonts w:hint="default"/>
      </w:rPr>
    </w:lvl>
    <w:lvl w:ilvl="1" w:tentative="0">
      <w:start w:val="1"/>
      <w:numFmt w:val="lowerLetter"/>
      <w:lvlText w:val="%2)"/>
      <w:lvlJc w:val="left"/>
      <w:pPr>
        <w:ind w:left="840" w:hanging="420"/>
      </w:pPr>
    </w:lvl>
    <w:lvl w:ilvl="4" w:tentative="0">
      <w:start w:val="1"/>
      <w:numFmt w:val="lowerLetter"/>
      <w:lvlText w:val="%5)"/>
      <w:lvlJc w:val="left"/>
      <w:pPr>
        <w:ind w:left="2100" w:hanging="420"/>
      </w:pPr>
    </w:lvl>
    <w:lvl w:ilvl="8" w:tentative="0">
      <w:start w:val="1"/>
      <w:numFmt w:val="lowerRoman"/>
      <w:lvlText w:val="%9."/>
      <w:lvlJc w:val="right"/>
      <w:pPr>
        <w:ind w:left="3780" w:hanging="420"/>
      </w:pPr>
    </w:lvl>
  </w:abstractNum>
  <w:num w:numId="1">
    <w:abstractNumId w:val="1"/>
  </w:num>
  <w:num w:numId="5">
    <w:abstractNumId w:val="5"/>
  </w:num>
  <w:num w:numId="3">
    <w:abstractNumId w:val="0"/>
  </w:num>
  <w:num w:numId="6">
    <w:abstractNumId w:val="4"/>
  </w:num>
  <w:num w:numId="4">
    <w:abstractNumId w:val="3"/>
  </w:num>
  <w:num w:numId="2">
    <w:abstractNumId w:val="2"/>
  </w:num>
</w:numbering>
</file>

<file path=word/settings.xml><?xml version="1.0" encoding="utf-8"?>
<w:settings xmlns:w="http://schemas.openxmlformats.org/wordprocessingml/2006/main">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val="1"/>
    <w:balanceSingleByteDoubleByteWidth w:val="1"/>
    <w:doNotLeaveBackslashAlone w:val="1"/>
    <w:ulTrailSpace w:val="1"/>
    <w:doNotExpandShiftReturn w:val="1"/>
    <w:adjustLineHeightInTable w:val="1"/>
    <w:doNotWrapTextWithPunct w:val="1"/>
    <w:doNotUseEastAsianBreakRules w:val="1"/>
    <w:useFELayout w:val="1"/>
    <w:doNotUseIndentAsNumberingTabStop w:val="1"/>
    <w:compatSetting w:name="overrideTableStyleFontSizeAndJustification" w:uri="http://schemas.microsoft.com/office/word" w:val="1"/>
    <w:compatSetting w:name="doNotFlipMirrorIndents" w:uri="http://schemas.microsoft.com/office/word" w:val="1"/>
    <w:compatSetting w:name="compatibilityMode" w:uri="http://schemas.microsoft.com/office/word" w:val="14"/>
    <w:compatSetting w:name="enableOpenTypeFeatures" w:uri="http://schemas.microsoft.com/office/word" w:val="1"/>
  </w:compat>
  <w:docVars>
    <w:docVar w:name="commondata" w:val="eyJoZGlkIjoiMjg5Y2I0MjJhNjk2YTNkNTBmZDQzOWRjNmQ4ZWQxMjUifQ=="/>
  </w:docVars>
  <w:rsids>
    <w:rsidRoot w:val="007A4AAB"/>
    <w:rsid w:val="000028AB"/>
    <w:rsid w:val="000071AA"/>
    <w:rsid w:val="0001195D"/>
    <w:rsid w:val="0001643F"/>
    <w:rsid w:val="00016C56"/>
    <w:rsid w:val="00017452"/>
    <w:rsid w:val="00020F49"/>
    <w:rsid w:val="000223B9"/>
    <w:rsid w:val="00026E92"/>
    <w:rsid w:val="00031099"/>
    <w:rsid w:val="00034E20"/>
    <w:rsid w:val="00036230"/>
    <w:rsid w:val="00037D63"/>
    <w:rsid w:val="000444A7"/>
    <w:rsid w:val="00044AE1"/>
    <w:rsid w:val="000475C5"/>
    <w:rsid w:val="00047F12"/>
    <w:rsid w:val="00050739"/>
    <w:rsid w:val="00053FD2"/>
    <w:rsid w:val="000542DD"/>
    <w:rsid w:val="000604FD"/>
    <w:rsid w:val="0006157E"/>
    <w:rsid w:val="0006407E"/>
    <w:rsid w:val="00066358"/>
    <w:rsid w:val="00070F76"/>
    <w:rsid w:val="000825DC"/>
    <w:rsid w:val="00086A28"/>
    <w:rsid w:val="00090CF6"/>
    <w:rsid w:val="00091243"/>
    <w:rsid w:val="000914AF"/>
    <w:rsid w:val="00091B1A"/>
    <w:rsid w:val="00091BBC"/>
    <w:rsid w:val="00093F13"/>
    <w:rsid w:val="00097A3D"/>
    <w:rsid w:val="000A2302"/>
    <w:rsid w:val="000A40B1"/>
    <w:rsid w:val="000B4928"/>
    <w:rsid w:val="000C0F60"/>
    <w:rsid w:val="000C31ED"/>
    <w:rsid w:val="000C3B95"/>
    <w:rsid w:val="000C62CA"/>
    <w:rsid w:val="000C6385"/>
    <w:rsid w:val="000D046B"/>
    <w:rsid w:val="000D2266"/>
    <w:rsid w:val="000D368B"/>
    <w:rsid w:val="000D4031"/>
    <w:rsid w:val="000D6832"/>
    <w:rsid w:val="000D689A"/>
    <w:rsid w:val="000E081F"/>
    <w:rsid w:val="000F4E90"/>
    <w:rsid w:val="000F4EA0"/>
    <w:rsid w:val="000F7EF8"/>
    <w:rsid w:val="00100440"/>
    <w:rsid w:val="0010393C"/>
    <w:rsid w:val="00105459"/>
    <w:rsid w:val="0010783F"/>
    <w:rsid w:val="00112E62"/>
    <w:rsid w:val="00113681"/>
    <w:rsid w:val="0011559A"/>
    <w:rsid w:val="00117CF1"/>
    <w:rsid w:val="00117FA5"/>
    <w:rsid w:val="00120AD1"/>
    <w:rsid w:val="001246EA"/>
    <w:rsid w:val="0013003A"/>
    <w:rsid w:val="00131633"/>
    <w:rsid w:val="00131BE8"/>
    <w:rsid w:val="001365DD"/>
    <w:rsid w:val="00136EAD"/>
    <w:rsid w:val="00137F83"/>
    <w:rsid w:val="00142E0D"/>
    <w:rsid w:val="00143AE5"/>
    <w:rsid w:val="00146DFD"/>
    <w:rsid w:val="0015519D"/>
    <w:rsid w:val="001600C2"/>
    <w:rsid w:val="00160F7A"/>
    <w:rsid w:val="001629A3"/>
    <w:rsid w:val="00166C81"/>
    <w:rsid w:val="00170D53"/>
    <w:rsid w:val="001826E5"/>
    <w:rsid w:val="00185E3B"/>
    <w:rsid w:val="0019061B"/>
    <w:rsid w:val="0019594D"/>
    <w:rsid w:val="001A613A"/>
    <w:rsid w:val="001A7415"/>
    <w:rsid w:val="001B4B01"/>
    <w:rsid w:val="001B735C"/>
    <w:rsid w:val="001C1B8B"/>
    <w:rsid w:val="001C313D"/>
    <w:rsid w:val="001C3B2A"/>
    <w:rsid w:val="001C538D"/>
    <w:rsid w:val="001C597D"/>
    <w:rsid w:val="001C7449"/>
    <w:rsid w:val="001D13D1"/>
    <w:rsid w:val="001D455A"/>
    <w:rsid w:val="001D6599"/>
    <w:rsid w:val="001E1CB5"/>
    <w:rsid w:val="001E228D"/>
    <w:rsid w:val="001E4F57"/>
    <w:rsid w:val="001F1F91"/>
    <w:rsid w:val="001F6F40"/>
    <w:rsid w:val="001F7DD1"/>
    <w:rsid w:val="00200431"/>
    <w:rsid w:val="00202104"/>
    <w:rsid w:val="00204685"/>
    <w:rsid w:val="00205D17"/>
    <w:rsid w:val="00207549"/>
    <w:rsid w:val="00210F01"/>
    <w:rsid w:val="00212228"/>
    <w:rsid w:val="002126EB"/>
    <w:rsid w:val="00216429"/>
    <w:rsid w:val="002167F9"/>
    <w:rsid w:val="00217B08"/>
    <w:rsid w:val="00220E37"/>
    <w:rsid w:val="0022316E"/>
    <w:rsid w:val="0022567F"/>
    <w:rsid w:val="00230133"/>
    <w:rsid w:val="00233B92"/>
    <w:rsid w:val="00236552"/>
    <w:rsid w:val="00240376"/>
    <w:rsid w:val="00241666"/>
    <w:rsid w:val="002428D3"/>
    <w:rsid w:val="00243653"/>
    <w:rsid w:val="00244112"/>
    <w:rsid w:val="00244186"/>
    <w:rsid w:val="00260592"/>
    <w:rsid w:val="00261152"/>
    <w:rsid w:val="00266A7C"/>
    <w:rsid w:val="0027065B"/>
    <w:rsid w:val="00274FE6"/>
    <w:rsid w:val="002766A7"/>
    <w:rsid w:val="002831BE"/>
    <w:rsid w:val="00290293"/>
    <w:rsid w:val="00290D8E"/>
    <w:rsid w:val="00293FBE"/>
    <w:rsid w:val="00294762"/>
    <w:rsid w:val="002950E2"/>
    <w:rsid w:val="0029516E"/>
    <w:rsid w:val="00296145"/>
    <w:rsid w:val="002A0D48"/>
    <w:rsid w:val="002A447C"/>
    <w:rsid w:val="002B0FF7"/>
    <w:rsid w:val="002C2169"/>
    <w:rsid w:val="002C474A"/>
    <w:rsid w:val="002C48EA"/>
    <w:rsid w:val="002D4BDC"/>
    <w:rsid w:val="002D5AC7"/>
    <w:rsid w:val="002D62A6"/>
    <w:rsid w:val="002D71BD"/>
    <w:rsid w:val="002E1323"/>
    <w:rsid w:val="002E31EE"/>
    <w:rsid w:val="002E36F6"/>
    <w:rsid w:val="002E4D72"/>
    <w:rsid w:val="002E7A78"/>
    <w:rsid w:val="002F509B"/>
    <w:rsid w:val="003029FF"/>
    <w:rsid w:val="00306182"/>
    <w:rsid w:val="0031622C"/>
    <w:rsid w:val="0031697F"/>
    <w:rsid w:val="00320085"/>
    <w:rsid w:val="0032060F"/>
    <w:rsid w:val="00322525"/>
    <w:rsid w:val="00324429"/>
    <w:rsid w:val="0033299D"/>
    <w:rsid w:val="00334577"/>
    <w:rsid w:val="0033520B"/>
    <w:rsid w:val="0033765B"/>
    <w:rsid w:val="00341486"/>
    <w:rsid w:val="00344361"/>
    <w:rsid w:val="00344730"/>
    <w:rsid w:val="00350F54"/>
    <w:rsid w:val="00352207"/>
    <w:rsid w:val="00356CF9"/>
    <w:rsid w:val="00357488"/>
    <w:rsid w:val="0036200C"/>
    <w:rsid w:val="0036359B"/>
    <w:rsid w:val="00370B3E"/>
    <w:rsid w:val="00371B66"/>
    <w:rsid w:val="003735AC"/>
    <w:rsid w:val="0037584A"/>
    <w:rsid w:val="00377AC2"/>
    <w:rsid w:val="00391A4C"/>
    <w:rsid w:val="003A039F"/>
    <w:rsid w:val="003A3EF1"/>
    <w:rsid w:val="003A4F6B"/>
    <w:rsid w:val="003A7D84"/>
    <w:rsid w:val="003A7F0E"/>
    <w:rsid w:val="003B17E4"/>
    <w:rsid w:val="003B1BE4"/>
    <w:rsid w:val="003B2327"/>
    <w:rsid w:val="003B3D54"/>
    <w:rsid w:val="003B520B"/>
    <w:rsid w:val="003B6FD1"/>
    <w:rsid w:val="003C3866"/>
    <w:rsid w:val="003D1FE3"/>
    <w:rsid w:val="003D6B50"/>
    <w:rsid w:val="003E085C"/>
    <w:rsid w:val="003E297F"/>
    <w:rsid w:val="003E62DF"/>
    <w:rsid w:val="003F1F4F"/>
    <w:rsid w:val="003F258F"/>
    <w:rsid w:val="0040448A"/>
    <w:rsid w:val="00404C33"/>
    <w:rsid w:val="0041181C"/>
    <w:rsid w:val="00412E13"/>
    <w:rsid w:val="004161DA"/>
    <w:rsid w:val="004241E8"/>
    <w:rsid w:val="004248AE"/>
    <w:rsid w:val="0043042E"/>
    <w:rsid w:val="004305AF"/>
    <w:rsid w:val="004331EE"/>
    <w:rsid w:val="004344B9"/>
    <w:rsid w:val="00437373"/>
    <w:rsid w:val="004420A7"/>
    <w:rsid w:val="00446687"/>
    <w:rsid w:val="0044767A"/>
    <w:rsid w:val="00454280"/>
    <w:rsid w:val="004605D4"/>
    <w:rsid w:val="00461E2E"/>
    <w:rsid w:val="00463EE3"/>
    <w:rsid w:val="00464559"/>
    <w:rsid w:val="00467784"/>
    <w:rsid w:val="0047031F"/>
    <w:rsid w:val="0047142F"/>
    <w:rsid w:val="0047742C"/>
    <w:rsid w:val="00480760"/>
    <w:rsid w:val="00481F1C"/>
    <w:rsid w:val="00485A6C"/>
    <w:rsid w:val="00486B23"/>
    <w:rsid w:val="00487137"/>
    <w:rsid w:val="0049095B"/>
    <w:rsid w:val="004A21FD"/>
    <w:rsid w:val="004A3B3C"/>
    <w:rsid w:val="004A5819"/>
    <w:rsid w:val="004A5FD1"/>
    <w:rsid w:val="004A69BE"/>
    <w:rsid w:val="004A75AF"/>
    <w:rsid w:val="004B3408"/>
    <w:rsid w:val="004B49AB"/>
    <w:rsid w:val="004C0D8E"/>
    <w:rsid w:val="004C5110"/>
    <w:rsid w:val="004D09C5"/>
    <w:rsid w:val="004D0F8D"/>
    <w:rsid w:val="004E1718"/>
    <w:rsid w:val="004E3C11"/>
    <w:rsid w:val="004F3548"/>
    <w:rsid w:val="004F3CCA"/>
    <w:rsid w:val="004F56F6"/>
    <w:rsid w:val="004F6785"/>
    <w:rsid w:val="004F7698"/>
    <w:rsid w:val="005008D2"/>
    <w:rsid w:val="00501087"/>
    <w:rsid w:val="005067C4"/>
    <w:rsid w:val="0050707B"/>
    <w:rsid w:val="00513EEB"/>
    <w:rsid w:val="00517A2B"/>
    <w:rsid w:val="0052392D"/>
    <w:rsid w:val="00524EB6"/>
    <w:rsid w:val="005320BE"/>
    <w:rsid w:val="00542213"/>
    <w:rsid w:val="00543145"/>
    <w:rsid w:val="00560F49"/>
    <w:rsid w:val="00562117"/>
    <w:rsid w:val="00563B0F"/>
    <w:rsid w:val="00566905"/>
    <w:rsid w:val="00576A3D"/>
    <w:rsid w:val="00581B47"/>
    <w:rsid w:val="00592221"/>
    <w:rsid w:val="0059286D"/>
    <w:rsid w:val="005A3321"/>
    <w:rsid w:val="005A4A2E"/>
    <w:rsid w:val="005A5B63"/>
    <w:rsid w:val="005B2136"/>
    <w:rsid w:val="005B25C5"/>
    <w:rsid w:val="005B2F18"/>
    <w:rsid w:val="005B362C"/>
    <w:rsid w:val="005B5E94"/>
    <w:rsid w:val="005C151A"/>
    <w:rsid w:val="005C19A8"/>
    <w:rsid w:val="005C3535"/>
    <w:rsid w:val="005C36B0"/>
    <w:rsid w:val="005C3FA0"/>
    <w:rsid w:val="005C58F4"/>
    <w:rsid w:val="005C652A"/>
    <w:rsid w:val="005D486F"/>
    <w:rsid w:val="005D5A13"/>
    <w:rsid w:val="005D5DF5"/>
    <w:rsid w:val="005D6FD9"/>
    <w:rsid w:val="005E6E2E"/>
    <w:rsid w:val="005F2D22"/>
    <w:rsid w:val="005F3F53"/>
    <w:rsid w:val="005F7B9E"/>
    <w:rsid w:val="005F7DFA"/>
    <w:rsid w:val="00600033"/>
    <w:rsid w:val="0060080B"/>
    <w:rsid w:val="00600B29"/>
    <w:rsid w:val="00600C9D"/>
    <w:rsid w:val="00604E86"/>
    <w:rsid w:val="00605415"/>
    <w:rsid w:val="00605784"/>
    <w:rsid w:val="0060623A"/>
    <w:rsid w:val="006066A9"/>
    <w:rsid w:val="00613744"/>
    <w:rsid w:val="006143C7"/>
    <w:rsid w:val="0061593D"/>
    <w:rsid w:val="00621ECF"/>
    <w:rsid w:val="00625AC7"/>
    <w:rsid w:val="00625D55"/>
    <w:rsid w:val="00626B0D"/>
    <w:rsid w:val="00627887"/>
    <w:rsid w:val="00631AF5"/>
    <w:rsid w:val="0063229A"/>
    <w:rsid w:val="0063236E"/>
    <w:rsid w:val="00634C5B"/>
    <w:rsid w:val="0064078A"/>
    <w:rsid w:val="00643288"/>
    <w:rsid w:val="006434C8"/>
    <w:rsid w:val="00651CBE"/>
    <w:rsid w:val="006520D9"/>
    <w:rsid w:val="00654AEC"/>
    <w:rsid w:val="00655A49"/>
    <w:rsid w:val="00657E05"/>
    <w:rsid w:val="00670372"/>
    <w:rsid w:val="006771E3"/>
    <w:rsid w:val="006812D7"/>
    <w:rsid w:val="00683CA5"/>
    <w:rsid w:val="006848DA"/>
    <w:rsid w:val="00685F65"/>
    <w:rsid w:val="006871CB"/>
    <w:rsid w:val="00693316"/>
    <w:rsid w:val="006A16AF"/>
    <w:rsid w:val="006A257C"/>
    <w:rsid w:val="006A336A"/>
    <w:rsid w:val="006A5017"/>
    <w:rsid w:val="006A5461"/>
    <w:rsid w:val="006A7FEB"/>
    <w:rsid w:val="006B1279"/>
    <w:rsid w:val="006B133C"/>
    <w:rsid w:val="006B161E"/>
    <w:rsid w:val="006B1DBE"/>
    <w:rsid w:val="006B3393"/>
    <w:rsid w:val="006B74DE"/>
    <w:rsid w:val="006C1AFD"/>
    <w:rsid w:val="006C2CED"/>
    <w:rsid w:val="006C349F"/>
    <w:rsid w:val="006C5244"/>
    <w:rsid w:val="006C7FC2"/>
    <w:rsid w:val="006D5E29"/>
    <w:rsid w:val="006D6D83"/>
    <w:rsid w:val="006D7628"/>
    <w:rsid w:val="006E0B06"/>
    <w:rsid w:val="006E23EA"/>
    <w:rsid w:val="006E32F2"/>
    <w:rsid w:val="006E669B"/>
    <w:rsid w:val="006F090D"/>
    <w:rsid w:val="006F1BE9"/>
    <w:rsid w:val="006F2142"/>
    <w:rsid w:val="006F7FD0"/>
    <w:rsid w:val="0070216B"/>
    <w:rsid w:val="00704549"/>
    <w:rsid w:val="0070574F"/>
    <w:rsid w:val="00707C27"/>
    <w:rsid w:val="00707CFE"/>
    <w:rsid w:val="007112F2"/>
    <w:rsid w:val="007114E6"/>
    <w:rsid w:val="007156DB"/>
    <w:rsid w:val="00716E7B"/>
    <w:rsid w:val="007208F0"/>
    <w:rsid w:val="00721C06"/>
    <w:rsid w:val="00726E1B"/>
    <w:rsid w:val="00730BCE"/>
    <w:rsid w:val="0073680A"/>
    <w:rsid w:val="00741BD5"/>
    <w:rsid w:val="00743887"/>
    <w:rsid w:val="007440C0"/>
    <w:rsid w:val="00746D7C"/>
    <w:rsid w:val="0074718B"/>
    <w:rsid w:val="00750763"/>
    <w:rsid w:val="00756395"/>
    <w:rsid w:val="00776788"/>
    <w:rsid w:val="007768FB"/>
    <w:rsid w:val="00786BA4"/>
    <w:rsid w:val="00790385"/>
    <w:rsid w:val="00791788"/>
    <w:rsid w:val="007917BB"/>
    <w:rsid w:val="007A4AAB"/>
    <w:rsid w:val="007A7820"/>
    <w:rsid w:val="007B13EA"/>
    <w:rsid w:val="007B6099"/>
    <w:rsid w:val="007C4192"/>
    <w:rsid w:val="007C73E3"/>
    <w:rsid w:val="007D076E"/>
    <w:rsid w:val="007E057A"/>
    <w:rsid w:val="007E237B"/>
    <w:rsid w:val="007E4FF7"/>
    <w:rsid w:val="007E7571"/>
    <w:rsid w:val="007F145A"/>
    <w:rsid w:val="007F465B"/>
    <w:rsid w:val="007F5F9A"/>
    <w:rsid w:val="007F638D"/>
    <w:rsid w:val="008039ED"/>
    <w:rsid w:val="00806768"/>
    <w:rsid w:val="00806862"/>
    <w:rsid w:val="00810E8E"/>
    <w:rsid w:val="00812C5A"/>
    <w:rsid w:val="00815592"/>
    <w:rsid w:val="00821058"/>
    <w:rsid w:val="008229A9"/>
    <w:rsid w:val="0083041A"/>
    <w:rsid w:val="0083219D"/>
    <w:rsid w:val="008328E5"/>
    <w:rsid w:val="00843BBC"/>
    <w:rsid w:val="00847B88"/>
    <w:rsid w:val="008507DE"/>
    <w:rsid w:val="00855037"/>
    <w:rsid w:val="0085649F"/>
    <w:rsid w:val="008614C1"/>
    <w:rsid w:val="008615E6"/>
    <w:rsid w:val="008634BA"/>
    <w:rsid w:val="00865EE8"/>
    <w:rsid w:val="00866529"/>
    <w:rsid w:val="00866D52"/>
    <w:rsid w:val="00877602"/>
    <w:rsid w:val="00877799"/>
    <w:rsid w:val="00883F8D"/>
    <w:rsid w:val="00884E09"/>
    <w:rsid w:val="00892858"/>
    <w:rsid w:val="00892A03"/>
    <w:rsid w:val="008934E6"/>
    <w:rsid w:val="00897589"/>
    <w:rsid w:val="008A1F87"/>
    <w:rsid w:val="008A47C8"/>
    <w:rsid w:val="008B5953"/>
    <w:rsid w:val="008C1C61"/>
    <w:rsid w:val="008D4EA2"/>
    <w:rsid w:val="008D5390"/>
    <w:rsid w:val="008D55A4"/>
    <w:rsid w:val="008E26EF"/>
    <w:rsid w:val="008E2935"/>
    <w:rsid w:val="008E2E3B"/>
    <w:rsid w:val="008E3BDC"/>
    <w:rsid w:val="008F1230"/>
    <w:rsid w:val="008F507C"/>
    <w:rsid w:val="008F58FE"/>
    <w:rsid w:val="008F67CE"/>
    <w:rsid w:val="00901D86"/>
    <w:rsid w:val="00904961"/>
    <w:rsid w:val="009058A6"/>
    <w:rsid w:val="00914101"/>
    <w:rsid w:val="00914EC3"/>
    <w:rsid w:val="00915DA9"/>
    <w:rsid w:val="009209C6"/>
    <w:rsid w:val="0092117C"/>
    <w:rsid w:val="00921240"/>
    <w:rsid w:val="009237B0"/>
    <w:rsid w:val="00923D07"/>
    <w:rsid w:val="00926C31"/>
    <w:rsid w:val="00931613"/>
    <w:rsid w:val="009322DE"/>
    <w:rsid w:val="009325AB"/>
    <w:rsid w:val="0093382E"/>
    <w:rsid w:val="00934E9C"/>
    <w:rsid w:val="00935909"/>
    <w:rsid w:val="00937913"/>
    <w:rsid w:val="00937C43"/>
    <w:rsid w:val="00940F22"/>
    <w:rsid w:val="0094146A"/>
    <w:rsid w:val="00952280"/>
    <w:rsid w:val="00952CB7"/>
    <w:rsid w:val="00957A7A"/>
    <w:rsid w:val="00960E62"/>
    <w:rsid w:val="00961BF7"/>
    <w:rsid w:val="0096258E"/>
    <w:rsid w:val="00963CE5"/>
    <w:rsid w:val="009702F6"/>
    <w:rsid w:val="0097039B"/>
    <w:rsid w:val="00970F20"/>
    <w:rsid w:val="00974309"/>
    <w:rsid w:val="00976BA3"/>
    <w:rsid w:val="00980C29"/>
    <w:rsid w:val="00984E8A"/>
    <w:rsid w:val="0099309C"/>
    <w:rsid w:val="0099569F"/>
    <w:rsid w:val="009A0788"/>
    <w:rsid w:val="009A670F"/>
    <w:rsid w:val="009B2227"/>
    <w:rsid w:val="009B5490"/>
    <w:rsid w:val="009B5E6E"/>
    <w:rsid w:val="009B723B"/>
    <w:rsid w:val="009C0186"/>
    <w:rsid w:val="009D05F4"/>
    <w:rsid w:val="009D6BE6"/>
    <w:rsid w:val="009D73FC"/>
    <w:rsid w:val="009E09F7"/>
    <w:rsid w:val="009E0D5A"/>
    <w:rsid w:val="009E32DE"/>
    <w:rsid w:val="009E5E0E"/>
    <w:rsid w:val="009F0143"/>
    <w:rsid w:val="00A1013A"/>
    <w:rsid w:val="00A10190"/>
    <w:rsid w:val="00A12D90"/>
    <w:rsid w:val="00A139DD"/>
    <w:rsid w:val="00A17829"/>
    <w:rsid w:val="00A201AF"/>
    <w:rsid w:val="00A21F21"/>
    <w:rsid w:val="00A22D18"/>
    <w:rsid w:val="00A25AB5"/>
    <w:rsid w:val="00A354F9"/>
    <w:rsid w:val="00A37705"/>
    <w:rsid w:val="00A410C1"/>
    <w:rsid w:val="00A41D4E"/>
    <w:rsid w:val="00A464C1"/>
    <w:rsid w:val="00A50E3E"/>
    <w:rsid w:val="00A5192B"/>
    <w:rsid w:val="00A52B87"/>
    <w:rsid w:val="00A62570"/>
    <w:rsid w:val="00A63B6E"/>
    <w:rsid w:val="00A63C58"/>
    <w:rsid w:val="00A655D8"/>
    <w:rsid w:val="00A66BD8"/>
    <w:rsid w:val="00A70BCB"/>
    <w:rsid w:val="00A74329"/>
    <w:rsid w:val="00A74B11"/>
    <w:rsid w:val="00A75965"/>
    <w:rsid w:val="00A84374"/>
    <w:rsid w:val="00A857A8"/>
    <w:rsid w:val="00A873EA"/>
    <w:rsid w:val="00A87F00"/>
    <w:rsid w:val="00A97464"/>
    <w:rsid w:val="00AA2E80"/>
    <w:rsid w:val="00AA4BC4"/>
    <w:rsid w:val="00AA4E43"/>
    <w:rsid w:val="00AA665C"/>
    <w:rsid w:val="00AB144A"/>
    <w:rsid w:val="00AB422A"/>
    <w:rsid w:val="00AB79CD"/>
    <w:rsid w:val="00AC09AB"/>
    <w:rsid w:val="00AC1F92"/>
    <w:rsid w:val="00AC24A2"/>
    <w:rsid w:val="00AC3DD3"/>
    <w:rsid w:val="00AC6ECD"/>
    <w:rsid w:val="00AD4A5A"/>
    <w:rsid w:val="00AD527A"/>
    <w:rsid w:val="00AE1457"/>
    <w:rsid w:val="00AE5ED1"/>
    <w:rsid w:val="00AF2C90"/>
    <w:rsid w:val="00AF2E21"/>
    <w:rsid w:val="00AF32C6"/>
    <w:rsid w:val="00AF6951"/>
    <w:rsid w:val="00B01DDE"/>
    <w:rsid w:val="00B03735"/>
    <w:rsid w:val="00B0518B"/>
    <w:rsid w:val="00B10D77"/>
    <w:rsid w:val="00B1206A"/>
    <w:rsid w:val="00B27D2A"/>
    <w:rsid w:val="00B3037B"/>
    <w:rsid w:val="00B31ABF"/>
    <w:rsid w:val="00B32B1A"/>
    <w:rsid w:val="00B4002B"/>
    <w:rsid w:val="00B43B90"/>
    <w:rsid w:val="00B45807"/>
    <w:rsid w:val="00B4716A"/>
    <w:rsid w:val="00B47B1A"/>
    <w:rsid w:val="00B51000"/>
    <w:rsid w:val="00B51D4A"/>
    <w:rsid w:val="00B57C15"/>
    <w:rsid w:val="00B60D3D"/>
    <w:rsid w:val="00B6149B"/>
    <w:rsid w:val="00B63730"/>
    <w:rsid w:val="00B6468E"/>
    <w:rsid w:val="00B64A68"/>
    <w:rsid w:val="00B66883"/>
    <w:rsid w:val="00B71FB1"/>
    <w:rsid w:val="00B73BC6"/>
    <w:rsid w:val="00B754C1"/>
    <w:rsid w:val="00B77D03"/>
    <w:rsid w:val="00B8224A"/>
    <w:rsid w:val="00B831B4"/>
    <w:rsid w:val="00B87926"/>
    <w:rsid w:val="00B9294B"/>
    <w:rsid w:val="00BA1019"/>
    <w:rsid w:val="00BA1224"/>
    <w:rsid w:val="00BA66B3"/>
    <w:rsid w:val="00BA6775"/>
    <w:rsid w:val="00BA7B11"/>
    <w:rsid w:val="00BB5839"/>
    <w:rsid w:val="00BB67DB"/>
    <w:rsid w:val="00BC0625"/>
    <w:rsid w:val="00BC191A"/>
    <w:rsid w:val="00BC3E65"/>
    <w:rsid w:val="00BC4236"/>
    <w:rsid w:val="00BC4E5F"/>
    <w:rsid w:val="00BC4E9E"/>
    <w:rsid w:val="00BD25F3"/>
    <w:rsid w:val="00BD4FFC"/>
    <w:rsid w:val="00BD54F9"/>
    <w:rsid w:val="00BD68E5"/>
    <w:rsid w:val="00BD7F99"/>
    <w:rsid w:val="00BE2509"/>
    <w:rsid w:val="00BE2F61"/>
    <w:rsid w:val="00BE722D"/>
    <w:rsid w:val="00BF68D7"/>
    <w:rsid w:val="00C0255E"/>
    <w:rsid w:val="00C07CEA"/>
    <w:rsid w:val="00C148F6"/>
    <w:rsid w:val="00C21A1D"/>
    <w:rsid w:val="00C21EF0"/>
    <w:rsid w:val="00C23586"/>
    <w:rsid w:val="00C259C2"/>
    <w:rsid w:val="00C2677C"/>
    <w:rsid w:val="00C3178F"/>
    <w:rsid w:val="00C32F8F"/>
    <w:rsid w:val="00C36D71"/>
    <w:rsid w:val="00C372A4"/>
    <w:rsid w:val="00C410AF"/>
    <w:rsid w:val="00C436E9"/>
    <w:rsid w:val="00C43ED1"/>
    <w:rsid w:val="00C4611C"/>
    <w:rsid w:val="00C5307F"/>
    <w:rsid w:val="00C5403D"/>
    <w:rsid w:val="00C5412D"/>
    <w:rsid w:val="00C54E05"/>
    <w:rsid w:val="00C60C96"/>
    <w:rsid w:val="00C61268"/>
    <w:rsid w:val="00C63505"/>
    <w:rsid w:val="00C64052"/>
    <w:rsid w:val="00C6414B"/>
    <w:rsid w:val="00C647C6"/>
    <w:rsid w:val="00C65238"/>
    <w:rsid w:val="00C65E95"/>
    <w:rsid w:val="00C66BDD"/>
    <w:rsid w:val="00C6735B"/>
    <w:rsid w:val="00C7024C"/>
    <w:rsid w:val="00C736C2"/>
    <w:rsid w:val="00C80229"/>
    <w:rsid w:val="00C80337"/>
    <w:rsid w:val="00C80CF6"/>
    <w:rsid w:val="00C81B8B"/>
    <w:rsid w:val="00C853F7"/>
    <w:rsid w:val="00C85A1C"/>
    <w:rsid w:val="00C868BE"/>
    <w:rsid w:val="00C93A89"/>
    <w:rsid w:val="00CA194F"/>
    <w:rsid w:val="00CA42C3"/>
    <w:rsid w:val="00CA4373"/>
    <w:rsid w:val="00CA7C85"/>
    <w:rsid w:val="00CB0570"/>
    <w:rsid w:val="00CC0DB1"/>
    <w:rsid w:val="00CD2571"/>
    <w:rsid w:val="00CD41AB"/>
    <w:rsid w:val="00CD6B6F"/>
    <w:rsid w:val="00CE109D"/>
    <w:rsid w:val="00CE357B"/>
    <w:rsid w:val="00CF29C2"/>
    <w:rsid w:val="00CF3870"/>
    <w:rsid w:val="00CF7821"/>
    <w:rsid w:val="00D10B4C"/>
    <w:rsid w:val="00D15C54"/>
    <w:rsid w:val="00D16EB0"/>
    <w:rsid w:val="00D24594"/>
    <w:rsid w:val="00D35378"/>
    <w:rsid w:val="00D362CF"/>
    <w:rsid w:val="00D419A1"/>
    <w:rsid w:val="00D41AAE"/>
    <w:rsid w:val="00D46D98"/>
    <w:rsid w:val="00D50742"/>
    <w:rsid w:val="00D543AE"/>
    <w:rsid w:val="00D57D5E"/>
    <w:rsid w:val="00D63F57"/>
    <w:rsid w:val="00D65782"/>
    <w:rsid w:val="00D676FF"/>
    <w:rsid w:val="00D71CB6"/>
    <w:rsid w:val="00D71D5F"/>
    <w:rsid w:val="00D77CAA"/>
    <w:rsid w:val="00D85458"/>
    <w:rsid w:val="00D854A8"/>
    <w:rsid w:val="00D85996"/>
    <w:rsid w:val="00D86936"/>
    <w:rsid w:val="00D925BA"/>
    <w:rsid w:val="00D97990"/>
    <w:rsid w:val="00DA08F3"/>
    <w:rsid w:val="00DA0E70"/>
    <w:rsid w:val="00DA6EEF"/>
    <w:rsid w:val="00DB1BF3"/>
    <w:rsid w:val="00DB4F65"/>
    <w:rsid w:val="00DB635D"/>
    <w:rsid w:val="00DB7644"/>
    <w:rsid w:val="00DC0995"/>
    <w:rsid w:val="00DC216A"/>
    <w:rsid w:val="00DC26D6"/>
    <w:rsid w:val="00DD2B58"/>
    <w:rsid w:val="00DE6247"/>
    <w:rsid w:val="00DE6ED2"/>
    <w:rsid w:val="00DE780E"/>
    <w:rsid w:val="00DF04CE"/>
    <w:rsid w:val="00DF2CAA"/>
    <w:rsid w:val="00DF47C5"/>
    <w:rsid w:val="00E001B6"/>
    <w:rsid w:val="00E039B0"/>
    <w:rsid w:val="00E116B9"/>
    <w:rsid w:val="00E16934"/>
    <w:rsid w:val="00E202A7"/>
    <w:rsid w:val="00E23283"/>
    <w:rsid w:val="00E232FE"/>
    <w:rsid w:val="00E31075"/>
    <w:rsid w:val="00E40EA1"/>
    <w:rsid w:val="00E41E44"/>
    <w:rsid w:val="00E4483E"/>
    <w:rsid w:val="00E52FE5"/>
    <w:rsid w:val="00E603AD"/>
    <w:rsid w:val="00E62AEA"/>
    <w:rsid w:val="00E65824"/>
    <w:rsid w:val="00E66D0B"/>
    <w:rsid w:val="00E67FB6"/>
    <w:rsid w:val="00E71ADD"/>
    <w:rsid w:val="00E74400"/>
    <w:rsid w:val="00E750F4"/>
    <w:rsid w:val="00E7618E"/>
    <w:rsid w:val="00E80A7A"/>
    <w:rsid w:val="00E85DCC"/>
    <w:rsid w:val="00E86EAD"/>
    <w:rsid w:val="00E9216A"/>
    <w:rsid w:val="00E951FC"/>
    <w:rsid w:val="00EA04F4"/>
    <w:rsid w:val="00EB011C"/>
    <w:rsid w:val="00EB3AAD"/>
    <w:rsid w:val="00EC35C6"/>
    <w:rsid w:val="00ED7BEB"/>
    <w:rsid w:val="00ED7E0D"/>
    <w:rsid w:val="00ED7E38"/>
    <w:rsid w:val="00EE22DF"/>
    <w:rsid w:val="00EF543E"/>
    <w:rsid w:val="00EF5CCA"/>
    <w:rsid w:val="00F02828"/>
    <w:rsid w:val="00F054EB"/>
    <w:rsid w:val="00F0585F"/>
    <w:rsid w:val="00F06651"/>
    <w:rsid w:val="00F072ED"/>
    <w:rsid w:val="00F13D7C"/>
    <w:rsid w:val="00F140DD"/>
    <w:rsid w:val="00F145B0"/>
    <w:rsid w:val="00F1532E"/>
    <w:rsid w:val="00F15340"/>
    <w:rsid w:val="00F2127C"/>
    <w:rsid w:val="00F21373"/>
    <w:rsid w:val="00F24069"/>
    <w:rsid w:val="00F30D05"/>
    <w:rsid w:val="00F350D3"/>
    <w:rsid w:val="00F36C7E"/>
    <w:rsid w:val="00F36E45"/>
    <w:rsid w:val="00F406C6"/>
    <w:rsid w:val="00F41CD6"/>
    <w:rsid w:val="00F520AD"/>
    <w:rsid w:val="00F5665A"/>
    <w:rsid w:val="00F56EBB"/>
    <w:rsid w:val="00F5750B"/>
    <w:rsid w:val="00F57AA0"/>
    <w:rsid w:val="00F61EA5"/>
    <w:rsid w:val="00F62855"/>
    <w:rsid w:val="00F708AF"/>
    <w:rsid w:val="00F75604"/>
    <w:rsid w:val="00F81BF0"/>
    <w:rsid w:val="00F862AA"/>
    <w:rsid w:val="00F92C23"/>
    <w:rsid w:val="00F95505"/>
    <w:rsid w:val="00FA0F7E"/>
    <w:rsid w:val="00FA13BE"/>
    <w:rsid w:val="00FA14AA"/>
    <w:rsid w:val="00FA2096"/>
    <w:rsid w:val="00FA3A70"/>
    <w:rsid w:val="00FA5673"/>
    <w:rsid w:val="00FB0613"/>
    <w:rsid w:val="00FC6F8C"/>
    <w:rsid w:val="00FC7600"/>
    <w:rsid w:val="00FD3793"/>
    <w:rsid w:val="00FD3A79"/>
    <w:rsid w:val="00FD44F6"/>
    <w:rsid w:val="00FD6BD0"/>
    <w:rsid w:val="00FE0C52"/>
    <w:rsid w:val="00FE34B9"/>
    <w:rsid w:val="00FF0EA9"/>
    <w:rsid w:val="00FF1944"/>
    <w:rsid w:val="00FF3732"/>
    <w:rsid w:val="00FF5C44"/>
    <w:rsid w:val="04DA012C"/>
    <w:rsid w:val="052076F5"/>
    <w:rsid w:val="05624B41"/>
    <w:rsid w:val="088D6498"/>
    <w:rsid w:val="090C2763"/>
    <w:rsid w:val="0D482C35"/>
    <w:rsid w:val="0FC97514"/>
    <w:rsid w:val="10007CB0"/>
    <w:rsid w:val="142A4BC1"/>
    <w:rsid w:val="17E21B65"/>
    <w:rsid w:val="1B576E4B"/>
    <w:rsid w:val="1C803A0A"/>
    <w:rsid w:val="1DC7686B"/>
    <w:rsid w:val="1DD63602"/>
    <w:rsid w:val="1E3D3469"/>
    <w:rsid w:val="21F975B7"/>
    <w:rsid w:val="250671CD"/>
    <w:rsid w:val="29604F62"/>
    <w:rsid w:val="2E047B0F"/>
    <w:rsid w:val="2EC25944"/>
    <w:rsid w:val="2F9B7A3D"/>
    <w:rsid w:val="34137D7F"/>
    <w:rsid w:val="34C41FFA"/>
    <w:rsid w:val="357D54CD"/>
    <w:rsid w:val="378C4B33"/>
    <w:rsid w:val="37E21068"/>
    <w:rsid w:val="38631313"/>
    <w:rsid w:val="3E6212E9"/>
    <w:rsid w:val="40405EFB"/>
    <w:rsid w:val="40D667EF"/>
    <w:rsid w:val="43A60B8B"/>
    <w:rsid w:val="43C93353"/>
    <w:rsid w:val="440F51E1"/>
    <w:rsid w:val="4951041B"/>
    <w:rsid w:val="4C034FED"/>
    <w:rsid w:val="52264908"/>
    <w:rsid w:val="551A1B2C"/>
    <w:rsid w:val="55EA6982"/>
    <w:rsid w:val="575171CD"/>
    <w:rsid w:val="629C0D3A"/>
    <w:rsid w:val="63AD16A5"/>
    <w:rsid w:val="64231A01"/>
    <w:rsid w:val="642D16D1"/>
    <w:rsid w:val="64314CD0"/>
    <w:rsid w:val="647A3289"/>
    <w:rsid w:val="675D7CA3"/>
    <w:rsid w:val="678149E0"/>
    <w:rsid w:val="69FB5BA9"/>
    <w:rsid w:val="6D1A2AB8"/>
    <w:rsid w:val="6F1C7C5A"/>
    <w:rsid w:val="6F245066"/>
    <w:rsid w:val="704E12D0"/>
    <w:rsid w:val="70F76266"/>
    <w:rsid w:val="72423424"/>
    <w:rsid w:val="745942EE"/>
    <w:rsid w:val="748A18B9"/>
    <w:rsid w:val="75971777"/>
    <w:rsid w:val="76160ABF"/>
    <w:rsid w:val="7F865347"/>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eastAsia="宋体" w:cs="Times New Roman"/>
      </w:rPr>
    </w:rPrDefault>
    <w:pPrDefault/>
  </w:docDefaults>
  <w:latentStyles w:defLockedState="0" w:defUIPriority="99" w:defSemiHidden="1" w:defUnhideWhenUsed="1" w:defQFormat="0" w:count="260">
    <w:lsdException w:name="Light Shading Accent 1" w:uiPriority="60" w:semiHidden="0" w:unhideWhenUsed="0"/>
    <w:lsdException w:name="Medium Grid 3 Accent 2" w:uiPriority="69" w:semiHidden="0" w:unhideWhenUsed="0"/>
    <w:lsdException w:name="Table Grid 3" w:uiPriority="0"/>
    <w:lsdException w:name="HTML Address" w:uiPriority="0"/>
    <w:lsdException w:name="Medium Grid 3 Accent 1" w:uiPriority="69" w:semiHidden="0" w:unhideWhenUsed="0"/>
    <w:lsdException w:name="Light Shading" w:uiPriority="60" w:semiHidden="0" w:unhideWhenUsed="0"/>
    <w:lsdException w:name="Medium Shading 2 Accent 5" w:uiPriority="64" w:semiHidden="0" w:unhideWhenUsed="0"/>
    <w:lsdException w:name="Dark List Accent 3" w:uiPriority="70" w:semiHidden="0" w:unhideWhenUsed="0"/>
    <w:lsdException w:name="Colorful List Accent 3" w:uiPriority="72" w:semiHidden="0" w:unhideWhenUsed="0"/>
    <w:lsdException w:name="Hyperlink" w:uiPriority="0" w:semiHidden="0" w:qFormat="1"/>
    <w:lsdException w:name="Medium Grid 3" w:uiPriority="69" w:semiHidden="0" w:unhideWhenUsed="0"/>
    <w:lsdException w:name="HTML Preformatted" w:uiPriority="0"/>
    <w:lsdException w:name="Normal (Web)" w:uiPriority="99" w:semiHidden="0" w:qFormat="1"/>
    <w:lsdException w:name="Light Grid Accent 4" w:uiPriority="62" w:semiHidden="0" w:unhideWhenUsed="0"/>
    <w:lsdException w:name="Table List 1" w:uiPriority="0"/>
    <w:lsdException w:name="Table Theme" w:uiPriority="0"/>
    <w:lsdException w:name="Title" w:uiPriority="10" w:semiHidden="0" w:unhideWhenUsed="0" w:qFormat="1"/>
    <w:lsdException w:name="HTML Acronym" w:uiPriority="0"/>
    <w:lsdException w:name="Medium Grid 1 Accent 6" w:uiPriority="67" w:semiHidden="0" w:unhideWhenUsed="0"/>
    <w:lsdException w:name="Colorful Grid Accent 6" w:uiPriority="73" w:semiHidden="0" w:unhideWhenUsed="0"/>
    <w:lsdException w:name="Medium Shading 1 Accent 2" w:uiPriority="63" w:semiHidden="0" w:unhideWhenUsed="0"/>
    <w:lsdException w:name="Colorful List Accent 1" w:uiPriority="72" w:semiHidden="0" w:unhideWhenUsed="0"/>
    <w:lsdException w:name="Colorful Shading Accent 4" w:uiPriority="71" w:semiHidden="0" w:unhideWhenUsed="0"/>
    <w:lsdException w:name="page number" w:uiPriority="0"/>
    <w:lsdException w:name="Balloon Text" w:uiPriority="0" w:qFormat="1"/>
    <w:lsdException w:name="Medium Grid 3 Accent 4" w:uiPriority="69" w:semiHidden="0" w:unhideWhenUsed="0"/>
    <w:lsdException w:name="Colorful List Accent 4" w:uiPriority="72" w:semiHidden="0" w:unhideWhenUsed="0"/>
    <w:lsdException w:name="Medium Grid 3 Accent 5" w:uiPriority="69" w:semiHidden="0" w:unhideWhenUsed="0"/>
    <w:lsdException w:name="Medium List 1 Accent 3" w:uiPriority="65" w:semiHidden="0" w:unhideWhenUsed="0"/>
    <w:lsdException w:name="Light Shading Accent 6" w:uiPriority="60" w:semiHidden="0" w:unhideWhenUsed="0"/>
    <w:lsdException w:name="index 3" w:uiPriority="0"/>
    <w:lsdException w:name="index 4" w:uiPriority="0"/>
    <w:lsdException w:name="Light List Accent 6" w:uiPriority="61" w:semiHidden="0" w:unhideWhenUsed="0"/>
    <w:lsdException w:name="table of authorities" w:uiPriority="0"/>
    <w:lsdException w:name="heading 8" w:uiPriority="9" w:qFormat="1"/>
    <w:lsdException w:name="Table Grid" w:uiPriority="59" w:semiHidden="0" w:unhideWhenUsed="0" w:qFormat="1"/>
    <w:lsdException w:name="Normal Indent" w:uiPriority="0"/>
    <w:lsdException w:name="Signature" w:uiPriority="0"/>
    <w:lsdException w:name="Table Web 3" w:uiPriority="0"/>
    <w:lsdException w:name="Light Shading Accent 2" w:uiPriority="60" w:semiHidden="0" w:unhideWhenUsed="0"/>
    <w:lsdException w:name="List Number 5" w:uiPriority="0"/>
    <w:lsdException w:name="heading 4" w:uiPriority="9" w:qFormat="1"/>
    <w:lsdException w:name="Medium List 1 Accent 2" w:uiPriority="65" w:semiHidden="0" w:unhideWhenUsed="0"/>
    <w:lsdException w:name="Table Columns 1" w:uiPriority="0"/>
    <w:lsdException w:name="Medium List 1 Accent 4" w:uiPriority="65" w:semiHidden="0" w:unhideWhenUsed="0"/>
    <w:lsdException w:name="heading 9" w:uiPriority="9" w:qFormat="1"/>
    <w:lsdException w:name="Dark List Accent 2" w:uiPriority="70" w:semiHidden="0" w:unhideWhenUsed="0"/>
    <w:lsdException w:name="Light List Accent 2" w:uiPriority="61" w:semiHidden="0" w:unhideWhenUsed="0"/>
    <w:lsdException w:name="Block Text" w:uiPriority="0"/>
    <w:lsdException w:name="Table Grid 8" w:uiPriority="0"/>
    <w:lsdException w:name="Dark List Accent 6" w:uiPriority="70" w:semiHidden="0" w:unhideWhenUsed="0"/>
    <w:lsdException w:name="Table List 7" w:uiPriority="0"/>
    <w:lsdException w:name="Normal Table" w:uiPriority="99" w:qFormat="1"/>
    <w:lsdException w:name="Table Simple 3" w:uiPriority="0"/>
    <w:lsdException w:name="Table 3D effects 1" w:uiPriority="0"/>
    <w:lsdException w:name="List Paragraph" w:uiPriority="34" w:semiHidden="0" w:qFormat="1"/>
    <w:lsdException w:name="Colorful List Accent 2" w:uiPriority="72" w:semiHidden="0" w:unhideWhenUsed="0"/>
    <w:lsdException w:name="List 3" w:uiPriority="0"/>
    <w:lsdException w:name="toc 2" w:uiPriority="39"/>
    <w:lsdException w:name="toc 4" w:uiPriority="39"/>
    <w:lsdException w:name="Table Simple 2" w:uiPriority="0"/>
    <w:lsdException w:name="Colorful Grid Accent 4" w:uiPriority="73" w:semiHidden="0" w:unhideWhenUsed="0"/>
    <w:lsdException w:name="Table Grid 5" w:uiPriority="0"/>
    <w:lsdException w:name="Table List 8" w:uiPriority="0"/>
    <w:lsdException w:name="Medium Grid 1 Accent 3" w:uiPriority="67" w:semiHidden="0" w:unhideWhenUsed="0"/>
    <w:lsdException w:name="Medium List 2 Accent 2" w:uiPriority="66" w:semiHidden="0" w:unhideWhenUsed="0"/>
    <w:lsdException w:name="Medium Grid 2 Accent 3" w:uiPriority="68" w:semiHidden="0" w:unhideWhenUsed="0"/>
    <w:lsdException w:name="Body Text 2" w:uiPriority="99" w:semiHidden="0" w:unhideWhenUsed="0" w:qFormat="1"/>
    <w:lsdException w:name="Colorful Shading Accent 5" w:uiPriority="71" w:semiHidden="0" w:unhideWhenUsed="0"/>
    <w:lsdException w:name="List Number 4" w:uiPriority="0"/>
    <w:lsdException w:name="Colorful List Accent 6" w:uiPriority="72" w:semiHidden="0" w:unhideWhenUsed="0"/>
    <w:lsdException w:name="Medium Shading 2 Accent 3" w:uiPriority="64" w:semiHidden="0" w:unhideWhenUsed="0"/>
    <w:lsdException w:name="Closing" w:uiPriority="0"/>
    <w:lsdException w:name="Table Grid 2" w:uiPriority="0"/>
    <w:lsdException w:name="Medium Shading 1 Accent 3" w:uiPriority="63" w:semiHidden="0" w:unhideWhenUsed="0"/>
    <w:lsdException w:name="Medium List 2 Accent 3" w:uiPriority="66" w:semiHidden="0" w:unhideWhenUsed="0"/>
    <w:lsdException w:name="Message Header" w:uiPriority="0"/>
    <w:lsdException w:name="List Bullet 3" w:uiPriority="0"/>
    <w:lsdException w:name="index 7" w:uiPriority="0"/>
    <w:lsdException w:name="List Number 3" w:uiPriority="0"/>
    <w:lsdException w:name="Medium Shading 1" w:uiPriority="63" w:semiHidden="0" w:unhideWhenUsed="0"/>
    <w:lsdException w:name="HTML Definition" w:uiPriority="0"/>
    <w:lsdException w:name="heading 7" w:uiPriority="9" w:qFormat="1"/>
    <w:lsdException w:name="Table Simple 1" w:uiPriority="0"/>
    <w:lsdException w:name="heading 2" w:uiPriority="0" w:semiHidden="0" w:qFormat="1"/>
    <w:lsdException w:name="envelope address" w:uiPriority="0"/>
    <w:lsdException w:name="HTML Code" w:uiPriority="0"/>
    <w:lsdException w:name="Medium List 1 Accent 1" w:uiPriority="65" w:semiHidden="0" w:unhideWhenUsed="0"/>
    <w:lsdException w:name="List Continue" w:uiPriority="0"/>
    <w:lsdException w:name="annotation reference" w:uiPriority="0"/>
    <w:lsdException w:name="Medium List 2" w:uiPriority="66" w:semiHidden="0" w:unhideWhenUsed="0"/>
    <w:lsdException w:name="Medium Grid 2" w:uiPriority="68" w:semiHidden="0" w:unhideWhenUsed="0"/>
    <w:lsdException w:name="Medium List 1 Accent 6" w:uiPriority="65" w:semiHidden="0" w:unhideWhenUsed="0"/>
    <w:lsdException w:name="Normal" w:uiPriority="0" w:semiHidden="0" w:unhideWhenUsed="0" w:qFormat="1"/>
    <w:lsdException w:name="index 6" w:uiPriority="0"/>
    <w:lsdException w:name="Table Colorful 2" w:uiPriority="0"/>
    <w:lsdException w:name="Table 3D effects 2" w:uiPriority="0"/>
    <w:lsdException w:name="Medium Grid 1 Accent 2" w:uiPriority="67" w:semiHidden="0" w:unhideWhenUsed="0"/>
    <w:lsdException w:name="Medium Shading 1 Accent 6" w:uiPriority="63" w:semiHidden="0" w:unhideWhenUsed="0"/>
    <w:lsdException w:name="Colorful Grid Accent 1" w:uiPriority="73" w:semiHidden="0" w:unhideWhenUsed="0"/>
    <w:lsdException w:name="Table Subtle 1" w:uiPriority="0"/>
    <w:lsdException w:name="FollowedHyperlink" w:uiPriority="0" w:semiHidden="0" w:qFormat="1"/>
    <w:lsdException w:name="Table Columns 3" w:uiPriority="0"/>
    <w:lsdException w:name="Light Grid Accent 2" w:uiPriority="62" w:semiHidden="0" w:unhideWhenUsed="0"/>
    <w:lsdException w:name="Table Classic 4" w:uiPriority="0"/>
    <w:lsdException w:name="Date" w:uiPriority="0" w:qFormat="1"/>
    <w:lsdException w:name="Salutation" w:uiPriority="0"/>
    <w:lsdException w:name="Medium List 1" w:uiPriority="65" w:semiHidden="0" w:unhideWhenUsed="0"/>
    <w:lsdException w:name="Medium Shading 1 Accent 5" w:uiPriority="63" w:semiHidden="0" w:unhideWhenUsed="0"/>
    <w:lsdException w:name="Colorful Shading" w:uiPriority="71" w:semiHidden="0" w:unhideWhenUsed="0"/>
    <w:lsdException w:name="Medium List 2 Accent 4" w:uiPriority="66" w:semiHidden="0" w:unhideWhenUsed="0"/>
    <w:lsdException w:name="Medium Shading 1 Accent 4" w:uiPriority="63" w:semiHidden="0" w:unhideWhenUsed="0"/>
    <w:lsdException w:name="footnote reference" w:uiPriority="0"/>
    <w:lsdException w:name="HTML Typewriter" w:uiPriority="0"/>
    <w:lsdException w:name="Colorful Shading Accent 2" w:uiPriority="71" w:semiHidden="0" w:unhideWhenUsed="0"/>
    <w:lsdException w:name="Medium Grid 2 Accent 6" w:uiPriority="68" w:semiHidden="0" w:unhideWhenUsed="0"/>
    <w:lsdException w:name="Body Text First Indent" w:uiPriority="99" w:semiHidden="0" w:qFormat="1"/>
    <w:lsdException w:name="Table Subtle 2" w:uiPriority="0"/>
    <w:lsdException w:name="Dark List" w:uiPriority="70" w:semiHidden="0" w:unhideWhenUsed="0"/>
    <w:lsdException w:name="List Continue 5" w:uiPriority="0"/>
    <w:lsdException w:name="heading 6" w:uiPriority="9" w:qFormat="1"/>
    <w:lsdException w:name="Table List 4" w:uiPriority="0"/>
    <w:lsdException w:name="Table Colorful 3" w:uiPriority="0"/>
    <w:lsdException w:name="Emphasis" w:uiPriority="20" w:semiHidden="0" w:unhideWhenUsed="0" w:qFormat="1"/>
    <w:lsdException w:name="List Number 2" w:uiPriority="0"/>
    <w:lsdException w:name="Medium Grid 1 Accent 1" w:uiPriority="67" w:semiHidden="0" w:unhideWhenUsed="0"/>
    <w:lsdException w:name="Medium Shading 2" w:uiPriority="64" w:semiHidden="0" w:unhideWhenUsed="0"/>
    <w:lsdException w:name="Table Columns 2" w:uiPriority="0"/>
    <w:lsdException w:name="List" w:uiPriority="0"/>
    <w:lsdException w:name="HTML Keyboard" w:uiPriority="0"/>
    <w:lsdException w:name="List Continue 2" w:uiPriority="0"/>
    <w:lsdException w:name="Colorful Shading Accent 6" w:uiPriority="71" w:semiHidden="0" w:unhideWhenUsed="0"/>
    <w:lsdException w:name="Subtitle" w:uiPriority="11" w:semiHidden="0" w:unhideWhenUsed="0" w:qFormat="1"/>
    <w:lsdException w:name="Medium Shading 2 Accent 2" w:uiPriority="64" w:semiHidden="0" w:unhideWhenUsed="0"/>
    <w:lsdException w:name="toc 5" w:uiPriority="39"/>
    <w:lsdException w:name="Default Paragraph Font" w:uiPriority="1" w:qFormat="1"/>
    <w:lsdException w:name="Colorful Grid" w:uiPriority="73" w:semiHidden="0" w:unhideWhenUsed="0"/>
    <w:lsdException w:name="Plain Text" w:uiPriority="0"/>
    <w:lsdException w:name="Table List 2" w:uiPriority="0"/>
    <w:lsdException w:name="toc 8" w:uiPriority="39"/>
    <w:lsdException w:name="toc 9" w:uiPriority="39"/>
    <w:lsdException w:name="Colorful List" w:uiPriority="72" w:semiHidden="0" w:unhideWhenUsed="0"/>
    <w:lsdException w:name="Light Grid Accent 6" w:uiPriority="62" w:semiHidden="0" w:unhideWhenUsed="0"/>
    <w:lsdException w:name="Table List 3" w:uiPriority="0"/>
    <w:lsdException w:name="Light List Accent 3" w:uiPriority="61" w:semiHidden="0" w:unhideWhenUsed="0"/>
    <w:lsdException w:name="toc 6" w:uiPriority="39"/>
    <w:lsdException w:name="Medium Shading 2 Accent 4" w:uiPriority="64" w:semiHidden="0" w:unhideWhenUsed="0"/>
    <w:lsdException w:name="Table Classic 1" w:uiPriority="0"/>
    <w:lsdException w:name="Table List 6" w:uiPriority="0"/>
    <w:lsdException w:name="Medium Grid 2 Accent 1" w:uiPriority="68" w:semiHidden="0" w:unhideWhenUsed="0"/>
    <w:lsdException w:name="Dark List Accent 5" w:uiPriority="70" w:semiHidden="0" w:unhideWhenUsed="0"/>
    <w:lsdException w:name="heading 1" w:uiPriority="9" w:semiHidden="0" w:unhideWhenUsed="0" w:qFormat="1"/>
    <w:lsdException w:name="List 4" w:uiPriority="0"/>
    <w:lsdException w:name="Medium Grid 2 Accent 5" w:uiPriority="68" w:semiHidden="0" w:unhideWhenUsed="0"/>
    <w:lsdException w:name="Medium Grid 3 Accent 6" w:uiPriority="69" w:semiHidden="0" w:unhideWhenUsed="0"/>
    <w:lsdException w:name="Colorful Shading Accent 3" w:uiPriority="71" w:semiHidden="0" w:unhideWhenUsed="0"/>
    <w:lsdException w:name="Light List Accent 4" w:uiPriority="61" w:semiHidden="0" w:unhideWhenUsed="0"/>
    <w:lsdException w:name="toc 7" w:uiPriority="39"/>
    <w:lsdException w:name="index 9" w:uiPriority="0"/>
    <w:lsdException w:name="index 1" w:uiPriority="0"/>
    <w:lsdException w:name="Light List Accent 5" w:uiPriority="61" w:semiHidden="0" w:unhideWhenUsed="0"/>
    <w:lsdException w:name="endnote reference" w:uiPriority="0"/>
    <w:lsdException w:name="Body Text Indent" w:uiPriority="0"/>
    <w:lsdException w:name="Table Web 2" w:uiPriority="0"/>
    <w:lsdException w:name="Body Text Indent 2" w:uiPriority="0"/>
    <w:lsdException w:name="footer" w:uiPriority="99" w:semiHidden="0" w:qFormat="1"/>
    <w:lsdException w:name="HTML Sample" w:uiPriority="0"/>
    <w:lsdException w:name="Light Grid Accent 5" w:uiPriority="62" w:semiHidden="0" w:unhideWhenUsed="0"/>
    <w:lsdException w:name="Table Elegant" w:uiPriority="0"/>
    <w:lsdException w:name="Table Professional" w:uiPriority="0"/>
    <w:lsdException w:name="Table Grid 6" w:uiPriority="0"/>
    <w:lsdException w:name="Medium Shading 1 Accent 1" w:uiPriority="63" w:semiHidden="0" w:unhideWhenUsed="0"/>
    <w:lsdException w:name="Medium Grid 1 Accent 4" w:uiPriority="67" w:semiHidden="0" w:unhideWhenUsed="0"/>
    <w:lsdException w:name="Table Classic 2" w:uiPriority="0"/>
    <w:lsdException w:name="Table Grid 7" w:uiPriority="0"/>
    <w:lsdException w:name="envelope return" w:uiPriority="0"/>
    <w:lsdException w:name="List 2" w:uiPriority="0"/>
    <w:lsdException w:name="Medium List 2 Accent 6" w:uiPriority="66" w:semiHidden="0" w:unhideWhenUsed="0"/>
    <w:lsdException w:name="Medium Grid 2 Accent 4" w:uiPriority="68" w:semiHidden="0" w:unhideWhenUsed="0"/>
    <w:lsdException w:name="Table Grid 4" w:uiPriority="0"/>
    <w:lsdException w:name="List 5" w:uiPriority="0"/>
    <w:lsdException w:name="heading 3" w:uiPriority="9" w:qFormat="1"/>
    <w:lsdException w:name="List Bullet 2" w:uiPriority="0"/>
    <w:lsdException w:name="header" w:uiPriority="99" w:semiHidden="0" w:qFormat="1"/>
    <w:lsdException w:name="List Number" w:uiPriority="0"/>
    <w:lsdException w:name="index 5" w:uiPriority="0"/>
    <w:lsdException w:name="Table Columns 5" w:uiPriority="0"/>
    <w:lsdException w:name="Medium List 2 Accent 1" w:uiPriority="66" w:semiHidden="0" w:unhideWhenUsed="0"/>
    <w:lsdException w:name="Light Shading Accent 3" w:uiPriority="60" w:semiHidden="0" w:unhideWhenUsed="0"/>
    <w:lsdException w:name="HTML Variable" w:uiPriority="0"/>
    <w:lsdException w:name="Medium Grid 1" w:uiPriority="67" w:semiHidden="0" w:unhideWhenUsed="0"/>
    <w:lsdException w:name="Medium Shading 2 Accent 1" w:uiPriority="64" w:semiHidden="0" w:unhideWhenUsed="0"/>
    <w:lsdException w:name="E-mail Signature" w:uiPriority="0"/>
    <w:lsdException w:name="Light Grid" w:uiPriority="62" w:semiHidden="0" w:unhideWhenUsed="0"/>
    <w:lsdException w:name="toc 1" w:uiPriority="39" w:semiHidden="0" w:unhideWhenUsed="0" w:qFormat="1"/>
    <w:lsdException w:name="Table List 5" w:uiPriority="0"/>
    <w:lsdException w:name="macro" w:uiPriority="0"/>
    <w:lsdException w:name="Table Colorful 1" w:uiPriority="0"/>
    <w:lsdException w:name="List Continue 3" w:uiPriority="0"/>
    <w:lsdException w:name="HTML Cite" w:uiPriority="0" w:semiHidden="0" w:qFormat="1"/>
    <w:lsdException w:name="Colorful Grid Accent 3" w:uiPriority="73" w:semiHidden="0" w:unhideWhenUsed="0"/>
    <w:lsdException w:name="table of figures" w:uiPriority="0"/>
    <w:lsdException w:name="Table Contemporary" w:uiPriority="0"/>
    <w:lsdException w:name="toc 3" w:uiPriority="39"/>
    <w:lsdException w:name="Body Text 3" w:uiPriority="0"/>
    <w:lsdException w:name="List Bullet 4" w:uiPriority="0"/>
    <w:lsdException w:name="Light List" w:uiPriority="61" w:semiHidden="0" w:unhideWhenUsed="0"/>
    <w:lsdException w:name="Colorful List Accent 5" w:uiPriority="72" w:semiHidden="0" w:unhideWhenUsed="0"/>
    <w:lsdException w:name="Body Text" w:uiPriority="0" w:qFormat="1"/>
    <w:lsdException w:name="Medium Grid 1 Accent 5" w:uiPriority="67" w:semiHidden="0" w:unhideWhenUsed="0"/>
    <w:lsdException w:name="Medium Shading 2 Accent 6" w:uiPriority="64" w:semiHidden="0" w:unhideWhenUsed="0"/>
    <w:lsdException w:name="line number" w:uiPriority="0"/>
    <w:lsdException w:name="Table Web 1" w:uiPriority="0"/>
    <w:lsdException w:name="Light Grid Accent 1" w:uiPriority="62" w:semiHidden="0" w:unhideWhenUsed="0"/>
    <w:lsdException w:name="annotation text" w:uiPriority="0"/>
    <w:lsdException w:name="index heading" w:uiPriority="0"/>
    <w:lsdException w:name="Body Text First Indent 2" w:uiPriority="0"/>
    <w:lsdException w:name="index 2" w:uiPriority="0"/>
    <w:lsdException w:name="Body Text Indent 3" w:uiPriority="0"/>
    <w:lsdException w:name="Dark List Accent 4" w:uiPriority="70" w:semiHidden="0" w:unhideWhenUsed="0"/>
    <w:lsdException w:name="endnote text" w:uiPriority="0"/>
    <w:lsdException w:name="caption" w:uiPriority="35" w:qFormat="1"/>
    <w:lsdException w:name="heading 5" w:uiPriority="9" w:qFormat="1"/>
    <w:lsdException w:name="Medium Grid 3 Accent 3" w:uiPriority="69" w:semiHidden="0" w:unhideWhenUsed="0"/>
    <w:lsdException w:name="index 8" w:uiPriority="0"/>
    <w:lsdException w:name="List Bullet" w:uiPriority="0"/>
    <w:lsdException w:name="Dark List Accent 1" w:uiPriority="70" w:semiHidden="0" w:unhideWhenUsed="0"/>
    <w:lsdException w:name="Medium List 2 Accent 5" w:uiPriority="66" w:semiHidden="0" w:unhideWhenUsed="0"/>
    <w:lsdException w:name="Medium List 1 Accent 5" w:uiPriority="65" w:semiHidden="0" w:unhideWhenUsed="0"/>
    <w:lsdException w:name="Light Shading Accent 4" w:uiPriority="60" w:semiHidden="0" w:unhideWhenUsed="0"/>
    <w:lsdException w:name="Table Grid 1" w:uiPriority="0"/>
    <w:lsdException w:name="Table 3D effects 3" w:uiPriority="0"/>
    <w:lsdException w:name="Medium Grid 2 Accent 2" w:uiPriority="68" w:semiHidden="0" w:unhideWhenUsed="0"/>
    <w:lsdException w:name="Note Heading" w:uiPriority="0"/>
    <w:lsdException w:name="List Continue 4" w:uiPriority="0"/>
    <w:lsdException w:name="Document Map" w:uiPriority="0"/>
    <w:lsdException w:name="Table Classic 3" w:uiPriority="0"/>
    <w:lsdException w:name="Colorful Shading Accent 1" w:uiPriority="71" w:semiHidden="0" w:unhideWhenUsed="0"/>
    <w:lsdException w:name="List Bullet 5" w:uiPriority="0"/>
    <w:lsdException w:name="Strong" w:uiPriority="22" w:semiHidden="0" w:unhideWhenUsed="0" w:qFormat="1"/>
    <w:lsdException w:name="Colorful Grid Accent 5" w:uiPriority="73" w:semiHidden="0" w:unhideWhenUsed="0"/>
    <w:lsdException w:name="Table Columns 4" w:uiPriority="0"/>
    <w:lsdException w:name="Light List Accent 1" w:uiPriority="61" w:semiHidden="0" w:unhideWhenUsed="0"/>
    <w:lsdException w:name="Light Grid Accent 3" w:uiPriority="62" w:semiHidden="0" w:unhideWhenUsed="0"/>
    <w:lsdException w:name="toa heading" w:uiPriority="0"/>
    <w:lsdException w:name="Light Shading Accent 5" w:uiPriority="60" w:semiHidden="0" w:unhideWhenUsed="0"/>
    <w:lsdException w:name="footnote text" w:uiPriority="0" w:semiHidden="0" w:unhideWhenUsed="0" w:qFormat="1"/>
    <w:lsdException w:name="Colorful Grid Accent 2" w:uiPriority="73" w:semiHidden="0" w:unhideWhenUsed="0"/>
    <w:lsdException w:name="annotation subject" w:uiPriority="0"/>
  </w:latentStyles>
  <w:style w:type="character" w:styleId="000033" w:customStyle="1">
    <w:name w:val="样式2 Char"/>
    <w:basedOn w:val="000015"/>
    <w:link w:val="000008"/>
    <w:uiPriority w:val="0"/>
    <w:qFormat w:val="1"/>
    <w:rPr>
      <w:rFonts w:ascii="仿宋" w:hAnsi="仿宋" w:eastAsia="仿宋" w:cstheme="minorBidi"/>
      <w:b w:val="1"/>
      <w:kern w:val="2"/>
      <w:sz w:val="24"/>
      <w:szCs w:val="24"/>
    </w:rPr>
  </w:style>
  <w:style w:type="character" w:styleId="000022" w:customStyle="1">
    <w:name w:val="脚注文本 Char"/>
    <w:basedOn w:val="000015"/>
    <w:link w:val="000021"/>
    <w:uiPriority w:val="0"/>
    <w:qFormat w:val="1"/>
    <w:rPr>
      <w:sz w:val="18"/>
    </w:rPr>
  </w:style>
  <w:style w:type="character" w:styleId="00002f" w:customStyle="1">
    <w:name w:val="脚注文本 Char1"/>
    <w:basedOn w:val="000015"/>
    <w:uiPriority w:val="0"/>
    <w:semiHidden w:val="1"/>
    <w:qFormat w:val="1"/>
    <w:rPr>
      <w:kern w:val="2"/>
      <w:sz w:val="18"/>
      <w:szCs w:val="18"/>
    </w:rPr>
  </w:style>
  <w:style w:type="character" w:styleId="00002a">
    <w:name w:val="HTML Cite"/>
    <w:basedOn w:val="000015"/>
    <w:uiPriority w:val="0"/>
    <w:unhideWhenUsed w:val="1"/>
    <w:qFormat w:val="1"/>
    <w:rPr>
      <w:color w:val="008000"/>
    </w:rPr>
  </w:style>
  <w:style w:type="character" w:styleId="000020" w:customStyle="1">
    <w:name w:val="页眉 Char"/>
    <w:basedOn w:val="000015"/>
    <w:link w:val="00001f"/>
    <w:uiPriority w:val="99"/>
    <w:semiHidden w:val="1"/>
    <w:qFormat w:val="1"/>
    <w:rPr>
      <w:sz w:val="18"/>
      <w:szCs w:val="18"/>
    </w:rPr>
  </w:style>
  <w:style w:type="character" w:styleId="000015" w:default="1">
    <w:name w:val="Default Paragraph Font"/>
    <w:uiPriority w:val="1"/>
    <w:semiHidden w:val="1"/>
    <w:unhideWhenUsed w:val="1"/>
    <w:qFormat w:val="1"/>
  </w:style>
  <w:style w:type="character" w:styleId="000029">
    <w:name w:val="Hyperlink"/>
    <w:basedOn w:val="000015"/>
    <w:uiPriority w:val="0"/>
    <w:unhideWhenUsed w:val="1"/>
    <w:qFormat w:val="1"/>
    <w:rPr>
      <w:color w:val="1020D0"/>
      <w:u w:val="single"/>
    </w:rPr>
  </w:style>
  <w:style w:type="character" w:styleId="000018" w:customStyle="1">
    <w:name w:val="正文文本 Char"/>
    <w:basedOn w:val="000015"/>
    <w:link w:val="000014"/>
    <w:uiPriority w:val="0"/>
    <w:semiHidden w:val="1"/>
    <w:qFormat w:val="1"/>
    <w:rPr>
      <w:kern w:val="2"/>
      <w:sz w:val="21"/>
      <w:szCs w:val="24"/>
    </w:rPr>
  </w:style>
  <w:style w:type="character" w:styleId="000025" w:customStyle="1">
    <w:name w:val="正文首行缩进 Char"/>
    <w:basedOn w:val="000018"/>
    <w:link w:val="000024"/>
    <w:uiPriority w:val="99"/>
    <w:qFormat w:val="1"/>
  </w:style>
  <w:style w:type="character" w:styleId="00002d" w:customStyle="1">
    <w:name w:val="报告正文 Char Char1"/>
    <w:basedOn w:val="000015"/>
    <w:link w:val="00002c"/>
    <w:uiPriority w:val="0"/>
    <w:qFormat w:val="1"/>
    <w:rPr>
      <w:rFonts w:ascii="华文细黑" w:eastAsia="华文细黑" w:cs="宋体"/>
      <w:kern w:val="2"/>
    </w:rPr>
  </w:style>
  <w:style w:type="paragraph" w:styleId="000014">
    <w:name w:val="Body Text"/>
    <w:basedOn w:val="000013"/>
    <w:next w:val="000017"/>
    <w:link w:val="000018"/>
    <w:uiPriority w:val="0"/>
    <w:semiHidden w:val="1"/>
    <w:unhideWhenUsed w:val="1"/>
    <w:qFormat w:val="1"/>
    <w:pPr>
      <w:spacing w:after="120"/>
    </w:pPr>
  </w:style>
  <w:style w:type="paragraph" w:styleId="000032" w:customStyle="1">
    <w:name w:val="表格"/>
    <w:basedOn w:val="000031"/>
    <w:uiPriority w:val="0"/>
    <w:qFormat w:val="1"/>
    <w:pPr>
      <w:adjustRightInd w:val="0"/>
      <w:snapToGrid w:val="0"/>
      <w:ind w:firstLine="0" w:firstLineChars="0"/>
      <w:jc w:val="center"/>
    </w:pPr>
  </w:style>
  <w:style w:type="paragraph" w:styleId="000008" w:customStyle="1">
    <w:name w:val="样式2"/>
    <w:basedOn w:val="000031"/>
    <w:link w:val="000033"/>
    <w:uiPriority w:val="0"/>
    <w:qFormat w:val="1"/>
    <w:pPr>
      <w:numPr>
        <w:ilvl w:val="0"/>
        <w:numId w:val="5"/>
      </w:numPr>
      <w:spacing w:line="276" w:lineRule="auto"/>
      <w:ind w:firstLine="0" w:firstLineChars="0"/>
      <w:jc w:val="left"/>
    </w:pPr>
    <w:rPr>
      <w:rFonts w:ascii="仿宋" w:hAnsi="仿宋" w:eastAsia="仿宋" w:cstheme="minorBidi"/>
      <w:b w:val="1"/>
      <w:sz w:val="24"/>
    </w:rPr>
  </w:style>
  <w:style w:type="table" w:styleId="000016" w:default="1">
    <w:name w:val="Normal Table"/>
    <w:uiPriority w:val="99"/>
    <w:semiHidden w:val="1"/>
    <w:unhideWhenUsed w:val="1"/>
    <w:qFormat w:val="1"/>
    <w:tblPr>
      <w:tblCellMar>
        <w:top w:w="0" w:type="dxa"/>
        <w:left w:w="108" w:type="dxa"/>
        <w:bottom w:w="0" w:type="dxa"/>
        <w:right w:w="108" w:type="dxa"/>
      </w:tblCellMar>
    </w:tblPr>
  </w:style>
  <w:style w:type="character" w:styleId="00001c" w:customStyle="1">
    <w:name w:val="批注框文本 Char"/>
    <w:basedOn w:val="000015"/>
    <w:link w:val="00001b"/>
    <w:uiPriority w:val="0"/>
    <w:semiHidden w:val="1"/>
    <w:qFormat w:val="1"/>
    <w:rPr>
      <w:kern w:val="2"/>
      <w:sz w:val="18"/>
      <w:szCs w:val="18"/>
    </w:rPr>
  </w:style>
  <w:style w:type="paragraph" w:styleId="000013" w:default="1">
    <w:name w:val="Normal"/>
    <w:next w:val="000014"/>
    <w:uiPriority w:val="0"/>
    <w:qFormat w:val="1"/>
    <w:pPr>
      <w:widowControl w:val="0"/>
      <w:spacing w:line="480" w:lineRule="exact"/>
      <w:ind w:firstLine="425"/>
      <w:jc w:val="both"/>
    </w:pPr>
    <w:rPr>
      <w:rFonts w:ascii="Times New Roman" w:hAnsi="Times New Roman" w:eastAsia="宋体" w:cs="Times New Roman"/>
      <w:kern w:val="2"/>
      <w:sz w:val="21"/>
      <w:szCs w:val="24"/>
      <w:lang w:val="en-US" w:eastAsia="zh-CN" w:bidi="ar-SA"/>
    </w:rPr>
  </w:style>
  <w:style w:type="paragraph" w:styleId="000019">
    <w:name w:val="Date"/>
    <w:basedOn w:val="000013"/>
    <w:next w:val="000013"/>
    <w:link w:val="00001a"/>
    <w:uiPriority w:val="0"/>
    <w:semiHidden w:val="1"/>
    <w:unhideWhenUsed w:val="1"/>
    <w:qFormat w:val="1"/>
    <w:pPr>
      <w:ind w:left="100" w:leftChars="2500"/>
    </w:pPr>
  </w:style>
  <w:style w:type="character" w:styleId="000027">
    <w:name w:val="Strong"/>
    <w:basedOn w:val="000015"/>
    <w:uiPriority w:val="22"/>
    <w:qFormat w:val="1"/>
    <w:rPr>
      <w:color w:val="CC0000"/>
    </w:rPr>
  </w:style>
  <w:style w:type="paragraph" w:styleId="000017">
    <w:name w:val="Body Text 2"/>
    <w:basedOn w:val="000013"/>
    <w:next w:val="000014"/>
    <w:uiPriority w:val="99"/>
    <w:qFormat w:val="1"/>
    <w:pPr>
      <w:spacing w:after="120" w:line="480" w:lineRule="auto"/>
    </w:pPr>
  </w:style>
  <w:style w:type="character" w:styleId="000028">
    <w:name w:val="FollowedHyperlink"/>
    <w:basedOn w:val="000015"/>
    <w:uiPriority w:val="0"/>
    <w:unhideWhenUsed w:val="1"/>
    <w:qFormat w:val="1"/>
    <w:rPr>
      <w:color w:val="1020D0"/>
      <w:u w:val="single"/>
    </w:rPr>
  </w:style>
  <w:style w:type="paragraph" w:styleId="00001d">
    <w:name w:val="footer"/>
    <w:basedOn w:val="000013"/>
    <w:link w:val="00001e"/>
    <w:uiPriority w:val="99"/>
    <w:unhideWhenUsed w:val="1"/>
    <w:qFormat w:val="1"/>
    <w:pPr>
      <w:tabs>
        <w:tab w:val="center" w:pos="4153"/>
        <w:tab w:val="right" w:pos="8306"/>
      </w:tabs>
      <w:snapToGrid w:val="0"/>
      <w:spacing w:line="240" w:lineRule="auto"/>
      <w:ind w:firstLine="0"/>
      <w:jc w:val="left"/>
    </w:pPr>
    <w:rPr>
      <w:rFonts w:ascii="Calibri" w:hAnsi="Calibri" w:cs="黑体"/>
      <w:sz w:val="18"/>
      <w:szCs w:val="18"/>
    </w:rPr>
  </w:style>
  <w:style w:type="paragraph" w:styleId="000006">
    <w:name w:val="heading 2"/>
    <w:basedOn w:val="000013"/>
    <w:next w:val="000013"/>
    <w:uiPriority w:val="0"/>
    <w:unhideWhenUsed w:val="1"/>
    <w:qFormat w:val="1"/>
    <w:pPr>
      <w:keepNext w:val="1"/>
      <w:keepLines w:val="1"/>
      <w:widowControl w:val="0"/>
      <w:numPr>
        <w:ilvl w:val="1"/>
        <w:numId w:val="6"/>
      </w:numPr>
      <w:spacing w:before="260" w:after="260" w:line="416" w:lineRule="auto"/>
      <w:jc w:val="both"/>
      <w:outlineLvl w:val="1"/>
    </w:pPr>
    <w:rPr>
      <w:rFonts w:ascii="Cambria" w:hAnsi="Cambria" w:eastAsia="宋体" w:cs="Times New Roman"/>
      <w:b w:val="1"/>
      <w:bCs w:val="1"/>
      <w:kern w:val="2"/>
      <w:sz w:val="32"/>
      <w:szCs w:val="32"/>
      <w:lang w:val="en-US" w:eastAsia="zh-CN" w:bidi="ar-SA"/>
    </w:rPr>
  </w:style>
  <w:style w:type="paragraph" w:styleId="00002e">
    <w:name w:val="List Paragraph"/>
    <w:basedOn w:val="000013"/>
    <w:uiPriority w:val="34"/>
    <w:unhideWhenUsed w:val="1"/>
    <w:qFormat w:val="1"/>
    <w:pPr>
      <w:ind w:firstLine="420" w:firstLineChars="200"/>
    </w:pPr>
  </w:style>
  <w:style w:type="paragraph" w:styleId="000031" w:customStyle="1">
    <w:name w:val="列出段落1"/>
    <w:basedOn w:val="000013"/>
    <w:uiPriority w:val="0"/>
    <w:qFormat w:val="1"/>
    <w:pPr>
      <w:spacing w:line="240" w:lineRule="auto"/>
      <w:ind w:firstLine="420" w:firstLineChars="200"/>
    </w:pPr>
  </w:style>
  <w:style w:type="paragraph" w:styleId="000030" w:customStyle="1">
    <w:name w:val="样式 Arial 行距: 1.5 倍行距"/>
    <w:basedOn w:val="000013"/>
    <w:uiPriority w:val="0"/>
    <w:qFormat w:val="1"/>
    <w:pPr>
      <w:spacing w:line="360" w:lineRule="auto"/>
      <w:ind w:firstLine="200" w:firstLineChars="200"/>
    </w:pPr>
    <w:rPr>
      <w:rFonts w:ascii="Arial" w:hAnsi="Arial" w:cs="宋体"/>
      <w:szCs w:val="20"/>
    </w:rPr>
  </w:style>
  <w:style w:type="paragraph" w:styleId="00001f">
    <w:name w:val="header"/>
    <w:basedOn w:val="000013"/>
    <w:link w:val="000020"/>
    <w:uiPriority w:val="99"/>
    <w:unhideWhenUsed w:val="1"/>
    <w:qFormat w:val="1"/>
    <w:pPr>
      <w:pBdr>
        <w:bottom w:val="single" w:color="auto" w:sz="6" w:space="1"/>
      </w:pBdr>
      <w:tabs>
        <w:tab w:val="center" w:pos="4153"/>
        <w:tab w:val="right" w:pos="8306"/>
      </w:tabs>
      <w:snapToGrid w:val="0"/>
      <w:spacing w:line="240" w:lineRule="auto"/>
      <w:ind w:firstLine="0"/>
      <w:jc w:val="center"/>
    </w:pPr>
    <w:rPr>
      <w:rFonts w:ascii="Calibri" w:hAnsi="Calibri" w:cs="黑体"/>
      <w:sz w:val="18"/>
      <w:szCs w:val="18"/>
    </w:rPr>
  </w:style>
  <w:style w:type="paragraph" w:styleId="00002b" w:customStyle="1">
    <w:name w:val="Char"/>
    <w:basedOn w:val="000013"/>
    <w:uiPriority w:val="0"/>
    <w:qFormat w:val="1"/>
    <w:pPr>
      <w:widowControl w:val="1"/>
      <w:spacing w:after="160" w:line="240" w:lineRule="exact"/>
      <w:ind w:firstLine="0"/>
      <w:jc w:val="left"/>
    </w:pPr>
  </w:style>
  <w:style w:type="paragraph" w:styleId="00001b">
    <w:name w:val="Balloon Text"/>
    <w:basedOn w:val="000013"/>
    <w:link w:val="00001c"/>
    <w:uiPriority w:val="0"/>
    <w:semiHidden w:val="1"/>
    <w:unhideWhenUsed w:val="1"/>
    <w:qFormat w:val="1"/>
    <w:pPr>
      <w:spacing w:line="240" w:lineRule="auto"/>
    </w:pPr>
    <w:rPr>
      <w:sz w:val="18"/>
      <w:szCs w:val="18"/>
    </w:rPr>
  </w:style>
  <w:style w:type="paragraph" w:styleId="00002c" w:customStyle="1">
    <w:name w:val="报告正文 Char"/>
    <w:basedOn w:val="000013"/>
    <w:link w:val="00002d"/>
    <w:uiPriority w:val="0"/>
    <w:qFormat w:val="1"/>
    <w:pPr>
      <w:adjustRightInd w:val="0"/>
      <w:snapToGrid w:val="0"/>
      <w:spacing w:line="312" w:lineRule="auto"/>
      <w:ind w:left="2600" w:firstLine="0"/>
    </w:pPr>
    <w:rPr>
      <w:rFonts w:ascii="华文细黑" w:eastAsia="华文细黑" w:cs="宋体"/>
      <w:sz w:val="20"/>
      <w:szCs w:val="20"/>
    </w:rPr>
  </w:style>
  <w:style w:type="paragraph" w:styleId="000024">
    <w:name w:val="Body Text First Indent"/>
    <w:basedOn w:val="000014"/>
    <w:next w:val="000013"/>
    <w:link w:val="000025"/>
    <w:uiPriority w:val="99"/>
    <w:unhideWhenUsed w:val="1"/>
    <w:qFormat w:val="1"/>
    <w:pPr>
      <w:spacing w:line="240" w:lineRule="auto"/>
      <w:ind w:firstLine="420" w:firstLineChars="100"/>
    </w:pPr>
  </w:style>
  <w:style w:type="table" w:styleId="000026">
    <w:name w:val="Table Grid"/>
    <w:basedOn w:val="000016"/>
    <w:uiPriority w:val="59"/>
    <w:qFormat w:val="1"/>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00001e" w:customStyle="1">
    <w:name w:val="页脚 Char"/>
    <w:basedOn w:val="000015"/>
    <w:link w:val="00001d"/>
    <w:uiPriority w:val="99"/>
    <w:semiHidden w:val="1"/>
    <w:qFormat w:val="1"/>
    <w:rPr>
      <w:sz w:val="18"/>
      <w:szCs w:val="18"/>
    </w:rPr>
  </w:style>
  <w:style w:type="paragraph" w:styleId="000023">
    <w:name w:val="Normal (Web)"/>
    <w:basedOn w:val="000013"/>
    <w:uiPriority w:val="99"/>
    <w:unhideWhenUsed w:val="1"/>
    <w:qFormat w:val="1"/>
    <w:rPr>
      <w:sz w:val="24"/>
    </w:rPr>
  </w:style>
  <w:style w:type="character" w:styleId="00001a" w:customStyle="1">
    <w:name w:val="日期 Char"/>
    <w:basedOn w:val="000015"/>
    <w:link w:val="000019"/>
    <w:uiPriority w:val="0"/>
    <w:semiHidden w:val="1"/>
    <w:qFormat w:val="1"/>
    <w:rPr>
      <w:kern w:val="2"/>
      <w:sz w:val="21"/>
      <w:szCs w:val="24"/>
    </w:rPr>
  </w:style>
  <w:style w:type="paragraph" w:styleId="000021">
    <w:name w:val="footnote text"/>
    <w:basedOn w:val="000013"/>
    <w:link w:val="000022"/>
    <w:uiPriority w:val="0"/>
    <w:qFormat w:val="1"/>
    <w:pPr>
      <w:snapToGrid w:val="0"/>
      <w:spacing w:line="240" w:lineRule="auto"/>
      <w:ind w:firstLine="0"/>
      <w:jc w:val="left"/>
    </w:pPr>
    <w:rPr>
      <w:kern w:val="0"/>
      <w:sz w:val="18"/>
      <w:szCs w:val="20"/>
    </w:rPr>
  </w:style>
</w:styles>
</file>

<file path=word/_rels/document.xml.rels><?xml version="1.0" encoding="UTF-8" standalone="yes"?><Relationships xmlns="http://schemas.openxmlformats.org/package/2006/relationships"><Relationship Id="rId9" Type="http://schemas.openxmlformats.org/officeDocument/2006/relationships/image" Target="media/image3.png" /><Relationship Id="rId8" Type="http://schemas.openxmlformats.org/officeDocument/2006/relationships/image" Target="media/image2.png" /><Relationship Id="rId7" Type="http://schemas.openxmlformats.org/officeDocument/2006/relationships/image" Target="media/image1.png" /><Relationship Id="rId6" Type="http://schemas.openxmlformats.org/officeDocument/2006/relationships/numbering" Target="numbering.xml" /><Relationship Id="rId1" Type="http://schemas.openxmlformats.org/officeDocument/2006/relationships/settings" Target="settings.xml" /><Relationship Id="rId0" Type="http://schemas.openxmlformats.org/officeDocument/2006/relationships/styles" Target="styles.xml" /><Relationship Id="rId2" Type="http://schemas.openxmlformats.org/officeDocument/2006/relationships/footnotes" Target="footnotes.xml" /><Relationship Id="rId3" Type="http://schemas.openxmlformats.org/officeDocument/2006/relationships/endnotes" Target="endnotes.xml" /><Relationship Id="rId4" Type="http://schemas.openxmlformats.org/officeDocument/2006/relationships/fontTable" Target="fontTable.xml" /><Relationship Id="rId5" Type="http://schemas.openxmlformats.org/officeDocument/2006/relationships/theme" Target="theme/theme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2026-01-15T09:07:31Z</dcterms:created>
  <dcterms:modified xsi:type="dcterms:W3CDTF">2026-01-15T09:07:31Z</dcterms:modified>
</cp:coreProperties>
</file>