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D88F">
      <w:pPr>
        <w:rPr>
          <w:rFonts w:hint="eastAsia" w:eastAsia="微软雅黑"/>
          <w:sz w:val="28"/>
          <w:szCs w:val="28"/>
          <w:lang w:eastAsia="zh"/>
          <w:woUserID w:val="1"/>
        </w:rPr>
      </w:pPr>
      <w:r>
        <w:rPr>
          <w:rFonts w:hint="eastAsia"/>
          <w:sz w:val="28"/>
          <w:szCs w:val="28"/>
          <w:lang w:eastAsia="zh"/>
          <w:woUserID w:val="1"/>
        </w:rPr>
        <w:t>1、核实115万KW的依据；2、不要再提源网荷储这个名词，全部改为微电网；3、删除平顶山市的描述；4、数据按我们的报表列示；5、考虑微电网与抽水蓄能电站的关系，首先本地消纳，之后可以抽水蓄能电站供电；6、目前，全县新能源发电已经超过用电量，政策方向是就近消纳，上网的经济性逐步降低，如果用微电网思路，可以接纳上网部分的电量，促进本地能源价格下降和招商引资；7、不需要封面和目录；8、序号采用“一、”、“1、”；9、已有光伏和风电接收方案，列入项目二期、三期；9、删除源网荷储系统设计这个章，是项目可研的内容；10、鲁山县的新能源发电能力是背景信息，与政策背景合并，也就是第三章并入第一章的第1节项目背景。</w:t>
      </w:r>
      <w:bookmarkStart w:id="0" w:name="_GoBack"/>
      <w:bookmarkEnd w:id="0"/>
      <w:r>
        <w:rPr>
          <w:rFonts w:hint="eastAsia"/>
          <w:sz w:val="28"/>
          <w:szCs w:val="28"/>
          <w:lang w:eastAsia="zh"/>
          <w:woUserID w:val="1"/>
        </w:rPr>
        <w:br w:type="textWrapping"/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79AA4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CFF31D05"/>
    <w:rsid w:val="D5DE8897"/>
    <w:rsid w:val="E7FE3684"/>
    <w:rsid w:val="EFFF70E4"/>
    <w:rsid w:val="F7EEC240"/>
    <w:rsid w:val="F7FE8A50"/>
    <w:rsid w:val="FBF75102"/>
    <w:rsid w:val="FDDC5620"/>
    <w:rsid w:val="FDEA700A"/>
    <w:rsid w:val="FFBD9294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WWO_wpscloud_20260415153227-69c179f038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2026-06-01T17:19:21Z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2052-12.9.0.25994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DF607CABFCB33E28994E1D6A3546A4E2_43</vt:lpwstr>
  </property>
</Properties>
</file>